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sz w:val="24"/>
          <w:szCs w:val="24"/>
        </w:rPr>
        <w:t xml:space="preserve">El déficit de estándares de valoración probatoria en la justicia electoral mexicana:</w:t>
      </w:r>
    </w:p>
    <w:p>
      <w:pPr>
        <w:spacing w:line="360"/>
        <w:jc w:val="center"/>
      </w:pPr>
      <w:r>
        <w:rPr>
          <w:rFonts w:ascii="Arial" w:cs="Arial" w:eastAsia="Arial" w:hAnsi="Arial"/>
          <w:b/>
          <w:bCs/>
          <w:sz w:val="24"/>
          <w:szCs w:val="24"/>
        </w:rPr>
        <w:t xml:space="preserve">protocolo de adminiculación indiciaria y umbral de suficiencia verificables</w:t>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sz w:val="24"/>
          <w:szCs w:val="24"/>
        </w:rPr>
        <w:t xml:space="preserve">Índice</w:t>
      </w:r>
    </w:p>
    <w:p>
      <w:pPr>
        <w:spacing w:after="0" w:before="0" w:line="360"/>
      </w:pPr>
      <w:r>
        <w:rPr>
          <w:rFonts w:ascii="Arial" w:cs="Arial" w:eastAsia="Arial" w:hAnsi="Arial"/>
          <w:sz w:val="24"/>
          <w:szCs w:val="24"/>
        </w:rPr>
        <w:t xml:space="preserve"/>
      </w:r>
    </w:p>
    <w:sdt>
      <w:sdtPr>
        <w:alias w:val="Índice"/>
      </w:sdtPr>
      <w:sdtContent>
        <w:p>
          <w:r>
            <w:fldChar w:fldCharType="begin" w:dirty="true"/>
            <w:instrText xml:space="preserve">TOC \h \o "1-3"</w:instrText>
            <w:fldChar w:fldCharType="separate"/>
          </w:r>
        </w:p>
        <w:p>
          <w:r>
            <w:fldChar w:fldCharType="end"/>
          </w:r>
        </w:p>
      </w:sdtContent>
    </w:sdt>
    <w:p>
      <w:pPr>
        <w:sectPr>
          <w:footerReference w:type="default" r:id="rId7"/>
          <w:pgSz w:w="12240" w:h="15840" w:orient="portrait"/>
          <w:pgMar w:top="1417" w:right="1701" w:bottom="1417" w:left="1701" w:header="708" w:footer="708" w:gutter="0"/>
          <w:pgNumType w:start="1" w:fmt="lowerRoman"/>
          <w:docGrid w:linePitch="360"/>
        </w:sectPr>
      </w:pPr>
    </w:p>
    <w:p>
      <w:r>
        <w:br w:type="pag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pStyle w:val="Heading1"/>
        <w:spacing w:after="0" w:before="0" w:line="360"/>
        <w:jc w:val="center"/>
      </w:pPr>
      <w:r>
        <w:rPr>
          <w:rFonts w:ascii="Arial" w:cs="Arial" w:eastAsia="Arial" w:hAnsi="Arial"/>
          <w:b/>
          <w:bCs/>
          <w:sz w:val="24"/>
          <w:szCs w:val="24"/>
        </w:rPr>
        <w:t xml:space="preserve">Capítulo 1</w:t>
      </w:r>
    </w:p>
    <w:p>
      <w:pPr>
        <w:spacing w:after="0" w:before="0" w:line="360"/>
        <w:jc w:val="center"/>
      </w:pPr>
      <w:r>
        <w:rPr>
          <w:rFonts w:ascii="Arial" w:cs="Arial" w:eastAsia="Arial" w:hAnsi="Arial"/>
          <w:b/>
          <w:bCs/>
          <w:sz w:val="24"/>
          <w:szCs w:val="24"/>
        </w:rPr>
        <w:t xml:space="preserve">Categorías de epistemología jurídica para la prueba por indicios</w:t>
      </w:r>
    </w:p>
    <w:p>
      <w:pPr>
        <w:spacing w:after="0" w:before="0" w:line="360"/>
      </w:pPr>
      <w:r>
        <w:rPr>
          <w:rFonts w:ascii="Arial" w:cs="Arial" w:eastAsia="Arial" w:hAnsi="Arial"/>
          <w:sz w:val="24"/>
          <w:szCs w:val="24"/>
        </w:rPr>
        <w:t xml:space="preserve"/>
      </w:r>
    </w:p>
    <w:p>
      <w:pPr>
        <w:spacing w:after="0" w:before="0" w:line="360"/>
        <w:ind w:left="567" w:right="567"/>
        <w:jc w:val="both"/>
      </w:pPr>
      <w:r>
        <w:rPr>
          <w:rFonts w:ascii="Arial" w:cs="Arial" w:eastAsia="Arial" w:hAnsi="Arial"/>
          <w:smallCaps/>
          <w:sz w:val="22"/>
          <w:szCs w:val="22"/>
        </w:rPr>
        <w:t xml:space="preserve">Sumario: </w:t>
      </w:r>
      <w:r>
        <w:rPr>
          <w:rFonts w:ascii="Arial" w:cs="Arial" w:eastAsia="Arial" w:hAnsi="Arial"/>
          <w:sz w:val="22"/>
          <w:szCs w:val="22"/>
        </w:rPr>
        <w:t xml:space="preserve">1.1. </w:t>
      </w:r>
      <w:r>
        <w:rPr>
          <w:rFonts w:ascii="Arial" w:cs="Arial" w:eastAsia="Arial" w:hAnsi="Arial"/>
          <w:i/>
          <w:iCs/>
          <w:sz w:val="22"/>
          <w:szCs w:val="22"/>
        </w:rPr>
        <w:t xml:space="preserve">La decisión sobre los hechos es una operación de conocimiento sujeta a control racional. </w:t>
      </w:r>
      <w:r>
        <w:rPr>
          <w:rFonts w:ascii="Arial" w:cs="Arial" w:eastAsia="Arial" w:hAnsi="Arial"/>
          <w:sz w:val="22"/>
          <w:szCs w:val="22"/>
        </w:rPr>
        <w:t xml:space="preserve">1.2. </w:t>
      </w:r>
      <w:r>
        <w:rPr>
          <w:rFonts w:ascii="Arial" w:cs="Arial" w:eastAsia="Arial" w:hAnsi="Arial"/>
          <w:i/>
          <w:iCs/>
          <w:sz w:val="22"/>
          <w:szCs w:val="22"/>
        </w:rPr>
        <w:t xml:space="preserve">La averiguación de la verdad es la función epistémica del proceso. </w:t>
      </w:r>
      <w:r>
        <w:rPr>
          <w:rFonts w:ascii="Arial" w:cs="Arial" w:eastAsia="Arial" w:hAnsi="Arial"/>
          <w:sz w:val="22"/>
          <w:szCs w:val="22"/>
        </w:rPr>
        <w:t xml:space="preserve">1.3. </w:t>
      </w:r>
      <w:r>
        <w:rPr>
          <w:rFonts w:ascii="Arial" w:cs="Arial" w:eastAsia="Arial" w:hAnsi="Arial"/>
          <w:i/>
          <w:iCs/>
          <w:sz w:val="22"/>
          <w:szCs w:val="22"/>
        </w:rPr>
        <w:t xml:space="preserve">La actividad probatoria se descompone en tres momentos. </w:t>
      </w:r>
      <w:r>
        <w:rPr>
          <w:rFonts w:ascii="Arial" w:cs="Arial" w:eastAsia="Arial" w:hAnsi="Arial"/>
          <w:sz w:val="22"/>
          <w:szCs w:val="22"/>
        </w:rPr>
        <w:t xml:space="preserve">1.4. </w:t>
      </w:r>
      <w:r>
        <w:rPr>
          <w:rFonts w:ascii="Arial" w:cs="Arial" w:eastAsia="Arial" w:hAnsi="Arial"/>
          <w:i/>
          <w:iCs/>
          <w:sz w:val="22"/>
          <w:szCs w:val="22"/>
        </w:rPr>
        <w:t xml:space="preserve">La inferencia probatoria tiene una estructura identificable. </w:t>
      </w:r>
      <w:r>
        <w:rPr>
          <w:rFonts w:ascii="Arial" w:cs="Arial" w:eastAsia="Arial" w:hAnsi="Arial"/>
          <w:sz w:val="22"/>
          <w:szCs w:val="22"/>
        </w:rPr>
        <w:t xml:space="preserve">1.5. </w:t>
      </w:r>
      <w:r>
        <w:rPr>
          <w:rFonts w:ascii="Arial" w:cs="Arial" w:eastAsia="Arial" w:hAnsi="Arial"/>
          <w:i/>
          <w:iCs/>
          <w:sz w:val="22"/>
          <w:szCs w:val="22"/>
        </w:rPr>
        <w:t xml:space="preserve">La solidez de la inferencia admite criterios de control. </w:t>
      </w:r>
      <w:r>
        <w:rPr>
          <w:rFonts w:ascii="Arial" w:cs="Arial" w:eastAsia="Arial" w:hAnsi="Arial"/>
          <w:sz w:val="22"/>
          <w:szCs w:val="22"/>
        </w:rPr>
        <w:t xml:space="preserve">1.6. </w:t>
      </w:r>
      <w:r>
        <w:rPr>
          <w:rFonts w:ascii="Arial" w:cs="Arial" w:eastAsia="Arial" w:hAnsi="Arial"/>
          <w:i/>
          <w:iCs/>
          <w:sz w:val="22"/>
          <w:szCs w:val="22"/>
        </w:rPr>
        <w:t xml:space="preserve">El conjunto probatorio excede la suma de sus elementos. </w:t>
      </w:r>
      <w:r>
        <w:rPr>
          <w:rFonts w:ascii="Arial" w:cs="Arial" w:eastAsia="Arial" w:hAnsi="Arial"/>
          <w:sz w:val="22"/>
          <w:szCs w:val="22"/>
        </w:rPr>
        <w:t xml:space="preserve">1.7. </w:t>
      </w:r>
      <w:r>
        <w:rPr>
          <w:rFonts w:ascii="Arial" w:cs="Arial" w:eastAsia="Arial" w:hAnsi="Arial"/>
          <w:i/>
          <w:iCs/>
          <w:sz w:val="22"/>
          <w:szCs w:val="22"/>
        </w:rPr>
        <w:t xml:space="preserve">La libre convicción no es un criterio de valoración. </w:t>
      </w:r>
      <w:r>
        <w:rPr>
          <w:rFonts w:ascii="Arial" w:cs="Arial" w:eastAsia="Arial" w:hAnsi="Arial"/>
          <w:sz w:val="22"/>
          <w:szCs w:val="22"/>
        </w:rPr>
        <w:t xml:space="preserve">1.8. </w:t>
      </w:r>
      <w:r>
        <w:rPr>
          <w:rFonts w:ascii="Arial" w:cs="Arial" w:eastAsia="Arial" w:hAnsi="Arial"/>
          <w:i/>
          <w:iCs/>
          <w:sz w:val="22"/>
          <w:szCs w:val="22"/>
        </w:rPr>
        <w:t xml:space="preserve">Un estándar subjetivo no cumple la función de un estándar. </w:t>
      </w:r>
      <w:r>
        <w:rPr>
          <w:rFonts w:ascii="Arial" w:cs="Arial" w:eastAsia="Arial" w:hAnsi="Arial"/>
          <w:sz w:val="22"/>
          <w:szCs w:val="22"/>
        </w:rPr>
        <w:t xml:space="preserve">1.9. </w:t>
      </w:r>
      <w:r>
        <w:rPr>
          <w:rFonts w:ascii="Arial" w:cs="Arial" w:eastAsia="Arial" w:hAnsi="Arial"/>
          <w:i/>
          <w:iCs/>
          <w:sz w:val="22"/>
          <w:szCs w:val="22"/>
        </w:rPr>
        <w:t xml:space="preserve">La motivación convierte la decisión en objeto de control externo. </w:t>
      </w:r>
      <w:r>
        <w:rPr>
          <w:rFonts w:ascii="Arial" w:cs="Arial" w:eastAsia="Arial" w:hAnsi="Arial"/>
          <w:sz w:val="22"/>
          <w:szCs w:val="22"/>
        </w:rPr>
        <w:t xml:space="preserve">1.10. </w:t>
      </w:r>
      <w:r>
        <w:rPr>
          <w:rFonts w:ascii="Arial" w:cs="Arial" w:eastAsia="Arial" w:hAnsi="Arial"/>
          <w:i/>
          <w:iCs/>
          <w:sz w:val="22"/>
          <w:szCs w:val="22"/>
        </w:rPr>
        <w:t xml:space="preserve">Recapitulación. </w:t>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pStyle w:val="Heading2"/>
        <w:spacing w:after="0" w:before="0" w:line="360"/>
        <w:ind w:left="283" w:hanging="283"/>
        <w:jc w:val="left"/>
      </w:pPr>
      <w:r>
        <w:rPr>
          <w:rFonts w:ascii="Arial" w:cs="Arial" w:eastAsia="Arial" w:hAnsi="Arial"/>
          <w:sz w:val="24"/>
          <w:szCs w:val="24"/>
        </w:rPr>
        <w:t xml:space="preserve">1.1. </w:t>
      </w:r>
      <w:r>
        <w:rPr>
          <w:rFonts w:ascii="Arial" w:cs="Arial" w:eastAsia="Arial" w:hAnsi="Arial"/>
          <w:i/>
          <w:iCs/>
          <w:sz w:val="24"/>
          <w:szCs w:val="24"/>
        </w:rPr>
        <w:t xml:space="preserve">La decisión sobre los hechos es una operación de conocimiento sujeta a control racional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1.1.1. </w:t>
      </w:r>
      <w:r>
        <w:rPr>
          <w:rFonts w:ascii="Arial" w:cs="Arial" w:eastAsia="Arial" w:hAnsi="Arial"/>
          <w:i/>
          <w:iCs/>
          <w:sz w:val="24"/>
          <w:szCs w:val="24"/>
        </w:rPr>
        <w:t xml:space="preserve">La racionalidad probatoria es una conquista histórica y no un rasgo definitorio de la función judicial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sz w:val="24"/>
          <w:szCs w:val="24"/>
        </w:rPr>
        <w:t xml:space="preserve">Durante un largo periodo la construcción de la premisa fáctica se apoyó en ritos y procedimientos mágicos donde no cabía apelación alguna a la razón. La ordalía designa cualquier experimento gnoseológico-místico que postula un orden oculto del mundo diagnosticable por vías adivinatorias (Cordero, 1981, como se citó en Gascón Abellán, 2010, pp. 12-13).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1.1.2. </w:t>
      </w:r>
      <w:r>
        <w:rPr>
          <w:rFonts w:ascii="Arial" w:cs="Arial" w:eastAsia="Arial" w:hAnsi="Arial"/>
          <w:i/>
          <w:iCs/>
          <w:sz w:val="24"/>
          <w:szCs w:val="24"/>
        </w:rPr>
        <w:t xml:space="preserve">Una epistemología moderadamente realista evita tanto la infalibilidad como el escepticismo</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sz w:val="24"/>
          <w:szCs w:val="24"/>
        </w:rPr>
        <w:t xml:space="preserve">common law</w:t>
      </w:r>
      <w:r>
        <w:rPr>
          <w:rFonts w:ascii="Arial" w:cs="Arial" w:eastAsia="Arial" w:hAnsi="Arial"/>
          <w:b w:val="false"/>
          <w:bCs w:val="false"/>
          <w:i w:val="false"/>
          <w:iCs w:val="false"/>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sz w:val="24"/>
          <w:szCs w:val="24"/>
        </w:rPr>
        <w:t xml:space="preserve">Alchourrón y Bulygin formularon la objeción con una precisión difícil de mejorar. La decisión del tribunal es final porque pone fin a la controversia, pero poner punto final a la discusión de la verdad no hace verdadero el enunciado (1991, como se citó en Gascón Abellán, 2010, p. 41). La distinción entre verdad y prueba permite dar cuenta del carácter autorizado, aunque falible, de la declaración judicial de hechos. Mantenerla obliga a reconocer que la sentencia puede equivocarse, y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w:t>
      </w:r>
    </w:p>
    <w:p>
      <w:pPr>
        <w:spacing w:after="0" w:before="0" w:line="360"/>
        <w:ind w:firstLine="708"/>
        <w:jc w:val="both"/>
      </w:pPr>
      <w:r>
        <w:rPr>
          <w:rFonts w:ascii="Arial" w:cs="Arial" w:eastAsia="Arial" w:hAnsi="Arial"/>
          <w:b w:val="false"/>
          <w:bCs w:val="false"/>
          <w:i w:val="false"/>
          <w:iCs w:val="false"/>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la elección de la hipótesis racionalmente más atendible entre las distintas reconstrucciones posibles de los hechos de la causa. La verdad de los hechos nunca resulta absoluta bajo ese paradigma, sino que viene dada por la hipótesis más probable o sostenida por mayores elementos de confirmación (Taruffo, 1990, como se citó en Gascón Abellán, 2010, p. 43). La fórmula anticipa con notable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1.1.3. </w:t>
      </w:r>
      <w:r>
        <w:rPr>
          <w:rFonts w:ascii="Arial" w:cs="Arial" w:eastAsia="Arial" w:hAnsi="Arial"/>
          <w:i/>
          <w:iCs/>
          <w:sz w:val="24"/>
          <w:szCs w:val="24"/>
        </w:rPr>
        <w:t xml:space="preserve">El modelo cognoscitivista exige enunciados fácticos verdaderos y controlables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1.1.4. </w:t>
      </w:r>
      <w:r>
        <w:rPr>
          <w:rFonts w:ascii="Arial" w:cs="Arial" w:eastAsia="Arial" w:hAnsi="Arial"/>
          <w:i/>
          <w:iCs/>
          <w:sz w:val="24"/>
          <w:szCs w:val="24"/>
        </w:rPr>
        <w:t xml:space="preserve">La epistemología jurídica opera en dos proyectos: describir las reglas y reformarlas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2026-08-08T15:25:18.353Z</dcterms:created>
  <dcterms:modified xsi:type="dcterms:W3CDTF">2026-08-08T15:25:18.354Z</dcterms:modified>
</cp:coreProperties>
</file>

<file path=docProps/custom.xml><?xml version="1.0" encoding="utf-8"?>
<Properties xmlns="http://schemas.openxmlformats.org/officeDocument/2006/custom-properties" xmlns:vt="http://schemas.openxmlformats.org/officeDocument/2006/docPropsVTypes"/>
</file>