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1.6.1. Tres objeciones al tratamiento aislado de los elementos de prueba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1.6.2. El derecho mexicano recogió la objeción holista desde 1974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1.6.3. El holismo narrativo es peligroso y no puede fundar el protocolo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1.6.4. La pregunta correcta es por el dominio de cada modelo	</w:t>
      </w:r>
      <w:r>
        <w:rPr>
          <w:rFonts w:ascii="Arial" w:cs="Arial" w:eastAsia="Arial" w:hAnsi="Arial"/>
          <w:color w:val="000000"/>
          <w:sz w:val="22"/>
          <w:szCs w:val="22"/>
        </w:rPr>
        <w:t xml:space="preserve">34</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1.7.1. Principio negativo versus criterio positivo de valoración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1.7.2. La desviación histórica: de principio a subjetividad descontrolada	</w:t>
      </w:r>
      <w:r>
        <w:rPr>
          <w:rFonts w:ascii="Arial" w:cs="Arial" w:eastAsia="Arial" w:hAnsi="Arial"/>
          <w:color w:val="000000"/>
          <w:sz w:val="22"/>
          <w:szCs w:val="22"/>
        </w:rPr>
        <w:t xml:space="preserve">37</w:t>
      </w:r>
    </w:p>
    <w:p>
      <w:pPr>
        <w:tabs>
          <w:tab w:val="right" w:pos="8838" w:leader="dot"/>
        </w:tabs>
        <w:spacing w:after="0" w:before="0" w:line="360"/>
        <w:ind w:left="567" w:right="0"/>
      </w:pPr>
      <w:r>
        <w:rPr>
          <w:rFonts w:ascii="Arial" w:cs="Arial" w:eastAsia="Arial" w:hAnsi="Arial"/>
          <w:color w:val="000000"/>
          <w:sz w:val="22"/>
          <w:szCs w:val="22"/>
        </w:rPr>
        <w:t xml:space="preserve">1.7.3. La sana crítica no es un criterio sino una referencia a máximas de experiencia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1.7.4. Un estándar subjetivo no es un estándar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1.7.5. La exigencia de explicitación como condición de controlabilidad	</w:t>
      </w:r>
      <w:r>
        <w:rPr>
          <w:rFonts w:ascii="Arial" w:cs="Arial" w:eastAsia="Arial" w:hAnsi="Arial"/>
          <w:color w:val="000000"/>
          <w:sz w:val="22"/>
          <w:szCs w:val="22"/>
        </w:rPr>
        <w:t xml:space="preserve">40</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40</w:t>
      </w:r>
    </w:p>
    <w:p>
      <w:pPr>
        <w:tabs>
          <w:tab w:val="right" w:pos="8838" w:leader="dot"/>
        </w:tabs>
        <w:spacing w:after="0" w:before="0" w:line="360"/>
        <w:ind w:left="567" w:right="0"/>
      </w:pPr>
      <w:r>
        <w:rPr>
          <w:rFonts w:ascii="Arial" w:cs="Arial" w:eastAsia="Arial" w:hAnsi="Arial"/>
          <w:color w:val="000000"/>
          <w:sz w:val="22"/>
          <w:szCs w:val="22"/>
        </w:rPr>
        <w:t xml:space="preserve">1.8.1. Qué requiere un estándar de prueba para serlo	</w:t>
      </w:r>
      <w:r>
        <w:rPr>
          <w:rFonts w:ascii="Arial" w:cs="Arial" w:eastAsia="Arial" w:hAnsi="Arial"/>
          <w:color w:val="000000"/>
          <w:sz w:val="22"/>
          <w:szCs w:val="22"/>
        </w:rPr>
        <w:t xml:space="preserve">41</w:t>
      </w:r>
    </w:p>
    <w:p>
      <w:pPr>
        <w:tabs>
          <w:tab w:val="right" w:pos="8838" w:leader="dot"/>
        </w:tabs>
        <w:spacing w:after="0" w:before="0" w:line="360"/>
        <w:ind w:left="567" w:right="0"/>
      </w:pPr>
      <w:r>
        <w:rPr>
          <w:rFonts w:ascii="Arial" w:cs="Arial" w:eastAsia="Arial" w:hAnsi="Arial"/>
          <w:color w:val="000000"/>
          <w:sz w:val="22"/>
          <w:szCs w:val="22"/>
        </w:rPr>
        <w:t xml:space="preserve">1.8.2. La corrupción histórica de la duda razonable	</w:t>
      </w:r>
      <w:r>
        <w:rPr>
          <w:rFonts w:ascii="Arial" w:cs="Arial" w:eastAsia="Arial" w:hAnsi="Arial"/>
          <w:color w:val="000000"/>
          <w:sz w:val="22"/>
          <w:szCs w:val="22"/>
        </w:rPr>
        <w:t xml:space="preserve">41</w:t>
      </w:r>
    </w:p>
    <w:p>
      <w:pPr>
        <w:tabs>
          <w:tab w:val="right" w:pos="8838" w:leader="dot"/>
        </w:tabs>
        <w:spacing w:after="0" w:before="0" w:line="360"/>
        <w:ind w:left="567" w:right="0"/>
      </w:pPr>
      <w:r>
        <w:rPr>
          <w:rFonts w:ascii="Arial" w:cs="Arial" w:eastAsia="Arial" w:hAnsi="Arial"/>
          <w:color w:val="000000"/>
          <w:sz w:val="22"/>
          <w:szCs w:val="22"/>
        </w:rPr>
        <w:t xml:space="preserve">1.8.3. Dos vías convencionales y sus defectos comunes	</w:t>
      </w:r>
      <w:r>
        <w:rPr>
          <w:rFonts w:ascii="Arial" w:cs="Arial" w:eastAsia="Arial" w:hAnsi="Arial"/>
          <w:color w:val="000000"/>
          <w:sz w:val="22"/>
          <w:szCs w:val="22"/>
        </w:rPr>
        <w:t xml:space="preserve">42</w:t>
      </w:r>
    </w:p>
    <w:p>
      <w:pPr>
        <w:tabs>
          <w:tab w:val="right" w:pos="8838" w:leader="dot"/>
        </w:tabs>
        <w:spacing w:after="0" w:before="0" w:line="360"/>
        <w:ind w:left="567" w:right="0"/>
      </w:pPr>
      <w:r>
        <w:rPr>
          <w:rFonts w:ascii="Arial" w:cs="Arial" w:eastAsia="Arial" w:hAnsi="Arial"/>
          <w:color w:val="000000"/>
          <w:sz w:val="22"/>
          <w:szCs w:val="22"/>
        </w:rPr>
        <w:t xml:space="preserve">1.8.4. El problema de la uniformidad	</w:t>
      </w:r>
      <w:r>
        <w:rPr>
          <w:rFonts w:ascii="Arial" w:cs="Arial" w:eastAsia="Arial" w:hAnsi="Arial"/>
          <w:color w:val="000000"/>
          <w:sz w:val="22"/>
          <w:szCs w:val="22"/>
        </w:rPr>
        <w:t xml:space="preserve">43</w:t>
      </w:r>
    </w:p>
    <w:p>
      <w:pPr>
        <w:tabs>
          <w:tab w:val="right" w:pos="8838" w:leader="dot"/>
        </w:tabs>
        <w:spacing w:after="0" w:before="0" w:line="360"/>
        <w:ind w:left="567" w:right="0"/>
      </w:pPr>
      <w:r>
        <w:rPr>
          <w:rFonts w:ascii="Arial" w:cs="Arial" w:eastAsia="Arial" w:hAnsi="Arial"/>
          <w:color w:val="000000"/>
          <w:sz w:val="22"/>
          <w:szCs w:val="22"/>
        </w:rPr>
        <w:t xml:space="preserve">1.8.5. La función de un estándar en la distribución del error	</w:t>
      </w:r>
      <w:r>
        <w:rPr>
          <w:rFonts w:ascii="Arial" w:cs="Arial" w:eastAsia="Arial" w:hAnsi="Arial"/>
          <w:color w:val="000000"/>
          <w:sz w:val="22"/>
          <w:szCs w:val="22"/>
        </w:rPr>
        <w:t xml:space="preserve">44</w:t>
      </w:r>
    </w:p>
    <w:p>
      <w:pPr>
        <w:tabs>
          <w:tab w:val="right" w:pos="8838" w:leader="dot"/>
        </w:tabs>
        <w:spacing w:after="0" w:before="0" w:line="360"/>
        <w:ind w:left="567" w:right="0"/>
      </w:pPr>
      <w:r>
        <w:rPr>
          <w:rFonts w:ascii="Arial" w:cs="Arial" w:eastAsia="Arial" w:hAnsi="Arial"/>
          <w:color w:val="000000"/>
          <w:sz w:val="22"/>
          <w:szCs w:val="22"/>
        </w:rPr>
        <w:t xml:space="preserve">1.8.6. La conclusión operativa	</w:t>
      </w:r>
      <w:r>
        <w:rPr>
          <w:rFonts w:ascii="Arial" w:cs="Arial" w:eastAsia="Arial" w:hAnsi="Arial"/>
          <w:color w:val="000000"/>
          <w:sz w:val="22"/>
          <w:szCs w:val="22"/>
        </w:rPr>
        <w:t xml:space="preserve">44</w:t>
      </w:r>
    </w:p>
    <w:p>
      <w:pPr>
        <w:tabs>
          <w:tab w:val="right" w:pos="8838" w:leader="dot"/>
        </w:tabs>
        <w:spacing w:after="0" w:before="0" w:line="360"/>
        <w:ind w:left="283" w:right="0"/>
      </w:pPr>
      <w:r>
        <w:rPr>
          <w:rFonts w:ascii="Arial" w:cs="Arial" w:eastAsia="Arial" w:hAnsi="Arial"/>
          <w:color w:val="000000"/>
          <w:sz w:val="22"/>
          <w:szCs w:val="22"/>
        </w:rPr>
        <w:t xml:space="preserve">1.9. Motivación como control externo de la inferencia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1.9.1. La garantía de cierre del sistema cognoscitivista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1.9.2. Dos funciones y un destinatario que excede a las partes	</w:t>
      </w:r>
      <w:r>
        <w:rPr>
          <w:rFonts w:ascii="Arial" w:cs="Arial" w:eastAsia="Arial" w:hAnsi="Arial"/>
          <w:color w:val="000000"/>
          <w:sz w:val="22"/>
          <w:szCs w:val="22"/>
        </w:rPr>
        <w:t xml:space="preserve">46</w:t>
      </w:r>
    </w:p>
    <w:p>
      <w:pPr>
        <w:tabs>
          <w:tab w:val="right" w:pos="8838" w:leader="dot"/>
        </w:tabs>
        <w:spacing w:after="0" w:before="0" w:line="360"/>
        <w:ind w:left="567" w:right="0"/>
      </w:pPr>
      <w:r>
        <w:rPr>
          <w:rFonts w:ascii="Arial" w:cs="Arial" w:eastAsia="Arial" w:hAnsi="Arial"/>
          <w:color w:val="000000"/>
          <w:sz w:val="22"/>
          <w:szCs w:val="22"/>
        </w:rPr>
        <w:t xml:space="preserve">1.9.3. La motivación retroactúa sobre la decisión	</w:t>
      </w:r>
      <w:r>
        <w:rPr>
          <w:rFonts w:ascii="Arial" w:cs="Arial" w:eastAsia="Arial" w:hAnsi="Arial"/>
          <w:color w:val="000000"/>
          <w:sz w:val="22"/>
          <w:szCs w:val="22"/>
        </w:rPr>
        <w:t xml:space="preserve">48</w:t>
      </w:r>
    </w:p>
    <w:p>
      <w:pPr>
        <w:tabs>
          <w:tab w:val="right" w:pos="8838" w:leader="dot"/>
        </w:tabs>
        <w:spacing w:after="0" w:before="0" w:line="360"/>
        <w:ind w:left="567" w:right="0"/>
      </w:pPr>
      <w:r>
        <w:rPr>
          <w:rFonts w:ascii="Arial" w:cs="Arial" w:eastAsia="Arial" w:hAnsi="Arial"/>
          <w:color w:val="000000"/>
          <w:sz w:val="22"/>
          <w:szCs w:val="22"/>
        </w:rPr>
        <w:t xml:space="preserve">1.9.4. Qué se controla y qué no: motivación-actividad y motivación-documento	</w:t>
      </w:r>
      <w:r>
        <w:rPr>
          <w:rFonts w:ascii="Arial" w:cs="Arial" w:eastAsia="Arial" w:hAnsi="Arial"/>
          <w:color w:val="000000"/>
          <w:sz w:val="22"/>
          <w:szCs w:val="22"/>
        </w:rPr>
        <w:t xml:space="preserve">49</w:t>
      </w:r>
    </w:p>
    <w:p>
      <w:pPr>
        <w:tabs>
          <w:tab w:val="right" w:pos="8838" w:leader="dot"/>
        </w:tabs>
        <w:spacing w:after="0" w:before="0" w:line="360"/>
        <w:ind w:left="567" w:right="0"/>
      </w:pPr>
      <w:r>
        <w:rPr>
          <w:rFonts w:ascii="Arial" w:cs="Arial" w:eastAsia="Arial" w:hAnsi="Arial"/>
          <w:color w:val="000000"/>
          <w:sz w:val="22"/>
          <w:szCs w:val="22"/>
        </w:rPr>
        <w:t xml:space="preserve">1.9.5. Completitud: la motivación no admite selección	</w:t>
      </w:r>
      <w:r>
        <w:rPr>
          <w:rFonts w:ascii="Arial" w:cs="Arial" w:eastAsia="Arial" w:hAnsi="Arial"/>
          <w:color w:val="000000"/>
          <w:sz w:val="22"/>
          <w:szCs w:val="22"/>
        </w:rPr>
        <w:t xml:space="preserve">50</w:t>
      </w:r>
    </w:p>
    <w:p>
      <w:pPr>
        <w:tabs>
          <w:tab w:val="right" w:pos="8838" w:leader="dot"/>
        </w:tabs>
        <w:spacing w:after="0" w:before="0" w:line="360"/>
        <w:ind w:left="567" w:right="0"/>
      </w:pPr>
      <w:r>
        <w:rPr>
          <w:rFonts w:ascii="Arial" w:cs="Arial" w:eastAsia="Arial" w:hAnsi="Arial"/>
          <w:color w:val="000000"/>
          <w:sz w:val="22"/>
          <w:szCs w:val="22"/>
        </w:rPr>
        <w:t xml:space="preserve">1.9.6. El contenido exigible y el alcance del control	</w:t>
      </w:r>
      <w:r>
        <w:rPr>
          <w:rFonts w:ascii="Arial" w:cs="Arial" w:eastAsia="Arial" w:hAnsi="Arial"/>
          <w:color w:val="000000"/>
          <w:sz w:val="22"/>
          <w:szCs w:val="22"/>
        </w:rPr>
        <w:t xml:space="preserve">52</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examinaron la inferencia probatoria como operación individual. Queda por resolver una cuestión distinta y decisiva para esta investigación. 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Este apartado examina el fundamento de ese presupuesto y, sobre todo, sus límites. La conclusión anticipa el diseño del capítulo tercero. El conjunto importa, aunque no de la manera que el holismo narrativo sugiere, y precisar esa diferencia resulta indispensable para que la propuesta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Tres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Lo hace al convertir los hechos en proposiciones inferidas de la experiencia general, con lo que desatiende indebidamente las circunstancias del caso concreto (Amaya, 2015, p. 95). Las tres objeciones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Declarar que un elemento no acredita nada por sí solo es compatible con que el conjunto al que pertenece sí acredite algo. Confundir ambas afirmaciones es el error que el capítulo segundo documenta en el caso de referencia, cuando la sentencia sostiene que los elementos aportados solo constituyen un indicio. El singular de esa fórmula delata la operación: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El derecho mexicano recogió la objeción holista desde 1974</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El criterio mexicano no requiere, por tanto,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El holismo narrativo es peligroso y no puede fundar el protocolo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quedaría incompleta y sería tendenciosa si omitiera las objeciones que el holismo ha recibido. Amaya (2015) las recoge con detalle, y este trabajo las asume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un protocolo, porque el protocolo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y conviene registrarlo porque su obra integra el corpus de este trabajo. Amaya (2015) recoge que el autor previene contra los peligros de adoptar un enfoque holista, porque sugiere decidir con base en algo distinto de las pruebas (p. 125). Las teorías holistas desatenderían así problemas como la definición del hecho, la relevancia de la prueba y la carga probatoria. En su propia obra Taruffo (2013) resulta todavía más tajante. Considera inatendible y desviante la perspectiva holística propuesta por algunos exponentes del narrativismo judicial (p. 59). La objeción no admite despacho rápido, y obliga a precisar con cuidado qué se toma del holismo y qué se deja fuera. Una tesis que ignorase esa advertencia quedaría expuesta a la réplica más obvia.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1.6.4. </w:t>
      </w:r>
      <w:r>
        <w:rPr>
          <w:rFonts w:ascii="Arial" w:cs="Arial" w:eastAsia="Arial" w:hAnsi="Arial"/>
          <w:i/>
          <w:iCs/>
          <w:color w:val="000000"/>
          <w:sz w:val="24"/>
          <w:szCs w:val="24"/>
        </w:rPr>
        <w:t xml:space="preserve">La pregunta correcta es por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Su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Tanto el análisis atomista como las apreciaciones holistas desempeñan, en consecuencia, un papel importante en la inferencia jurídica (Amaya, 2015, p. 96). Ningún modelo por sí solo describe la inferencia jurídica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el desplazamiento de la pregunta que este trabajo adopta. La cuestión correcta no consiste en determinar si un modelo de inferencia es o no correcto, sino en determinar cuál es el dominio propio de cada uno (Amaya, 2015, p. 97). Formulada así, la disputa entre atomismo y holismo deja de ser una elección entre doctrinas rivales. Se convierte en un problema de asignación, consistente en determinar qué operación corresponde a cada fase del razonamiento probatorio. La reformulación permite conservar lo que el holismo aporta sin incurrir en los riesgos que sus críticos denuncian.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gobernará el paso cuarto del protocolo. La adminiculación que este trabajo propone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No autoriza a sustituir el examen de los elementos por la elección del relato más convincente. Con esa delimitación, el mandato del artículo 16, párrafo 3, queda a salvo de la objeción de Taruffo. Conserva además el fundamento epistemológico que le suministra la eliminación de hipótesis alternativas, examinada en el apartado anterior.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reconstruyeron la estructura de la inferencia probatoria y sus criterios de solidez. Queda por resolver una cuestión previa a esa construcción y que ha generado más confusión doctrinal de la que merece. Tanto la Suprema Corte como la jurisprudencia electoral mexicana remiten a la «libre convicción» y a la «sana crítica» como fundamentos de la valoración. Ambas expresiones sugieren, a primera vista, que el juzgador goza de discreción amplia para decidir conforme a su conciencia. Este apartado examina qué significa realmente cada una de esas expresiones, cuál es el alcance legítimo de esa discreción y por qué la confusión entre el significado originario y sus usos posteriores ha generado un problema de controlabilidad de las sentencias. La conclusión anticipada es que la «libre convicción» es un principio metodológico negativo —rechaza el apriorismo legal— pero no un criterio positivo de valoración, y que la «sana crítica» nunca fue un criterio sustantivo sino una referencia a máximas de experiencia.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versus criterio positivo de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es fundamental y ha quedado opacada por el uso indiferenciado de ambas expresiones. Gascón (2010) la traza con precisión al examinar la historia de la libre convicción en el derecho procesal. El rechazo de la prueba legal fue un giro revolucionario. La prueba legal predeterminaba el valor de cada medio mediante reglas abstracción: el testigo presenciador, la confesión espontánea, el documento público, cada uno tenía un peso fijo establecido por la ley. La libre convicción fue la reacción contra ese sistema fetichista. Su propósito consiste simplemente en «el rechazo de las pruebas legales como suficientes para determinar la decisión» (Gascón, 2010,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Por eso Gascón afirma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2010, p. 142). La línea que separa ambas cosas es la que separa lo permitido de lo prescrito: la libre convicción permite al juzgador desligarse de reglas aprióricas; no prescribe cómo decidir sin ellas. Confundir ambas cosas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desviación histórica: de principio a subjetividad descontrolada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2010, p. 142). Con ese cambio de significado, la libre convicción dejó de ser una garantía epistemológica y se convirtió en una puerta abierta a la subjetividad descontrolada. La gravedad de esa deriva no es apreciación de este trabajo: Gascón (2010) recoge que Ferrajoli no duda en calificarla como «una de las páginas políticamente más amargas e intelectualmente más deprimentes de la historia de las instituciones penales» (p. 34). El juzgador recibía el encargo de «decidir según su conciencia» o según su «íntima convicción», pero sin instrucción acerca de cómo formar esa convicción racionalmente. Nieva Fenoll (2015) describe el problema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que ocurrió en la jurisprudencia penal angloamericana es instructivo.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Lo que quedó en su lugar fue precisamente lo que la libre convicción no era en su origen: la convicción íntima del juzgador, inaprensible, incomunicable, imposible de verificar. El problema es que «bajo tales estándares» la convicción se vuelve parasitaria de su propia base: el jurado debe determinar si la culpabilidad se ha probado, pero sin regla que le diga cuándo ha alcanzado esa convicción (Laudan, 2005, p. 106). En esas circunstancias, la «libre convicción» deja de ser una garantía y se convierte en un problema.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no es un criterio sino una referencia a máximas de experiencia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«sana crítica» ocurre algo parecido, aunque su historia es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 317 de la Ley de Enjuiciamiento Civil de 1855 disponía que los jueces valorarían las declaraciones testificales «según las reglas de la sana crítica». Pero, como Nieva observa,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es todo cuanto puede ser. No proporciona un método, ni siquiera una orientación clara. Solo apunta en la dirección correcta: que el juzgador use el juicio para aplicar máximas de experiencia. Pero eso no es lo que ha llegado a significar en la práctica, donde la «sana crítica» se ha convertido en un sinónimo vagamente tranquilizador de «el juez decide como considera conveniente». La realidad es que la doctrina española fue más consciente del problema de lo que la práctica posterior sugiere. Nieva Fenoll recoge que la doctrina española de los siglos XVII-XIX «fue bien consciente de este problema, aunque con motivaciones que ensobrecieron la etología del problema y, por tanto, su solución» (Nieva Fenoll, 2015, p. 89), porque temían que un criterio estricto menguase la autoridad del juez.</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1.7.4.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confusión entre principio negativo y criterio positivo encuentra su expresión más clara en la pretensión de que la «convicción íntima» o la «confianza subjetiva» pueden funcionar como estándar de prueba. Laudan (2005) dedica su artículo precisamente a demostrar que no pueden. Un estándar de prueba, para serlo, debe cumplir una función precisa: proporcionar al juzgador una regla que le permita saber cuándo ha alcanzado suficiente certeza para decidir. Eso presupone una medida, algo que pueda comunicarse, verificarse y discutirse. La «íntima convicción» no es ninguna de esas cosas.</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parte de una observación sobre los estándares penales angloamericanos. Oficialmente, el estándar es «más allá de una duda razonable», que sugiere una medida epistémica. Pero en la práctica, muchos jueces y juristas lo han reinterpretado como «la confianza subjetiva que cada juez sienta», transformando un criterio en la negación de un criterio (Laudan, 2005, p. 99). El resultado es problemático. Si el estándar es «la convicción íntima de cada juez», entonces dos jueces enfrentados a la misma evidencia pueden aplicar el mismo estándar y llegar a conclusiones opuestas. El ejemplo que Laudan construye es particularmente claro: si un juez asigna una probabilidad de 90% a la culpabilidad y otro la asigna de 95%, y ambos declaran que tienen «confianza» en esa estimación, ¿cuál de ellos aplicó el estándar correctamente? «Si el estándar en ese lugar es el BARD, la pregunta se reduce a esto: ¿estás completamente persuadido de que él lo cometió? Si, por el contrario, han sido abogados académicos los que han impuesto su forma de entender el estándar y han establecido que éste es del 90%, la pregunta que debes hacerte será: ¿tu evaluación de la probabilidad de culpabilidad es mayor del 90%?» (Laudan, 2005,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destaca que confundir la subjetividad de la convicción inicial del juez con la verificabilidad del estándar produce una consecuencia indeseable: «en realidad, las frases construidas por la doctrina alemana en nada se diferencian de los estándares de prueba anglosajonas. No orientan a jurados, sino a jueces y finalmente, eso es exactamente la misma» (Nieva Fenoll, 2015, p. 92). La conclusión es incómoda pero inevitable. Si todos los jueces dicen que tienen «convicción» pero no especifican en qué consiste, entonces no hay estándar verificable de que todos apliquen el mismo criterio.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1.7.5. </w:t>
      </w:r>
      <w:r>
        <w:rPr>
          <w:rFonts w:ascii="Arial" w:cs="Arial" w:eastAsia="Arial" w:hAnsi="Arial"/>
          <w:i/>
          <w:iCs/>
          <w:color w:val="000000"/>
          <w:sz w:val="24"/>
          <w:szCs w:val="24"/>
        </w:rPr>
        <w:t xml:space="preserve">La exigencia de explicitación como condición de controlabilidad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que plantean la libre convicción vaga y la sana crítica indeterminada es un problema de controlabilidad. Una valoración que no puede describirse no puede discutirse, y una sentencia que no expone la valoración que realiza deja al lector sin forma de verificar si la decisión resultó de la aplicación de criterios o de pura arbitrariedad. Por eso el artículo 16, párrafo 1, de la Ley General del Sistema de Medios de Impugnación en Materia Electoral no se limita a remitir a la «libre convicción» sino que conjuga tres estándares: «reglas de la lógica, sana crítica y experiencia». Ese triple anclaje importa, porque no es lo mismo remitir a uno solo.</w:t>
      </w:r>
    </w:p>
    <w:p>
      <w:pPr>
        <w:spacing w:after="0" w:before="0" w:line="360"/>
        <w:ind w:firstLine="708"/>
        <w:jc w:val="both"/>
      </w:pPr>
      <w:r>
        <w:rPr>
          <w:rFonts w:ascii="Arial" w:cs="Arial" w:eastAsia="Arial" w:hAnsi="Arial"/>
          <w:b w:val="false"/>
          <w:bCs w:val="false"/>
          <w:i w:val="false"/>
          <w:iCs w:val="false"/>
          <w:color w:val="000000"/>
          <w:sz w:val="24"/>
          <w:szCs w:val="24"/>
        </w:rPr>
        <w:t xml:space="preserve">La lógica proporciona criterios verificables: una conclusión que contradice sus premisas es lógicamente falsa, y eso puede demostrarse. Las máximas de experiencia pueden enunciarse y discutirse, aunque su aplicación en el caso concreto admita debates. La experiencia del juzgador, finalmente, es un factor inevitable pero debe quedar supeditada a los dos primeros. El problema comienza cuando cualquiera de estos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que el protocolo del capítulo tercero insista en la explicitación. No se trata de obligar al juzgador a decidir de un modo determinado ni de negarle su experiencia y su juicio. Se trata de hacer que lo escriba, de exigir que comunique qué regla lógica aplicó, cuál fue la máxima de experiencia y por qué la consideró aplicable, cuál fue el peso que confirió a su propia experiencia en relación con las pruebas que contradicen esa experiencia. La libre convicción, como principio negativo, seguirá siendo tan libre como siempre. Pero dejará de ser conviccción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de los apartados anteriores deja una pregunta pendiente. Si la libre convicción es un principio negativo que rechaza la tasación legal, y si la sana crítica nunca fue un criterio sustantivo, ¿qué queda? La respuesta usual es que queda la «convicción íntima» o la «confianza subjetiva» del juzgador. Este apartado examina por qué esa respuesta no resuelve el problema: una convicción subjetiva no puede funcionar como estándar de prueba, porque le falta precisamente lo que todo estándar debe tener. La conclusión tiene consecuencias prácticas decisivas para la controlabilidad de la decisión.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Qué requiere un estándar de prueba para serlo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(Laudan, 2005, p. 95).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(Laudan, 2005, pp.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histórica de la duda razonable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no es teórico. Laudan (2005) documenta cómo la historia del derecho procesal penal anglo-estadounidense registra precisamente ese proceso de degradación. El estándar oficial es la «duda razonable» (BARD). En su origen, esa expresión significaba una medida epistemológica precisa, relacionada con la epistemología de Locke y el cálculo de probabilidades (Laudan, 2005, p. 99). Pero a lo largo del siglo XX, especialmente durante el derecho estadounidense moderno, la «duda razonable» fue deliberada y lentamente desplumada de su contenido epistemológico. A través de diversas reinterpretaciones jurisprudenciales, llegó a significar simplemente «tener una alta confianza subjetiva acerca de la culpabilidad» (Laudan, 2005, p. 99). La forma jurídica se mantuvo —los jueces siguen pronunciando las palabras «más allá de una duda razonable»—, pero el contenido se evaporó. Lo que quedó en su lugar fue precisamente lo que el apartado anterior examinó: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es que el estándar se convirtió en parasitario de su propia base: el jurado debe determinar si la culpabilidad se ha probado, pero sin regla que le diga cuándo ha alcanzado esa convicción (Laudan, 2005, p. 106). En esas circunstancias, como el autor observa,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Dos vías convencionales y sus defectos comunes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examina dos intentos históricos de definir un estándar de prueba en el derecho penal, uno cualitativo y otro cuantitativo. El primer camino, que llama «duda razonable» (BARD), requiere que el juzgador tenga una «certeza moral» o «convicción que va más allá de la duda razonable» de que el acusado cometió el delito (Laudan, 2005, p. 98). El segundo camino, de corte académico- bayesiano, propone en su lugar un nivel de probabilidad (generalmente entre el 90% y el 95%) que debe alcanzarse antes de condenar (Laudan, 2005, p. 98).</w:t>
      </w:r>
    </w:p>
    <w:p>
      <w:pPr>
        <w:spacing w:after="0" w:before="0" w:line="360"/>
        <w:ind w:firstLine="708"/>
        <w:jc w:val="both"/>
      </w:pPr>
      <w:r>
        <w:rPr>
          <w:rFonts w:ascii="Arial" w:cs="Arial" w:eastAsia="Arial" w:hAnsi="Arial"/>
          <w:b w:val="false"/>
          <w:bCs w:val="false"/>
          <w:i w:val="false"/>
          <w:iCs w:val="false"/>
          <w:color w:val="000000"/>
          <w:sz w:val="24"/>
          <w:szCs w:val="24"/>
        </w:rPr>
        <w:t xml:space="preserve">Ninguno de los dos es satisfactorio. En el BARD, la dificultad radica en que la noción de «certeza moral» o «convicción» es ella misma subjetiva. Cuando Laudan pregunta qué significa que un jurado esté «completamente persuadido», la respuesta que recibe es que depende de la creencia privada de cada jurado. Así, dos jurados pueden estar igualmente seguros de la culpabilidad —uno asignando una probabilidad de 90%, otro de 95%— y ambos pueden declarar que tienen «confianza» en esa estimación. Pero ¿cuál de ellos aplicó el estándar correctamente? Si el estándar es BARD,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por su parte, tropieza con un obstáculo diferente. Incluso si se estableciera de forma explícita que el estándar es una probabilidad de 95%, esa precisión no elimina la subjetividad de la estimación inicial. Laudan (2005) ilustra el punto con un ejemplo constructor. Si un juez comienza un caso asignando una probabilidad previa de inocencia de 95%, y después examina la evidencia, llega a una estimación final de probabilidad de culpabilidad. Pero esa estimación final depende de sus creencias iniciales —lo que él cree que es «probable»— acerca de si el acusado es culpable o inocente. Si otro juez comienza el mismo caso con una presunción de inocencia de 50% —es decir, con una creencia inicial completamente neutral—,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1.8.4. </w:t>
      </w:r>
      <w:r>
        <w:rPr>
          <w:rFonts w:ascii="Arial" w:cs="Arial" w:eastAsia="Arial" w:hAnsi="Arial"/>
          <w:i/>
          <w:iCs/>
          <w:color w:val="000000"/>
          <w:sz w:val="24"/>
          <w:szCs w:val="24"/>
        </w:rPr>
        <w:t xml:space="preserve">El problema de la uniformidad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fundamental que afecta a ambas vías es que hacen que el estándar dependa de datos que no pueden uniformarse. Laudan (2005) lo expresa así: en un sistema donde el estándar de prueba es la «convicción subjetiva del juzgador respecto de la culpabilidad», la determinación de cuándo se ha satisfecho el estándar «dependerá inevitablemente, entre otras cosas, de las creencias subjetivas iniciales del jurado acerca de la culpabilidad o inocencia» (Laudan, 2005, p. 101). Eso significa que dos jueces enfrentados a exactamente la misma evidencia pueden aplicar lo que creen es el mismo estándar y llegar a conclusiones completamente opuestas, sin que exista criterio alguno para resolver el desacuerdo.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agrega una observación sobre lo que esto implica para el sistema. Si múltiples jueces dicen que tienen «convicción» pero no especifican en qué consiste, entonces «no hay distinción» entre los estándares como hasta aquí considerados (Laudan, 2005, p. 92), que derivó en que los estándares de prueba «no orientan a jurados, sino a jueces y finalmente, eso es exactamente la misma» (p. 92). La conclusión es incómoda pero inexorable: si todos los jueces declaran tener «convicción» pero nunca tienen que explicar en qué consiste esa convicción, entonces no existe estándar verificable que todos apliquen.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1.8.5. </w:t>
      </w:r>
      <w:r>
        <w:rPr>
          <w:rFonts w:ascii="Arial" w:cs="Arial" w:eastAsia="Arial" w:hAnsi="Arial"/>
          <w:i/>
          <w:iCs/>
          <w:color w:val="000000"/>
          <w:sz w:val="24"/>
          <w:szCs w:val="24"/>
        </w:rPr>
        <w:t xml:space="preserve">La función de un estándar en la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Hay un nivel más profundo en el que la subjetividad incapacita al estándar. Laudan (2005) sostenía que el único mecanismo para distribuir errores en favor del acusado es un estándar no-subjetivo de la prueba. Si situamos ese estándar en la altura correcta, capturará completamente nuestras creencias compartidas acerca de la razón apropiada de absoluciones falsas a condenas falsas (Laudan, 2005, p. 112). Una regla de prueba que funciona verdaderamente cumple una tarea de ingeniería social: especifica de antemano cuál es la proporción de errores que la sociedad está dispuesta a tolerar y luego vincula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Pero eso solo es posible si el estándar es independiente de la psicología individual del juez. Cuando el estándar es «la convicción íntima» o «la confianza subjetiva», el sistema renuncia a esa capacidad. En su lugar, lo que queda es un estándar parasitario del nivel de confianza que el investigador (esto es, el jurado) tenga respecto de la culpabilidad del acusado (Laudan, 2005, p. 106). No hay forma de saber de antemano cuál será el resultado, porque depende de datos que no pueden controlarse: las creencias privadas de cada juez acerca de lo que es «probable» o «seguro».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1.8.6. </w:t>
      </w:r>
      <w:r>
        <w:rPr>
          <w:rFonts w:ascii="Arial" w:cs="Arial" w:eastAsia="Arial" w:hAnsi="Arial"/>
          <w:i/>
          <w:iCs/>
          <w:color w:val="000000"/>
          <w:sz w:val="24"/>
          <w:szCs w:val="24"/>
        </w:rPr>
        <w:t xml:space="preserve">La conclusión operativa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cierra su argumento con una conclusión que resulta directamente aplicable al problema mexicano. Si el estándar de prueba fuese formulado en términos de una probabilidad específica —digamos el 90% o el 95%—,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Pero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punto crítico, que trasciende la academia y toca el núcleo de la controlabilidad judicial, es que para que un estándar funcione efectivamente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1.9. </w:t>
      </w:r>
      <w:r>
        <w:rPr>
          <w:rFonts w:ascii="Arial" w:cs="Arial" w:eastAsia="Arial" w:hAnsi="Arial"/>
          <w:i/>
          <w:iCs/>
          <w:color w:val="000000"/>
          <w:sz w:val="24"/>
          <w:szCs w:val="24"/>
        </w:rPr>
        <w:t xml:space="preserve">Motivación como control externo de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dejaron el problema planteado en toda su crudeza. La inferencia probatoria tiene una estructura identificable y criterios de solidez que pueden enunciarse. El conjunto de elementos aporta algo que sus piezas aisladas no aportan. La libre convicción es un principio negativo que no dice cómo valorar. Y un estándar subjetivo no es un estándar, porque carece de medida, de comunicabilidad y de verificabilidad. Falta responder qué mecanismo obliga al juzgador a hacer visible la operación que realiza. Ese mecanismo es la motivación, y este apartado examina por qué no se trata de un requisito formal añadido al final de la sentencia, sino de la condición que convierte la valoración en una actividad controlable. La conclusión cierra el capítulo y entrega al capítulo tercero la rejilla con la que se construirá el protocolo.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1.9.1. </w:t>
      </w:r>
      <w:r>
        <w:rPr>
          <w:rFonts w:ascii="Arial" w:cs="Arial" w:eastAsia="Arial" w:hAnsi="Arial"/>
          <w:i/>
          <w:iCs/>
          <w:color w:val="000000"/>
          <w:sz w:val="24"/>
          <w:szCs w:val="24"/>
        </w:rPr>
        <w:t xml:space="preserve">La garantía de cierre del sistema cognoscitivista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Conviene comenzar por el diagnóstico que justifica la exigencia. Andrés Ibáñez (1992) localiza con precisión el punto ciego de la función jurisdiccional. La </w:t>
      </w:r>
      <w:r>
        <w:rPr>
          <w:rFonts w:ascii="Arial" w:cs="Arial" w:eastAsia="Arial" w:hAnsi="Arial"/>
          <w:b w:val="false"/>
          <w:bCs w:val="false"/>
          <w:i/>
          <w:iCs/>
          <w:color w:val="000000"/>
          <w:sz w:val="24"/>
          <w:szCs w:val="24"/>
        </w:rPr>
        <w:t xml:space="preserve">quaestio facti</w:t>
      </w:r>
      <w:r>
        <w:rPr>
          <w:rFonts w:ascii="Arial" w:cs="Arial" w:eastAsia="Arial" w:hAnsi="Arial"/>
          <w:b w:val="false"/>
          <w:bCs w:val="false"/>
          <w:i w:val="false"/>
          <w:iCs w:val="false"/>
          <w:color w:val="000000"/>
          <w:sz w:val="24"/>
          <w:szCs w:val="24"/>
        </w:rPr>
        <w:t xml:space="preserve"> es el momento de ejercicio del poder judicial por antonomasia, porque es en la reconstrucción o en la elaboración de los hechos donde el juez es más soberano, más difícilmente controlable, y donde, por ende, puede ser más arbitrario (p. 261). Gascón (2010) llega al mismo lugar por su propia vía: el juicio de hecho es tan problemático o más que el juicio de derecho, y en él la discrecionalidad del juzgador es mayor que en la interpretación de las normas, pese a que esa discrecionalidad haya pasado por alto a la mayoría de los juristas (p. 174). El desequilibrio es notable. La zona donde el poder judicial es más libre es también aquella sobre la que la cultura jurídica ha producido menos controles.</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zona, la motivación opera como el instrumento que impide que la libertad valorativa se convierta en arbitrio. Andrés Ibáñez (1992) recupera la fórmula de Calamandrei, para quien la motivación constituye el signo más importante y típico de la racionalización de la función judicial (p. 257). El autor precisa además por qué funciona: el simple hecho de ampliar el campo de lo observable de la decisión, no sólo para los destinatarios directos sino al mismo tiempo e inevitablemente para terceros, comporta para el autor de aquélla la exigencia de un plus de justificación del acto y una mayor exposición de éste a la opinión (pp. 257-258). No es la sanción lo que disciplina, sino la exposición.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traduce esa idea al lenguaje del modelo cognoscitivista que el apartado 1.1 dejó asentado. Si valorar consiste en verificar enunciados fácticos, entonces «el principio valorativo de la libre convicción no tiene sentido si no se conecta a su vez con la exigencia de motivación, de explicitación de las razones que apoyan la verificación de esos enunciados, pues en otro caso la libre valoración se convertiría en valoración libre, discrecional, subjetiva y arbitraria» (p. 175). La distinción entre valoración libre y libre valoración no es un juego de palabras. Marca la diferencia entre un sistema que confía en el juzgador porque puede revisarlo y uno que confía porque no puede. De ahí la conclusión que este trabajo asume: si la motivación no es directamente una garantía epistemológica, sí lo es indirectamente, en la medida en que permite un control sobre ese irreductible espacio de discrecionalidad que es el ámbito de la libre valoración, y constituye por ello la «garantía de cierre del sistema cognoscitivista» (Gascón, 2010, p. 177).</w:t>
      </w:r>
    </w:p>
    <w:p>
      <w:pPr>
        <w:spacing w:after="0" w:before="0" w:line="360"/>
        <w:ind w:firstLine="708"/>
        <w:jc w:val="both"/>
      </w:pPr>
      <w:r>
        <w:rPr>
          <w:rFonts w:ascii="Arial" w:cs="Arial" w:eastAsia="Arial" w:hAnsi="Arial"/>
          <w:b w:val="false"/>
          <w:bCs w:val="false"/>
          <w:i w:val="false"/>
          <w:iCs w:val="false"/>
          <w:color w:val="000000"/>
          <w:sz w:val="24"/>
          <w:szCs w:val="24"/>
        </w:rPr>
        <w:t xml:space="preserve">Interesa fijar con exactitud qué aporta y qué no aporta esa garantía, porque el apartado anterior demostró que la convicción subjetiva falla en tres frentes. No es medida, no puede comunicarse y no puede verificarse. La motivación resuelve los dos últimos y no resuelve el primero. Obliga a comunicar y hace posible verificar, pero no dice cuánto basta. Una sentencia puede estar impecablemente motivada y aplicar, sin decirlo, un umbral distinto del que aplicó la sentencia anterior sobre el mismo tipo de hechos. Motivación y estándar son, por tanto, exigencias complementarias y no intercambiables: la primera es objeto de este apartado y la segunda del capítulo cuarto. Confundirlas conduce al error de suponer que basta escribir más para decidir mejor.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1.9.2. </w:t>
      </w:r>
      <w:r>
        <w:rPr>
          <w:rFonts w:ascii="Arial" w:cs="Arial" w:eastAsia="Arial" w:hAnsi="Arial"/>
          <w:i/>
          <w:iCs/>
          <w:color w:val="000000"/>
          <w:sz w:val="24"/>
          <w:szCs w:val="24"/>
        </w:rPr>
        <w:t xml:space="preserve">Dos funciones y un destinatario que excede a las partes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doctrina distingue con nitidez dos funciones de la motivación, y la distinción tiene consecuencias directas para el diseño del control en materia electoral. Gascón (2010) las expone como función extraprocesal —política, democrática, vinculada al control externo de la decisión— y función endoprocesal —técnico-jurídica, vinculada al control interno mediante los recursos— (p. 178). La primera consiste en mostrar el esfuerzo realizado por el juez en el juicio de hecho y posibilitar de ese modo un control público. La segunda facilita a los órganos de revisión un conocimiento más claro y detallado de las razones del fallo, y facilita también a la parte perjudicada su eventual impugnación, hasta el punto de que la motivación llega a ser, en la fórmula de Calamandrei que la autora recoge, el espejo revelador de los errores del juzgador (pp. 179-180).</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subraya que la segunda no puede absorber a la primera. La motivación como mecanismo de garantía, en un diseño procesal de raíz constitucional, «no puede limitar su funcionalidad al ámbito de las relaciones inter partes, asumiendo necesariamente una función extraprocesal» (p. 261). De esa función deriva la apertura de un ámbito de relaciones cuyos sujetos son, por un lado, el tribunal y, por otro, la totalidad de los asociados, que se constituyen en destinatarios de la sentencia e interlocutores de aquél (p. 261).</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ofrece la formulación más útil para el problema electoral. La constitucionalización del deber de motivar implica una transformación de las funciones asignadas a la motivación: a la tradicional función endoprocesal se agregó una función extraprocesal, de modo que «la motivación representa, en efecto, la garantía de la controlabilidad del ejercicio del poder judicial fuera del contexto procesal, y entonces por parte del </w:t>
      </w:r>
      <w:r>
        <w:rPr>
          <w:rFonts w:ascii="Arial" w:cs="Arial" w:eastAsia="Arial" w:hAnsi="Arial"/>
          <w:b w:val="false"/>
          <w:bCs w:val="false"/>
          <w:i/>
          <w:iCs/>
          <w:color w:val="000000"/>
          <w:sz w:val="24"/>
          <w:szCs w:val="24"/>
        </w:rPr>
        <w:t xml:space="preserve">quivis de populo</w:t>
      </w:r>
      <w:r>
        <w:rPr>
          <w:rFonts w:ascii="Arial" w:cs="Arial" w:eastAsia="Arial" w:hAnsi="Arial"/>
          <w:b w:val="false"/>
          <w:bCs w:val="false"/>
          <w:i w:val="false"/>
          <w:iCs w:val="false"/>
          <w:color w:val="000000"/>
          <w:sz w:val="24"/>
          <w:szCs w:val="24"/>
        </w:rPr>
        <w:t xml:space="preserve"> y de la opinión pública en general» (p. 104). El autor añade una precisión decisiva frente a la objeción habitual, según la cual ese control externo rara vez se ejerce de hecho: «el significado profundo de las garantías está, en efecto, en la posibilidad de que el control sea puesto en práctica, no en el hecho de que sea efectuado concretamente en cada caso individual» (p. 104). La garantía no depende de que alguien la use, sino de que pueda usarse.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observación resulta especialmente pertinente en el contencioso electoral. Una sentencia que resuelve sobre la validez de una elección no afecta solo a quien impugnó y a quien fue declarado electo. Afecta a un cuerpo electoral que no es parte y que, sin embargo, es destinatario del resultado. Si la única función reconocida a la motivación fuese facilitar el recurso, en una materia donde muchas decisiones son terminales el deber quedaría vaciado precisamente allí donde más importa. Taruffo (2013) conecta expresamente ese punto con la forma de organización política: la idea de la motivación como instrumento de control externo sobre la justificación de la decisión está ligada a una concepción democrática del ejercicio del poder, mientras que la imposibilidad de control sobre el fundamento de la decisión corresponde a una concepción autoritaria (pp. 107-108).</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1.9.3. </w:t>
      </w:r>
      <w:r>
        <w:rPr>
          <w:rFonts w:ascii="Arial" w:cs="Arial" w:eastAsia="Arial" w:hAnsi="Arial"/>
          <w:i/>
          <w:iCs/>
          <w:color w:val="000000"/>
          <w:sz w:val="24"/>
          <w:szCs w:val="24"/>
        </w:rPr>
        <w:t xml:space="preserve">La motivación retroactúa sobre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Hay una tercera función, menos evidente y más poderosa que las dos anteriores, que este trabajo considera el argumento central del apartado. La obligación de motivar no opera solamente después de decidir: opera sobre el modo de decidir.</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lo expresa con claridad. La exigencia de trasladar a terceros los verdaderos motivos de la decisión, lejos de resolverse en una simple exteriorización formal de éstos, «retroactúa sobre la propia dinámica de formación de la motivación y de la misma resolución en todos sus planos; obligando a quien la adopta a operar, ya desde el principio, con unos parámetros de racionalidad expresa y de conciencia autocrítica mucho más exigentes» (p. 291). Y remata con una frase que condensa el argumento: «no es lo mismo resolver conforme a una corazonada, que hacerlo con criterios idóneos para ser comunicados» (p. 291). El autor recoge en ese punto la observación de Ubertis, según la cual quien sabe que tiene que motivar encuentra ya el campo de las soluciones eventuales restringido al de las opciones racionalmente justificables, y se vería constreñido a rechazar una determinada opción, quizá conforme a sus principios, cuando no fuese capaz de argumentarla favorablemente (p. 291).</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desarrolla la misma idea como tercera función de la motivación, esta vez respecto del propio juez, quien, a sabiendas de que tiene que motivar, estaría en mejores condiciones de descubrir errores de su razonamiento que pudieran haberle pasado desapercibidos (p. 180). La autora recoge de Taruffo la formulación de que la conciencia de tener que motivar «condicione la formulación de la decisión sometiéndola a controles racionales y jurídicos», y describe el efecto con precisión: la exigencia retroactúa sobre el propio </w:t>
      </w:r>
      <w:r>
        <w:rPr>
          <w:rFonts w:ascii="Arial" w:cs="Arial" w:eastAsia="Arial" w:hAnsi="Arial"/>
          <w:b w:val="false"/>
          <w:bCs w:val="false"/>
          <w:i/>
          <w:iCs/>
          <w:color w:val="000000"/>
          <w:sz w:val="24"/>
          <w:szCs w:val="24"/>
        </w:rPr>
        <w:t xml:space="preserve">iter</w:t>
      </w:r>
      <w:r>
        <w:rPr>
          <w:rFonts w:ascii="Arial" w:cs="Arial" w:eastAsia="Arial" w:hAnsi="Arial"/>
          <w:b w:val="false"/>
          <w:bCs w:val="false"/>
          <w:i w:val="false"/>
          <w:iCs w:val="false"/>
          <w:color w:val="000000"/>
          <w:sz w:val="24"/>
          <w:szCs w:val="24"/>
        </w:rPr>
        <w:t xml:space="preserve"> de adopción de la decisión provocando la expulsión de los elementos de convicción no susceptibles de justificación y propiciando que la decisión se adopte conforme a criterios aptos para ser comunicados, «en detrimento de la "corazonada", que resultará más difícil de justificar» (p. 180). Taruffo (2013) lo confirma en su propia obra: el juez que sepa que tiene que motivar será inducido a razonar correctamente aun cuando está evaluando las pruebas y formulando la decisión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práctica es la que interesa retener para el capítulo tercero. Si la exigencia de motivar retroactúa sobre la decisión, entonces el paso de motivación analítica no es el último de un protocolo sino una condición de todos los anteriores. Un juzgador que sabe que deberá enunciar la máxima de experiencia empleada tenderá a escoger una máxima defendible; uno que sabe que deberá justificar por qué descartó una prueba de descargo tenderá a examinarla antes de descartarla. Andrés Ibáñez (1992) describe el propósito de la motivación como el de implicar y comprometer al juzgador «para evitar la aceptación acrítica, como convicción, de alguna de las "peligrosas sugestiones de la 'certeza subjetiva'"» (p. 292). Es exactamente el peligro que el apartado anterior documentó.</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1.9.4. </w:t>
      </w:r>
      <w:r>
        <w:rPr>
          <w:rFonts w:ascii="Arial" w:cs="Arial" w:eastAsia="Arial" w:hAnsi="Arial"/>
          <w:i/>
          <w:iCs/>
          <w:color w:val="000000"/>
          <w:sz w:val="24"/>
          <w:szCs w:val="24"/>
        </w:rPr>
        <w:t xml:space="preserve">Qué se controla y qué no: motivación-actividad y motivación-documento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más seria que puede oponerse a lo anterior sostiene que exigir motivación equivale a exigir un imposible, porque nadie puede reproducir por escrito el proceso mental que lo condujo a una conclusión. La objeción se disuelve mediante una distinción que Gascón (2010) formula con economía. La motivación-actividad es «el procedimiento mental que ha conducido al juez a formular como verdadero un enunciado sobre los hechos del caso», y versa por tanto sobre el contexto de descubrimiento. La motivación-documento es «el conjunto de enunciados del discurso judicial (o el documento en el que se plasman) en los que se aportan las razones que permiten aceptar otros enunciados fácticos como verdaderos», y versa sobre el contexto de justificación (p. 184). Lo que el derecho exige, y lo único que puede exigir, es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distinción en términos de razonamientos. Hay que discernir entre el razonamiento con el cual el juez llega a la decisión y el razonamiento con el cual la justifica. El primero tiene carácter heurístico: avanza según hipótesis verificadas o falsificadas y se articula en una secuencia de elecciones. La motivación, en cambio, consiste en un razonamiento justificativo que presupone la decisión y está orientado a mostrar que hay buenas razones y argumentos lógicamente correctos para considerarla válida y aceptable (p. 106). Pensar que la motivación es una grabación de lo que el juez pensó constituye, para el autor, una concepción errónea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Ahora bien, la distinción no autoriza el divorcio. Gascón (2010) rechaza por igual las dos posiciones extremas. La que separa tajantemente ambas motivaciones equivale a recabar justificación racional para aquello que ha podido descubrirse de cualquier manera, y convierte la motivación en el expediente de hipocresía formal que otorga un disfraz lógico a una decisión nacida de otros móviles. La que las identifica por completo incurre en la falacia descriptivista de entender la motivación como espejo del proceso decisorio (pp. 184-186). La fórmula de cierre es la que este trabajo adopta: «ni absoluto divorcio ni total identificación», de modo que en un modelo cognoscitivista la motivación-documento ha de coincidir con la motivación-actividad eliminando de ella los elementos no susceptibles de justificación racional (pp. 186-187). Y con ello la regla operativa: «no se motiva apelando a la "íntima convicción", pues ésta no justifica nada, sino apelando a buenas razones capaces de una comunicación intersubjetiva» (p. 186). En el mismo sentido, tampoco se motiva apelando al conocimiento privado del juzgador, porque «la motivación no puede resumirse en un "esto es así porque yo lo sé"» (Gascón, 2010, p. 182). La precisión importa en materia electoral, donde la invocación de la notoriedad de ciertos hechos es frecuente y donde no siempre se distingue lo que es de dominio público de lo que el juzgador simplemente sabe.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produce además un rendimiento que conviene explicitar, porque desactiva la objeción de que exigir motivación convierte al órgano revisor en una nueva instancia sobre los hechos. Gascón (2010) precisa que «el control sobre la motivación sólo enjuicia si las argumentaciones esgrimidas en favor de una decisión permiten sostener ésta, de manera que si la motivación no resulta adecuada no se le abre al órgano de control […] la vía para valorar él mismo la prueba —y por lo tanto adoptar una nueva decisión—, sino sólo la posibilidad de poner de manifiesto el vicio de motivación» (p. 187). Controlar la motivación no es revalorar. Es verificar si lo escrito sostiene lo resuelto.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1.9.5. </w:t>
      </w:r>
      <w:r>
        <w:rPr>
          <w:rFonts w:ascii="Arial" w:cs="Arial" w:eastAsia="Arial" w:hAnsi="Arial"/>
          <w:i/>
          <w:iCs/>
          <w:color w:val="000000"/>
          <w:sz w:val="24"/>
          <w:szCs w:val="24"/>
        </w:rPr>
        <w:t xml:space="preserve">Completitud: la motivación no admite selección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Establecido qué se controla, queda por determinar sobre qué debe recaer la justificación. La respuesta doctrinal es unánime y exigente: sobre todo.</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enuncia el principio de completitud. Si la motivación tiene que hacer posible el control de las razones por las cuales el juez ejerció de cierta manera sus poderes decisorios, entonces «la motivación debe justificar todas las elecciones que el juez realizó para llegar a la decisión final. Si algunas elecciones quedan faltas de justificación, de hecho, eso implica que el control sobre su fundamento racional no es posible» (p. 104). El principio se despliega en la distinción, común en la teoría de la argumentación, entre justificación interna —la conexión lógica entre premisas y conclusión— y justificación externa —la elección de las premisas de las que la decisión se origina— (p. 104; también Gascón, 2010, p. 172). A la justificación externa de la premisa fáctica atañen las razones por las que el juzgador reconstruyó de determinada manera los hechos, lo que implica proveer argumentos racionales relativos a cómo evaluó las pruebas y a las inferencias lógicas mediante las cuales llegó a sus conclusiones (Taruffo, 2013, p. 105).</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derivan dos exigencias concretas que el protocolo del capítulo tercero recoge. La primera recae sobre la valoración de cada elemento: el juez tiene que explicar por qué consideró confiable o no a un testigo, y «debe explicar con base en qué inferencias consideró que un indicio dado lleva a una determinada conclusión relativa a un hecho de la causa» (Taruffo, 2013, p. 105). La segunda recae sobre lo descartado. Es necesario que el juez explicite su motivación no sólo respecto de las pruebas que evaluó positivamente, sino también, y especialmente, respecto de aquellas que juzgó inatendibles, en especial si eran contrarias a la reconstrucción que él mismo elaboró. Admitir que motive sólo con base en las pruebas favorables implica el riesgo del </w:t>
      </w:r>
      <w:r>
        <w:rPr>
          <w:rFonts w:ascii="Arial" w:cs="Arial" w:eastAsia="Arial" w:hAnsi="Arial"/>
          <w:b w:val="false"/>
          <w:bCs w:val="false"/>
          <w:i/>
          <w:iCs/>
          <w:color w:val="000000"/>
          <w:sz w:val="24"/>
          <w:szCs w:val="24"/>
        </w:rPr>
        <w:t xml:space="preserve">confirmation bias</w:t>
      </w:r>
      <w:r>
        <w:rPr>
          <w:rFonts w:ascii="Arial" w:cs="Arial" w:eastAsia="Arial" w:hAnsi="Arial"/>
          <w:b w:val="false"/>
          <w:bCs w:val="false"/>
          <w:i w:val="false"/>
          <w:iCs w:val="false"/>
          <w:color w:val="000000"/>
          <w:sz w:val="24"/>
          <w:szCs w:val="24"/>
        </w:rPr>
        <w:t xml:space="preserve">, propio de quien, al querer confirmar una evaluación propia, selecciona las informaciones disponibles eligiendo sólo las favorables y descartando </w:t>
      </w:r>
      <w:r>
        <w:rPr>
          <w:rFonts w:ascii="Arial" w:cs="Arial" w:eastAsia="Arial" w:hAnsi="Arial"/>
          <w:b w:val="false"/>
          <w:bCs w:val="false"/>
          <w:i/>
          <w:iCs/>
          <w:color w:val="000000"/>
          <w:sz w:val="24"/>
          <w:szCs w:val="24"/>
        </w:rPr>
        <w:t xml:space="preserve">a priori</w:t>
      </w:r>
      <w:r>
        <w:rPr>
          <w:rFonts w:ascii="Arial" w:cs="Arial" w:eastAsia="Arial" w:hAnsi="Arial"/>
          <w:b w:val="false"/>
          <w:bCs w:val="false"/>
          <w:i w:val="false"/>
          <w:iCs w:val="false"/>
          <w:color w:val="000000"/>
          <w:sz w:val="24"/>
          <w:szCs w:val="24"/>
        </w:rPr>
        <w:t xml:space="preserve"> las contrarias (p. 105). Por eso «la evaluación negativa de las pruebas contrarias es indispensable para justificar el fundamento de la decisión» (pp. 105-106).</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extiende la exigencia en la otra dirección, hacia los intentos de rebajarla. El deber de motivar alcanza a todas las pruebas, y aunque hay exenciones fundadas —los hechos notorios, los hechos admitidos en el proceso civil, las constataciones—, no todas las rebajas merecen el mismo juicio (pp. 180-183). La que la autora rechaza es precisamente la que la práctica forense aplica con más frecuencia: reservar la exigencia de motivación para la prueba indiciaria y aliviarla en la llamada prueba directa. El argumento es el mismo que el apartado 1.4 empleó al describir la estructura de la inferencia: «La prueba directa tiene también naturaleza inductiva, y lo único que la separa de la […] prueba indirecta o indiciaria es el número de pasos inferenciales de que consta. Nada la exime, por lo tanto, de la exigencia de motivación» (p. 183). Andrés Ibáñez (1992) llega al mismo punto y advierte de lo que verdaderamente ocurre cuando se admite la llamada motivación implícita: «la renuncia no es, como parece querer sugerirse, (solo) a la expresión de la motivación, sino a la motivación misma» (p. 290).</w:t>
      </w:r>
    </w:p>
    <w:p>
      <w:pPr>
        <w:spacing w:after="0" w:before="0" w:line="360"/>
        <w:ind w:firstLine="708"/>
        <w:jc w:val="both"/>
      </w:pPr>
      <w:r>
        <w:rPr>
          <w:rFonts w:ascii="Arial" w:cs="Arial" w:eastAsia="Arial" w:hAnsi="Arial"/>
          <w:b w:val="false"/>
          <w:bCs w:val="false"/>
          <w:i w:val="false"/>
          <w:iCs w:val="false"/>
          <w:color w:val="000000"/>
          <w:sz w:val="24"/>
          <w:szCs w:val="24"/>
        </w:rPr>
        <w:t xml:space="preserve">Queda un supuesto que exige una precisión, porque toca directamente el argumento del apartado 1.6. Gascón (2010) denuncia la figura jurisprudencial de la apreciación conjunta de la prueba, que en la práctica «no es, pues, al final, sino un subterfugio "formal" que hace pasar por discurso justificatorio lo que no lo es en absoluto; un expediente, en fin, que propicia y encubre la ausencia de motivación» (p. 177). La objeción podría parecer dirigida contra la valoración relacional que el artículo 16, párrafo 3, ordena y que este trabajo defiende. No lo está, y la diferencia debe quedar dicha. Lo que la autora denuncia es la declaración genérica de hechos probados que invoca el conjunto para no razonar ninguno de sus elementos. Lo que el apartado 1.6 defendió es la agregación analítica que valora primero cada elemento y determina después el grado de corroboración que el conjunto confiere a la hipótesis. La primera sustituye la motivación por una fórmula; la segunda la multiplica, porque obliga a justificar tanto los elementos como la relación que guardan entre sí. Precisamente por eso el paso de adminiculación del capítulo tercero se formula como operación con productos verificables y no como apreciación global.</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1.9.6. </w:t>
      </w:r>
      <w:r>
        <w:rPr>
          <w:rFonts w:ascii="Arial" w:cs="Arial" w:eastAsia="Arial" w:hAnsi="Arial"/>
          <w:i/>
          <w:iCs/>
          <w:color w:val="000000"/>
          <w:sz w:val="24"/>
          <w:szCs w:val="24"/>
        </w:rPr>
        <w:t xml:space="preserve">El contenido exigible y el alcance del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Resta convertir lo anterior en una rejilla. Gascón (2010) la ofrece al examinar qué exige la motivación de una hipótesis fáctica, que es el tipo de enunciado con el que opera la prueba por indicios. Una hipótesis está justificada si no ha sido refutada y es confirmada por las pruebas disponibles más que cualquier otra hipótesis, de modo que están presentes en esa justificación tres elementos: no refutación, confirmación y mayor confirmación que cualquier otra hipótesis sobre los mismos hechos (pp. 195-196).</w:t>
      </w:r>
    </w:p>
    <w:p>
      <w:pPr>
        <w:spacing w:after="0" w:before="0" w:line="360"/>
        <w:ind w:firstLine="708"/>
        <w:jc w:val="both"/>
      </w:pPr>
      <w:r>
        <w:rPr>
          <w:rFonts w:ascii="Arial" w:cs="Arial" w:eastAsia="Arial" w:hAnsi="Arial"/>
          <w:b w:val="false"/>
          <w:bCs w:val="false"/>
          <w:i w:val="false"/>
          <w:iCs w:val="false"/>
          <w:color w:val="000000"/>
          <w:sz w:val="24"/>
          <w:szCs w:val="24"/>
        </w:rPr>
        <w:t xml:space="preserve">Cada elemento impone deberes precisos. Justificar que la hipótesis no ha sido refutada supone demostrar que no ha habido contrapruebas o que las eventuales contrapruebas han sido destruidas (p. 196). Justificar que está confirmada requiere tres operaciones: exponer y justificar las pruebas o indicios de los que se parte, exponer y justificar la ley general —máxima de experiencia— de la que se parte, y mostrar que esos indicios constituyen una instancia particular del antecedente de esa ley general (p. 196). La autora añade que a tal efecto no se trata sólo de la consideración de cada concreto indicio, sino también de la consideración de todos los indicios en su conjunto, y recuerda, con Hempel, que el grado de confirmación de una hipótesis depende no sólo de la cantidad de datos favorables que la apoyen sino también de su variedad (pp. 196-197). Justificar, por fin, que la hipótesis está más confirmada que sus rivales exige explicar las razones por las que se eligió una y se abandonó la otra, y afecta incluso a la forma de estructurar el razonamiento en la sentencia, que «debe reflejar la confrontación de las hipótesis» (p. 197). En el proceso penal, donde la exigencia probatoria es mayor, la autora recoge de Ferrajoli que la condena sólo resulta adecuadamente justificada si, además de apoyar la hipótesis acusatoria con una pluralidad de confirmaciones no contradichas por ninguna contraprueba, está en condiciones de desmentir con adecuadas contrapruebas todas las contrahipótesis planteadas y planteables (p. 199).</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formula la misma tríada desde la exposición del modelo inductivo, y agrega dos reglas auxiliares de rendimiento inmediato. Para que la hipótesis pueda considerarse válida se precisa una pluralidad de confirmaciones, es preciso que resista las contrapruebas —una sola contraprueba eficaz basta para desvirtuarla— y tienen que resultar desvirtuadas todas las hipótesis alternativas (p. 284). A ello suma que cuanto mayor es la distancia y, por tanto, mayor el número de inferencias necesarias para derivar de los hechos probatorios el </w:t>
      </w:r>
      <w:r>
        <w:rPr>
          <w:rFonts w:ascii="Arial" w:cs="Arial" w:eastAsia="Arial" w:hAnsi="Arial"/>
          <w:b w:val="false"/>
          <w:bCs w:val="false"/>
          <w:i/>
          <w:iCs/>
          <w:color w:val="000000"/>
          <w:sz w:val="24"/>
          <w:szCs w:val="24"/>
        </w:rPr>
        <w:t xml:space="preserve">thema probandi</w:t>
      </w:r>
      <w:r>
        <w:rPr>
          <w:rFonts w:ascii="Arial" w:cs="Arial" w:eastAsia="Arial" w:hAnsi="Arial"/>
          <w:b w:val="false"/>
          <w:bCs w:val="false"/>
          <w:i w:val="false"/>
          <w:iCs w:val="false"/>
          <w:color w:val="000000"/>
          <w:sz w:val="24"/>
          <w:szCs w:val="24"/>
        </w:rPr>
        <w:t xml:space="preserve">, menor es el grado de probabilidad de la inducción probatoria, y que prueban más las pruebas que son más ricas en contenido empírico (p. 284). Sobre las máximas de experiencia el autor precisa el rendimiento concreto de la exigencia: ordenar el razonamiento en forma justificativa obliga al juzgador a ordenar el material probatorio ya contrastado, a verificar la forma en que lo ha sido y a hacer explícitas las máximas de experiencia empleadas (p. 286).</w:t>
      </w:r>
    </w:p>
    <w:p>
      <w:pPr>
        <w:spacing w:after="0" w:before="0" w:line="360"/>
        <w:ind w:firstLine="708"/>
        <w:jc w:val="both"/>
      </w:pPr>
      <w:r>
        <w:rPr>
          <w:rFonts w:ascii="Arial" w:cs="Arial" w:eastAsia="Arial" w:hAnsi="Arial"/>
          <w:b w:val="false"/>
          <w:bCs w:val="false"/>
          <w:i w:val="false"/>
          <w:iCs w:val="false"/>
          <w:color w:val="000000"/>
          <w:sz w:val="24"/>
          <w:szCs w:val="24"/>
        </w:rPr>
        <w:t xml:space="preserve">Falta, para cerrar, el problema del órgano que controla. Andrés Ibáñez (1992) desmonta la coartada que con más frecuencia se opone a la revisión del juicio de hecho. La inmediación «es, qué duda cabe, una garantía, pero sólo de carácter instrumental, preordenada a hacer posible a partir del contacto directo, una valoración racional de los actos probatorios, que pueda a su vez ser racionalmente enjuiciada por terceros» (p. 297). Cuando se la usa como barrera para vetar el acceso al examen del curso valorativo del tribunal, «se convierte en una injustificable coartada, primero para propiciar que el juez oculte sus razones; y, después, para negar legitimidad a cualquier tentativa de fiscalizarlas», con lo que acaba operando como paradójica garantía de discrecionalidad judicial incontrolada (p. 297). La salida consiste en distinguir el juicio sobre el hecho del juicio sobre el juicio, distinción que el autor toma de Ferrajoli y que permite admitir el control lógico sobre la adecuación de la motivación en materia de hecho, esto es, sobre la carencia de confirmaciones o sobre la presencia o no experimentación de contrapruebas (pp. 296-298).</w:t>
      </w:r>
    </w:p>
    <w:p>
      <w:pPr>
        <w:spacing w:after="0" w:before="0" w:line="360"/>
        <w:ind w:firstLine="708"/>
        <w:jc w:val="both"/>
      </w:pPr>
      <w:r>
        <w:rPr>
          <w:rFonts w:ascii="Arial" w:cs="Arial" w:eastAsia="Arial" w:hAnsi="Arial"/>
          <w:b w:val="false"/>
          <w:bCs w:val="false"/>
          <w:i w:val="false"/>
          <w:iCs w:val="false"/>
          <w:color w:val="000000"/>
          <w:sz w:val="24"/>
          <w:szCs w:val="24"/>
        </w:rPr>
        <w:t xml:space="preserve">Interesa registrar la formulación jurisprudencial que Andrés Ibáñez (1992) transcribe, porque su vocabulario coincide de manera casi literal con el del derecho mexicano. Una resolución del Tribunal Supremo español de 1989 declaró controlable un «segundo nivel de valoración judicial», relativo a las deducciones e inducciones que el tribunal realiza a partir de los hechos percibidos directamente, y razonó que esas inferencias pueden controlarse «precisamente porque no dependen sustancialmente de la inmediación, sino de la corrección del razonamiento que se debe fundar en las reglas de la lógica, en los principios de la experiencia y, en su caso, en conocimientos científicos» (p. 298). El artículo 16, párrafo 1, de la Ley General del Sistema de Medios de Impugnación en Materia Electoral ordena valorar conforme a las reglas de la lógica, la sana crítica y la experiencia. Si esos son los patrones que la ley impone, esos mismos son los patrones respecto de los cuales la valoración puede ser revisada: el mandato legal de valorar de cierto modo es, al mismo tiempo, el título para controlar que se haya valorado de ese modo.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final la enuncia el propio Andrés Ibáñez (1992). El defecto de motivación produce indefensión y encarna una forma de ejercicio arbitrario de un poder público, y ello no sólo en el caso de motivación incorrecta, sino también en el de pura y simple falta de expresión de la motivación (p. 299). Taruffo (2013) cierra el círculo desde el otro extremo: «a la </w:t>
      </w:r>
      <w:r>
        <w:rPr>
          <w:rFonts w:ascii="Arial" w:cs="Arial" w:eastAsia="Arial" w:hAnsi="Arial"/>
          <w:b w:val="false"/>
          <w:bCs w:val="false"/>
          <w:i/>
          <w:iCs/>
          <w:color w:val="000000"/>
          <w:sz w:val="24"/>
          <w:szCs w:val="24"/>
        </w:rPr>
        <w:t xml:space="preserve">intime conviction</w:t>
      </w:r>
      <w:r>
        <w:rPr>
          <w:rFonts w:ascii="Arial" w:cs="Arial" w:eastAsia="Arial" w:hAnsi="Arial"/>
          <w:b w:val="false"/>
          <w:bCs w:val="false"/>
          <w:i w:val="false"/>
          <w:iCs w:val="false"/>
          <w:color w:val="000000"/>
          <w:sz w:val="24"/>
          <w:szCs w:val="24"/>
        </w:rPr>
        <w:t xml:space="preserve"> sólo puede corresponderle una falta de motivación o una motivación ficticia» (p. 107). Las dos afirmaciones describen los dos polos del mismo continuo que esta investigación examina. En un extremo, la sentencia que motiva mal; en el otro, la que no motiva. Y entre ambas, la que clausura el análisis antes de tener que motivar, porque declara inoperante el agravio y con ello se ahorra decir cuánta prueba habría bastado. El capítulo segundo documenta ese tránsito en la jurisprudencia electoral mexicana; el tercero convierte la rejilla de este apartado en un protocolo de seis pasos; y el cuarto suministra lo único que la motivación, por sí sola, no puede dar: la medida.</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2026-08-08T21:41:53.107Z</dcterms:created>
  <dcterms:modified xsi:type="dcterms:W3CDTF">2026-08-08T21:41:53.108Z</dcterms:modified>
</cp:coreProperties>
</file>

<file path=docProps/custom.xml><?xml version="1.0" encoding="utf-8"?>
<Properties xmlns="http://schemas.openxmlformats.org/officeDocument/2006/custom-properties" xmlns:vt="http://schemas.openxmlformats.org/officeDocument/2006/docPropsVTypes"/>
</file>