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1.4.1. La prueba se descompone en dos fases y la segunda encadena inferencias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1.4.2. Cuatro elementos componen toda inferencia probatoria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1.4.3. La garantía admite tres fuentes y solo dos de ellas son probatorias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1.4.4. Explicitar la estructura es lo que vuelve criticable la inferencia	</w:t>
      </w:r>
      <w:r>
        <w:rPr>
          <w:rFonts w:ascii="Arial" w:cs="Arial" w:eastAsia="Arial" w:hAnsi="Arial"/>
          <w:color w:val="000000"/>
          <w:sz w:val="22"/>
          <w:szCs w:val="22"/>
        </w:rPr>
        <w:t xml:space="preserve">23</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24</w:t>
      </w:r>
    </w:p>
    <w:p>
      <w:pPr>
        <w:tabs>
          <w:tab w:val="right" w:pos="8838" w:leader="dot"/>
        </w:tabs>
        <w:spacing w:after="0" w:before="0" w:line="360"/>
        <w:ind w:left="567" w:right="0"/>
      </w:pPr>
      <w:r>
        <w:rPr>
          <w:rFonts w:ascii="Arial" w:cs="Arial" w:eastAsia="Arial" w:hAnsi="Arial"/>
          <w:color w:val="000000"/>
          <w:sz w:val="22"/>
          <w:szCs w:val="22"/>
        </w:rPr>
        <w:t xml:space="preserve">1.5.1. La remisión a la sana crítica es vaga y puede precisarse	</w:t>
      </w:r>
      <w:r>
        <w:rPr>
          <w:rFonts w:ascii="Arial" w:cs="Arial" w:eastAsia="Arial" w:hAnsi="Arial"/>
          <w:color w:val="000000"/>
          <w:sz w:val="22"/>
          <w:szCs w:val="22"/>
        </w:rPr>
        <w:t xml:space="preserve">25</w:t>
      </w:r>
    </w:p>
    <w:p>
      <w:pPr>
        <w:tabs>
          <w:tab w:val="right" w:pos="8838" w:leader="dot"/>
        </w:tabs>
        <w:spacing w:after="0" w:before="0" w:line="360"/>
        <w:ind w:left="567" w:right="0"/>
      </w:pPr>
      <w:r>
        <w:rPr>
          <w:rFonts w:ascii="Arial" w:cs="Arial" w:eastAsia="Arial" w:hAnsi="Arial"/>
          <w:color w:val="000000"/>
          <w:sz w:val="22"/>
          <w:szCs w:val="22"/>
        </w:rPr>
        <w:t xml:space="preserve">1.5.2. Cuatro criterios controlan los hechos probatorios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1.5.3. Dos criterios controlan la garantía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1.5.4. Cinco criterios controlan la hipótesis	</w:t>
      </w:r>
      <w:r>
        <w:rPr>
          <w:rFonts w:ascii="Arial" w:cs="Arial" w:eastAsia="Arial" w:hAnsi="Arial"/>
          <w:color w:val="000000"/>
          <w:sz w:val="22"/>
          <w:szCs w:val="22"/>
        </w:rPr>
        <w:t xml:space="preserve">29</w:t>
      </w:r>
    </w:p>
    <w:p>
      <w:pPr>
        <w:tabs>
          <w:tab w:val="right" w:pos="8838" w:leader="dot"/>
        </w:tabs>
        <w:spacing w:after="0" w:before="0" w:line="360"/>
        <w:ind w:left="567" w:right="0"/>
      </w:pPr>
      <w:r>
        <w:rPr>
          <w:rFonts w:ascii="Arial" w:cs="Arial" w:eastAsia="Arial" w:hAnsi="Arial"/>
          <w:color w:val="000000"/>
          <w:sz w:val="22"/>
          <w:szCs w:val="22"/>
        </w:rPr>
        <w:t xml:space="preserve">1.5.5. La solidez es gradual y esa graduación es la que un estándar debe medir	</w:t>
      </w:r>
      <w:r>
        <w:rPr>
          <w:rFonts w:ascii="Arial" w:cs="Arial" w:eastAsia="Arial" w:hAnsi="Arial"/>
          <w:color w:val="000000"/>
          <w:sz w:val="22"/>
          <w:szCs w:val="22"/>
        </w:rPr>
        <w:t xml:space="preserve">30</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1.6.1. Tres objeciones al tratamiento aislado de los elementos de prueba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1.6.2. El derecho mexicano recogió la objeción holista desde 1974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1.6.3. El holismo narrativo es peligroso y no puede fundar el protocolo	</w:t>
      </w:r>
      <w:r>
        <w:rPr>
          <w:rFonts w:ascii="Arial" w:cs="Arial" w:eastAsia="Arial" w:hAnsi="Arial"/>
          <w:color w:val="000000"/>
          <w:sz w:val="22"/>
          <w:szCs w:val="22"/>
        </w:rPr>
        <w:t xml:space="preserve">33</w:t>
      </w:r>
    </w:p>
    <w:p>
      <w:pPr>
        <w:tabs>
          <w:tab w:val="right" w:pos="8838" w:leader="dot"/>
        </w:tabs>
        <w:spacing w:after="0" w:before="0" w:line="360"/>
        <w:ind w:left="567" w:right="0"/>
      </w:pPr>
      <w:r>
        <w:rPr>
          <w:rFonts w:ascii="Arial" w:cs="Arial" w:eastAsia="Arial" w:hAnsi="Arial"/>
          <w:color w:val="000000"/>
          <w:sz w:val="22"/>
          <w:szCs w:val="22"/>
        </w:rPr>
        <w:t xml:space="preserve">1.6.4. La pregunta correcta es por el dominio de cada modelo	</w:t>
      </w:r>
      <w:r>
        <w:rPr>
          <w:rFonts w:ascii="Arial" w:cs="Arial" w:eastAsia="Arial" w:hAnsi="Arial"/>
          <w:color w:val="000000"/>
          <w:sz w:val="22"/>
          <w:szCs w:val="22"/>
        </w:rPr>
        <w:t xml:space="preserve">34</w:t>
      </w:r>
    </w:p>
    <w:p>
      <w:pPr>
        <w:tabs>
          <w:tab w:val="right" w:pos="8838" w:leader="dot"/>
        </w:tabs>
        <w:spacing w:after="0" w:before="0" w:line="360"/>
        <w:ind w:left="283" w:right="0"/>
      </w:pPr>
      <w:r>
        <w:rPr>
          <w:rFonts w:ascii="Arial" w:cs="Arial" w:eastAsia="Arial" w:hAnsi="Arial"/>
          <w:color w:val="000000"/>
          <w:sz w:val="22"/>
          <w:szCs w:val="22"/>
        </w:rPr>
        <w:t xml:space="preserve">1.7. Libre convicción como principio metodológico negativo; la sana crítica no es criterio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1.7.1. Principio negativo versus criterio positivo de valoración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1.7.2. La desviación histórica: de principio a subjetividad descontrolada	</w:t>
      </w:r>
      <w:r>
        <w:rPr>
          <w:rFonts w:ascii="Arial" w:cs="Arial" w:eastAsia="Arial" w:hAnsi="Arial"/>
          <w:color w:val="000000"/>
          <w:sz w:val="22"/>
          <w:szCs w:val="22"/>
        </w:rPr>
        <w:t xml:space="preserve">37</w:t>
      </w:r>
    </w:p>
    <w:p>
      <w:pPr>
        <w:tabs>
          <w:tab w:val="right" w:pos="8838" w:leader="dot"/>
        </w:tabs>
        <w:spacing w:after="0" w:before="0" w:line="360"/>
        <w:ind w:left="567" w:right="0"/>
      </w:pPr>
      <w:r>
        <w:rPr>
          <w:rFonts w:ascii="Arial" w:cs="Arial" w:eastAsia="Arial" w:hAnsi="Arial"/>
          <w:color w:val="000000"/>
          <w:sz w:val="22"/>
          <w:szCs w:val="22"/>
        </w:rPr>
        <w:t xml:space="preserve">1.7.3. La sana crítica no es un criterio sino una referencia a máximas de experiencia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1.7.4. Un estándar subjetivo no es un estándar	</w:t>
      </w:r>
      <w:r>
        <w:rPr>
          <w:rFonts w:ascii="Arial" w:cs="Arial" w:eastAsia="Arial" w:hAnsi="Arial"/>
          <w:color w:val="000000"/>
          <w:sz w:val="22"/>
          <w:szCs w:val="22"/>
        </w:rPr>
        <w:t xml:space="preserve">39</w:t>
      </w:r>
    </w:p>
    <w:p>
      <w:pPr>
        <w:tabs>
          <w:tab w:val="right" w:pos="8838" w:leader="dot"/>
        </w:tabs>
        <w:spacing w:after="0" w:before="0" w:line="360"/>
        <w:ind w:left="567" w:right="0"/>
      </w:pPr>
      <w:r>
        <w:rPr>
          <w:rFonts w:ascii="Arial" w:cs="Arial" w:eastAsia="Arial" w:hAnsi="Arial"/>
          <w:color w:val="000000"/>
          <w:sz w:val="22"/>
          <w:szCs w:val="22"/>
        </w:rPr>
        <w:t xml:space="preserve">1.7.5. La exigencia de explicitación como condición de controlabilidad	</w:t>
      </w:r>
      <w:r>
        <w:rPr>
          <w:rFonts w:ascii="Arial" w:cs="Arial" w:eastAsia="Arial" w:hAnsi="Arial"/>
          <w:color w:val="000000"/>
          <w:sz w:val="22"/>
          <w:szCs w:val="22"/>
        </w:rPr>
        <w:t xml:space="preserve">40</w:t>
      </w:r>
    </w:p>
    <w:p>
      <w:pPr>
        <w:tabs>
          <w:tab w:val="right" w:pos="8838" w:leader="dot"/>
        </w:tabs>
        <w:spacing w:after="0" w:before="0" w:line="360"/>
        <w:ind w:left="283" w:right="0"/>
      </w:pPr>
      <w:r>
        <w:rPr>
          <w:rFonts w:ascii="Arial" w:cs="Arial" w:eastAsia="Arial" w:hAnsi="Arial"/>
          <w:color w:val="000000"/>
          <w:sz w:val="22"/>
          <w:szCs w:val="22"/>
        </w:rPr>
        <w:t xml:space="preserve">1.8. Un estándar subjetivo no es un estándar	</w:t>
      </w:r>
      <w:r>
        <w:rPr>
          <w:rFonts w:ascii="Arial" w:cs="Arial" w:eastAsia="Arial" w:hAnsi="Arial"/>
          <w:color w:val="000000"/>
          <w:sz w:val="22"/>
          <w:szCs w:val="22"/>
        </w:rPr>
        <w:t xml:space="preserve"/>
      </w:r>
    </w:p>
    <w:p>
      <w:pPr>
        <w:tabs>
          <w:tab w:val="right" w:pos="8838" w:leader="dot"/>
        </w:tabs>
        <w:spacing w:after="0" w:before="0" w:line="360"/>
        <w:ind w:left="567" w:right="0"/>
      </w:pPr>
      <w:r>
        <w:rPr>
          <w:rFonts w:ascii="Arial" w:cs="Arial" w:eastAsia="Arial" w:hAnsi="Arial"/>
          <w:color w:val="000000"/>
          <w:sz w:val="22"/>
          <w:szCs w:val="22"/>
        </w:rPr>
        <w:t xml:space="preserve">1.8.1. Qué requiere un estándar de prueba para serlo	</w:t>
      </w:r>
      <w:r>
        <w:rPr>
          <w:rFonts w:ascii="Arial" w:cs="Arial" w:eastAsia="Arial" w:hAnsi="Arial"/>
          <w:color w:val="000000"/>
          <w:sz w:val="22"/>
          <w:szCs w:val="22"/>
        </w:rPr>
        <w:t xml:space="preserve"/>
      </w:r>
    </w:p>
    <w:p>
      <w:pPr>
        <w:tabs>
          <w:tab w:val="right" w:pos="8838" w:leader="dot"/>
        </w:tabs>
        <w:spacing w:after="0" w:before="0" w:line="360"/>
        <w:ind w:left="567" w:right="0"/>
      </w:pPr>
      <w:r>
        <w:rPr>
          <w:rFonts w:ascii="Arial" w:cs="Arial" w:eastAsia="Arial" w:hAnsi="Arial"/>
          <w:color w:val="000000"/>
          <w:sz w:val="22"/>
          <w:szCs w:val="22"/>
        </w:rPr>
        <w:t xml:space="preserve">1.8.2. La corrupción histórica de la duda razonable	</w:t>
      </w:r>
      <w:r>
        <w:rPr>
          <w:rFonts w:ascii="Arial" w:cs="Arial" w:eastAsia="Arial" w:hAnsi="Arial"/>
          <w:color w:val="000000"/>
          <w:sz w:val="22"/>
          <w:szCs w:val="22"/>
        </w:rPr>
        <w:t xml:space="preserve"/>
      </w:r>
    </w:p>
    <w:p>
      <w:pPr>
        <w:tabs>
          <w:tab w:val="right" w:pos="8838" w:leader="dot"/>
        </w:tabs>
        <w:spacing w:after="0" w:before="0" w:line="360"/>
        <w:ind w:left="567" w:right="0"/>
      </w:pPr>
      <w:r>
        <w:rPr>
          <w:rFonts w:ascii="Arial" w:cs="Arial" w:eastAsia="Arial" w:hAnsi="Arial"/>
          <w:color w:val="000000"/>
          <w:sz w:val="22"/>
          <w:szCs w:val="22"/>
        </w:rPr>
        <w:t xml:space="preserve">1.8.3. Dos vías convencionales y sus defectos comunes	</w:t>
      </w:r>
      <w:r>
        <w:rPr>
          <w:rFonts w:ascii="Arial" w:cs="Arial" w:eastAsia="Arial" w:hAnsi="Arial"/>
          <w:color w:val="000000"/>
          <w:sz w:val="22"/>
          <w:szCs w:val="22"/>
        </w:rPr>
        <w:t xml:space="preserve"/>
      </w:r>
    </w:p>
    <w:p>
      <w:pPr>
        <w:tabs>
          <w:tab w:val="right" w:pos="8838" w:leader="dot"/>
        </w:tabs>
        <w:spacing w:after="0" w:before="0" w:line="360"/>
        <w:ind w:left="567" w:right="0"/>
      </w:pPr>
      <w:r>
        <w:rPr>
          <w:rFonts w:ascii="Arial" w:cs="Arial" w:eastAsia="Arial" w:hAnsi="Arial"/>
          <w:color w:val="000000"/>
          <w:sz w:val="22"/>
          <w:szCs w:val="22"/>
        </w:rPr>
        <w:t xml:space="preserve">1.8.4. El problema de la uniformidad	</w:t>
      </w:r>
      <w:r>
        <w:rPr>
          <w:rFonts w:ascii="Arial" w:cs="Arial" w:eastAsia="Arial" w:hAnsi="Arial"/>
          <w:color w:val="000000"/>
          <w:sz w:val="22"/>
          <w:szCs w:val="22"/>
        </w:rPr>
        <w:t xml:space="preserve"/>
      </w:r>
    </w:p>
    <w:p>
      <w:pPr>
        <w:tabs>
          <w:tab w:val="right" w:pos="8838" w:leader="dot"/>
        </w:tabs>
        <w:spacing w:after="0" w:before="0" w:line="360"/>
        <w:ind w:left="567" w:right="0"/>
      </w:pPr>
      <w:r>
        <w:rPr>
          <w:rFonts w:ascii="Arial" w:cs="Arial" w:eastAsia="Arial" w:hAnsi="Arial"/>
          <w:color w:val="000000"/>
          <w:sz w:val="22"/>
          <w:szCs w:val="22"/>
        </w:rPr>
        <w:t xml:space="preserve">1.8.5. La función de un estándar en la distribución del error	</w:t>
      </w:r>
      <w:r>
        <w:rPr>
          <w:rFonts w:ascii="Arial" w:cs="Arial" w:eastAsia="Arial" w:hAnsi="Arial"/>
          <w:color w:val="000000"/>
          <w:sz w:val="22"/>
          <w:szCs w:val="22"/>
        </w:rPr>
        <w:t xml:space="preserve"/>
      </w:r>
    </w:p>
    <w:p>
      <w:pPr>
        <w:tabs>
          <w:tab w:val="right" w:pos="8838" w:leader="dot"/>
        </w:tabs>
        <w:spacing w:after="0" w:before="0" w:line="360"/>
        <w:ind w:left="567" w:right="0"/>
      </w:pPr>
      <w:r>
        <w:rPr>
          <w:rFonts w:ascii="Arial" w:cs="Arial" w:eastAsia="Arial" w:hAnsi="Arial"/>
          <w:color w:val="000000"/>
          <w:sz w:val="22"/>
          <w:szCs w:val="22"/>
        </w:rPr>
        <w:t xml:space="preserve">1.8.6. La conclusión operativa	</w:t>
      </w:r>
      <w:r>
        <w:rPr>
          <w:rFonts w:ascii="Arial" w:cs="Arial" w:eastAsia="Arial" w:hAnsi="Arial"/>
          <w:color w:val="000000"/>
          <w:sz w:val="22"/>
          <w:szCs w:val="22"/>
        </w:rPr>
        <w:t xml:space="preserve"/>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fijaron que la decisión sobre los hechos es cognoscitiva, que persigue la verdad y que se descompone en tres momentos. Queda por examinar la operación que ocupa el segundo de esos momentos. González Lagier (2005) se propone reconstruir el tipo de razonamiento por medio del cual se prueban los hechos de un caso, y llama a ese razonamiento inferencia probatoria (p. 53). La reconstrucción interesa a este trabajo por una razón práctica. Una operación cuya estructura puede describirse admite un control que la mera invocación de la sana crítica no permite. Este apartado identifica los elementos de esa estructura. Muestra después que cada uno de ellos genera una exigencia de explicitación distinta, y que esas exigencias se convierten en pasos del protocolo del capítulo tercero.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 prueba se descompone en dos fases y la segunda encadena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La distinción coincide con la que el apartado anterior tomó de Ferrer Beltrán, aunque González Lagier la traza dentro del razonamiento y no dentro del procedimiento. Las dos reconstrucciones convergen en lo esencial.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Consiste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Esa inferencia tácita es la que el paso segundo del protocolo obliga a exteriorizar.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Cuatro elementos componen toda inferencia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La distinción explica por qué unos se acreditan con pruebas y otros con argumentos. Añade que los cuatro elementos deben estar presentes en toda argumentación, sea jurídica, científica o de la vida cotidiana (González Lagier, 2005, p. 56). La generalidad del esquema es lo que permite trasladarlo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Esos enunciados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Un protocolo de valoración que exija exteriorizar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a la estructura de la inferencia, sino a su contraste con hipótesis rivales, y se examina en el apartado siguiente.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El capítulo segundo examina por qué ese modelo, ya disponible desde 2002, no se aplicó al material periodístico del caso de referencia.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 garantía admite tres fuentes y solo dos de ellas son probatorias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Ese desplazamiento resulta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No exige, en cambio,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1.4.4. </w:t>
      </w:r>
      <w:r>
        <w:rPr>
          <w:rFonts w:ascii="Arial" w:cs="Arial" w:eastAsia="Arial" w:hAnsi="Arial"/>
          <w:i/>
          <w:iCs/>
          <w:color w:val="000000"/>
          <w:sz w:val="24"/>
          <w:szCs w:val="24"/>
        </w:rPr>
        <w:t xml:space="preserve">Explicitar la estructura es lo que vuelve criticable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observaciones adicionales del autor completan el cuadro y afectan de manera directa al diseño del protocolo.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Tratar todos los hechos probatorios como equivalentes ignora esa degradación progresiva, y conduce a exigir lo mismo a un hecho percibido directamente que a uno reconstruido tras varios eslabones.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consecuencia converge con lo que la Suprema Corte estableció al fijar los alcances de la prueba indiciaria. La eficacia de la prueba circunstancial disminuye en la medida en que las conclusiones deban obtenerse a través de mayores inferencias y cadenas de silogismos (Tesis 2004753, 2013). Doctrina y jurisprudencia coinciden, así, en que la longitud de la cadena degrada el apoyo. La coincidencia es valiosa para el capítulo tercero, porque permite anclar una exigencia epistemológica en un criterio vigente del propio sistema mexicano. El protocolo no importa una doctrina extranjera: recoge lo que la Suprema Corte ya resolvió.</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El paso tercero del protocolo recoge precisamente esa exigencia. La limita, además, a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mostró que la inferencia probatoria tiene una estructura descriptible. Describirla no basta, sin embargo, para controlarla, porque hace falta saber cuándo una inferencia resulta sólida y cuándo no lo es. Ese es el problema del que se ocupa este apartado. González Lagier (2005) ofrece una respuesta articulada en once criterios, ordenados según el elemento de la estructura al que se refieren. Este trabajo los adopta porque cumplen la condición que el objetivo general exige: son verificables desde fuera de la sentencia. Su enunciación permite, además, algo que el capítulo cuarto necesitará. Si la solidez admite grados, entonces admite medida, y lo que admite medida admite umbral. El apartado recorre los once criterios agrupados en tres bloques y cierra con la consecuencia que de todos ellos se sigue.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remisión a la sana crítica es vaga y puede precisarse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parte de una constatación que el derecho electoral mexicano confirma. La doctrina procesal y la jurisprudencia superaron ya la lectura de la libre valoración como íntima convicción. Sostienen ahora que la valoración no puede ser una operación libre de todo criterio y cargada de subjetividad, sino una actividad sujeta a pautas (González Lagier, 2005, p. 79). Debe someterse, en cambio, a las reglas de la lógica, a las de la sana crítica, a las de la experiencia, al criterio racional o al criterio humano (González Lagier, 2005, p. 79). El autor añade entonces la objeción decisiva. Se trata de referencias sumamente vagas y muy difíciles de concretar (González Lagier, 2005, p. 79). El diagnóstico recae sobre fórmulas idénticas a las que emplea la ley mexicana, lo que convierte la objeción en algo más que una discusión doctrinal ajena.</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merece subrayarse.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La consecuencia importa para el planteamiento de este trabajo. La crítica que aquí se dirige a la práctica del Tribunal Electoral no le imputa haber inventado una imprecisión. Le imputa no haberla resuelto pese a disponer de los materiales para hacerlo, y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sostiene que esa vaguedad puede reducirse.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Una remisión en blanco no admite discusión, porque no ofrece nada sobre lo que discrepar. Los once criterios que siguen se ordenan según se refieran a los hechos probatorios, a la garantía o a la hipótesis del caso, que son los tres elementos de la estructura fijada en el apartado anterior.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Cuatro criterios controlan los hechos probatorios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González Lagier (2005) señala que la fiabilidad depende de cómo se haya llegado a conocer los hechos probatorios (p. 81). Distingue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(González Lagier, 2005, pp. 81-82). Lo mismo sucede con un documento, pues habrá que inferir que su contenido es cierto (González Lagier, 2005, p. 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extrae de ahí dos consecuencias operativas. La primera es que esas inferencias intermedias, a las que rara vez se presta atención, son inevitables, y cada una puede ser un punto débil de la argumentación en su conjunto (González Lagier, 2005, p. 82). La segunda es una regla de graduación: la fiabilidad de los hechos probatorios es mayor cuanto menor es la cadena de inferencias que lleva hasta ellos (González Lagier, 2005, p. 82). El autor añade una observación que desactiva una distinción muy arraigada.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González Lagier (2005) matiza de inmediato ese criterio aritmético. Un solo hecho probatorio con alto grado de fiabilidad puede tener un peso mayor que varios hechos probatorios de escasa fiabilidad (p. 82). La suficiencia no se resuelve, por tanto, contando elementos, y la precisión resulta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más relevante para esta investigación. El autor sostiene que la variedad de los hechos probatorios aumenta la probabilidad de la hipótesis que confirman (González Lagier, 2005, p. 83). Su importancia radica en que permite la eliminación de las hipótesis alternativas con las que la principal entra en competencia (González Lagier, 2005, p. 83). El ejemplo que ofrece el autor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El capítulo tercero recoge esa idea en el paso cuarto del protocolo.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No todos los hechos sirven para confirmar una hipótesis, sino solo los que guardan relación con el hecho descrito en ella. González Lagier (2005) precisa que un hecho no será pertinente cuando no esté correlacionado con la hipótesis ni por presunciones ni por máximas de experiencia adecuadas y bien fundadas (p. 85). El criterio remite, por tanto, a la corrección de la garantía, con lo que cierra el círculo abierto en el apartado anterior. Sin garantía enunciada no puede determinarse la pertinencia de un elemento. Declarar impertinente una prueba sin explicitar la máxima aplicada produce, por eso, una decisión que no admite control, porque el afectado no llega a saber qué correlación se consideró inexistente ni puede, en consecuencia, combatirla.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Dos criterios controlan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garantía está suficientemente fundada. González Lagier (2005) recuerda que las máximas de experiencia son a su vez la conclusión de una inducción ampliativa, por lo que no son necesariamente verdaderas sino probables (p. 86). Su credibilidad racional depende de que esa inducción esté bien hecha, de modo que hay que examinar el fundamento cognoscitivo de las máximas y regularidades empleadas. Solo así se excluyen las generalizaciones apresuradas y los prejuicios (González Lagier, 2005, p. 86). El autor añade una exigencia complementaria. No basta con que la máxima aplicada esté bien fundada. Debe además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criterio se acompaña de una advertencia sobre las reglas construidas para la ocasión. Si la regla se elaboró para explicar el caso concreto que el juez debe decidir, entonces no se basa en una inducción ampliativa bien fundada (González Lagier, 2005, p. 87). La máxima construida a la medida del caso resulta inservible, porque carece de la generalidad que es justamente lo que convierte a un enunciado en garantía. El autor precisa también el estatuto de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por el grado de probabilidad causal que la garantía establece. Existen máximas que correlacionan dos fenómenos con alta probabilidad y máximas que establecen esa correlación con una probabilidad sensiblemente menor. González Lagier (2005) formula la regla correspondiente: cuanto menor sea el grado de probabilidad causal expresado por la máxima de experiencia, menor será la probabilidad inferencial con la que se sigue la hipótesis final (pp. 87-88). La regla tiene aplicación inmediata en materia electoral. Afirmar que quien aparece en un impreso de propaganda obtuvo por ello más votos supone una máxima de probabilidad causal baja, y la conclusión hereda esa debilidad. Enunciar esa máxima obliga a reconocer el límite de la inferencia. Omitirla permite presentar como fuerte un razonamiento que no lo es, y el vicio opera en las dos direcciones: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1.5.4. </w:t>
      </w:r>
      <w:r>
        <w:rPr>
          <w:rFonts w:ascii="Arial" w:cs="Arial" w:eastAsia="Arial" w:hAnsi="Arial"/>
          <w:i/>
          <w:iCs/>
          <w:color w:val="000000"/>
          <w:sz w:val="24"/>
          <w:szCs w:val="24"/>
        </w:rPr>
        <w:t xml:space="preserve">Cinco criterios controlan la hipótesis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hipótesis ha sido refutada. González Lagier (2005) distingue dos formas de refutación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Aunque los hechos probatorios la confirmen, todavía debe someterse al requisito de la no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Esas hipótesis refutan la principal cuando se demuestran falsas, y aumentan su credibilidad cuando se confirman como verdaderas (González Lagier, 2005, p. 90). El tercer criterio,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Lo usual es disponer de varias hipótesis y escoger la que resiste mejor los intentos de refutación (González Lagier, 2005, p. 90). La exigencia realista no consiste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que el capítulo cuarto retomará. La credibilidad de una hipótesis disminuye cuantas más hipótesis alternativas subsistan (González Lagier, 2005, pp. 90-91). La formulación convierte la refutación en un factor de graduación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La convergencia permite exigir ese razonamiento con apoyo en criterio vigente del sistema mexicano, y no únicamente en doctrina extranjera, lo que resulta decisivo para la viabilidad de la propuesta.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El autor señala que ambos criterios sirven únicamente para escoger entre hipótesis que cuentan con un grado de confirmación semejante. Su función es, por tanto, subsidiaria. Ninguno de los dos suple la falta de apoyo empírico, de modo que una hipótesis coherente y simple pero desprovista de confirmación sigue siendo una conjetura, por elegante que resulte su formulación.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1.5.5. </w:t>
      </w:r>
      <w:r>
        <w:rPr>
          <w:rFonts w:ascii="Arial" w:cs="Arial" w:eastAsia="Arial" w:hAnsi="Arial"/>
          <w:i/>
          <w:iCs/>
          <w:color w:val="000000"/>
          <w:sz w:val="24"/>
          <w:szCs w:val="24"/>
        </w:rPr>
        <w:t xml:space="preserve">La solidez es gradual y esa graduación es la que un estándar debe medir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advertencia con que González Lagier introduce los criterios resulta tan importante como los criterios mismos. La solidez de la inferencia probatoria es gradual en dos sentidos distintos (González Lagier, 2005, p. 80). En una inferencia dada pueden estar presentes más o menos criterios, y la ausencia de alguno no constituye por sí sola razón para rechazarla. Casi todos los criterios pueden cumplirse, además, en mayor o menor medida (González Lagier, 2005, p. 80). La doble gradualidad impide convertir los once criterios en una lista de requisitos cuya falta invalide la inferencia. Los criterios describen un espectro y no un umbral, de manera que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Esa advertencia condiciona el diseño del protocolo del capítulo tercero. Un protocolo construido sobre estos criterios no puede funcionar como una lista de comprobación cuyo incumplimiento anule la valoración. Debe funcionar como una rejilla que obligue a exteriorizar cada operación y a declarar en qué grado queda satisfecha, y la diferencia entre una cosa y otra resulta sustancial. Una lista de requisitos sustituiría la libre valoración por una prueba tasada de nuevo cuño, que es precisamente lo que este trabajo no propone. Una rejilla de exteriorización deja intacta la libertad valorativa y suprime únicamente su opacidad. El juzgador conserva íntegra la facultad de apreciar el material probatorio, y pierde únicamente la de no explicar cómo lo apreció.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gradualidad suministra, por último, el puente hacia el capítulo cuarto. Si la solidez de una inferencia admite grados, entonces cabe preguntar qué grado resulta exigible para tener un hecho por probado. Esa segunda pregunta ya no pertenece a la epistemología sino al derecho, conforme a la distinción entre valoración y decisión que el apartado 1.3 tomó de Ferrer Beltrán. Los criterios de González Lagier permiten decir cuán sólida es una inferencia. No permiten decir cuán sólida debe ser, porque esa medida depende de los valores en juego en cada tipo de proceso. El estándar escalonado que se propone más adelante responde a esa segunda pregunta. Presupone resuelta la primera, y por eso el capítulo tercero debe preceder al cuarto en el orden de la exposición: no cabe fijar cuánto basta antes de haber fijado cómo se mide.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examinaron la inferencia probatoria como operación individual. Queda por resolver una cuestión distinta y decisiva para esta investigación. 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Este apartado examina el fundamento de ese presupuesto y, sobre todo, sus límites. La conclusión anticipa el diseño del capítulo tercero. El conjunto importa, aunque no de la manera que el holismo narrativo sugiere, y precisar esa diferencia resulta indispensable para que la propuesta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Tres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(pp. 94-95).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(Amaya, 2015, pp. 94-95).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Lo hace al convertir los hechos en proposiciones inferidas de la experiencia general, con lo que desatiende indebidamente las circunstancias del caso concreto (Amaya, 2015, p. 95). Las tres objeciones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diagnóstico deriva una tesis positiva que interesa retener. 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Declarar que un elemento no acredita nada por sí solo es compatible con que el conjunto al que pertenece sí acredite algo. Confundir ambas afirmaciones es el error que el capítulo segundo documenta en el caso de referencia, cuando la sentencia sostiene que los elementos aportados solo constituyen un indicio. El singular de esa fórmula delata la operación: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El derecho mexicano recogió la objeción holista desde 1974</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El criterio mexicano no requiere, por tanto,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El holismo narrativo es peligroso y no puede fundar el protocolo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exposición anterior quedaría incompleta y sería tendenciosa si omitiera las objeciones que el holismo ha recibido. Amaya (2015) las recoge con detalle, y este trabajo las asume en lugar de esquivarlas.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(Amaya, 2015, p. 125). Una teoría que no ofrece criterio de elección resulta inservible como fundamento de un protocolo, porque el protocolo necesita precisamente eso. La objeción no es menor ni externa: proviene, según recoge Amaya,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(Amaya, 2015, p. 125). La conclusión que Amaya recoge resume el problema con precisión: los relatos son sin duda necesarios, pero peligrosos. El riesgo tiene traducción electoral evidente.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y conviene registrarlo porque su obra integra el corpus de este trabajo. Amaya (2015) recoge que el autor previene contra los peligros de adoptar un enfoque holista, porque sugiere decidir con base en algo distinto de las pruebas (p. 125). Las teorías holistas desatenderían así problemas como la definición del hecho, la relevancia de la prueba y la carga probatoria. En su propia obra Taruffo (2013) resulta todavía más tajante. Considera inatendible y desviante la perspectiva holística propuesta por algunos exponentes del narrativismo judicial (p. 59). La objeción no admite despacho rápido, y obliga a precisar con cuidado qué se toma del holismo y qué se deja fuera. Una tesis que ignorase esa advertencia quedaría expuesta a la réplica más obvia.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1.6.4. </w:t>
      </w:r>
      <w:r>
        <w:rPr>
          <w:rFonts w:ascii="Arial" w:cs="Arial" w:eastAsia="Arial" w:hAnsi="Arial"/>
          <w:i/>
          <w:iCs/>
          <w:color w:val="000000"/>
          <w:sz w:val="24"/>
          <w:szCs w:val="24"/>
        </w:rPr>
        <w:t xml:space="preserve">La pregunta correcta es por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Su propósito no consiste tanto en defender una versión del holismo como en reconciliar holismo y atomismo. Ninguno de los dos permite ofrecer un retrato fiel del razonamiento sobre hechos en el derecho (Amaya, 2015, p. 95). El enfoque atomista pasa por alto que el significado de la prueba se adhiere a veces al conjunto del material. Tanto el análisis atomista como las apreciaciones holistas desempeñan, en consecuencia, un papel importante en la inferencia jurídica (Amaya, 2015, p. 96). Ningún modelo por sí solo describe la inferencia jurídica de manera completa, de modo que un retrato de la inferencia racional exige recurrir a varias teorías de la prueba lógicamente dispares (Amaya, 2015, p. 96).</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se sigue el desplazamiento de la pregunta que este trabajo adopta. La cuestión correcta no consiste en determinar si un modelo de inferencia es o no correcto, sino en determinar cuál es el dominio propio de cada uno (Amaya, 2015, p. 97). Formulada así, la disputa entre atomismo y holismo deja de ser una elección entre doctrinas rivales. Se convierte en un problema de asignación, consistente en determinar qué operación corresponde a cada fase del razonamiento probatorio. La reformulación permite conservar lo que el holismo aporta sin incurrir en los riesgos que sus críticos denuncian.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compatibilidad deriva la regla que gobernará el paso cuarto del protocolo. La adminiculación que este trabajo propone es una agregación analítica y no una apreciación narrativa. Exige valorar primero cada elemento y determinar después el grado de corroboración que el conjunto confiere a la hipótesis. La secuencia responde a la fórmula que Ferrer Beltrán expresa al exigir la valoración individual y en conjunto. No autoriza a sustituir el examen de los elementos por la elección del relato más convincente. Con esa delimitación, el mandato del artículo 16, párrafo 3, queda a salvo de la objeción de Taruffo. Conserva además el fundamento epistemológico que le suministra la eliminación de hipótesis alternativas, examinada en el apartado anterior. El conjunto probatorio excede la suma de sus elementos porque cierra vías de escape, no porque componga un relato más agradable.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1.7. </w:t>
      </w:r>
      <w:r>
        <w:rPr>
          <w:rFonts w:ascii="Arial" w:cs="Arial" w:eastAsia="Arial" w:hAnsi="Arial"/>
          <w:i/>
          <w:iCs/>
          <w:color w:val="000000"/>
          <w:sz w:val="24"/>
          <w:szCs w:val="24"/>
        </w:rPr>
        <w:t xml:space="preserve">Libre convicción como principio metodológico negativo; la sana crítica no es criterio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reconstruyeron la estructura de la inferencia probatoria y sus criterios de solidez. Queda por resolver una cuestión previa a esa construcción y que ha generado más confusión doctrinal de la que merece. Tanto la Suprema Corte como la jurisprudencia electoral mexicana remiten a la «libre convicción» y a la «sana crítica» como fundamentos de la valoración. Ambas expresiones sugieren, a primera vista, que el juzgador goza de discreción amplia para decidir conforme a su conciencia. Este apartado examina qué significa realmente cada una de esas expresiones, cuál es el alcance legítimo de esa discreción y por qué la confusión entre el significado originario y sus usos posteriores ha generado un problema de controlabilidad de las sentencias. La conclusión anticipada es que la «libre convicción» es un principio metodológico negativo —rechaza el apriorismo legal— pero no un criterio positivo de valoración, y que la «sana crítica» nunca fue un criterio sustantivo sino una referencia a máximas de experiencia.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1.7.1. </w:t>
      </w:r>
      <w:r>
        <w:rPr>
          <w:rFonts w:ascii="Arial" w:cs="Arial" w:eastAsia="Arial" w:hAnsi="Arial"/>
          <w:i/>
          <w:iCs/>
          <w:color w:val="000000"/>
          <w:sz w:val="24"/>
          <w:szCs w:val="24"/>
        </w:rPr>
        <w:t xml:space="preserve">Principio negativo versus criterio positivo de valoración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uno y otro es fundamental y ha quedado opacada por el uso indiferenciado de ambas expresiones. Gascón (2005) la traza con precisión al examinar la historia de la libre convicción en el derecho procesal. El rechazo de la prueba legal fue un giro revolucionario. La prueba legal predeterminaba el valor de cada medio mediante reglas abstracción: el testigo presenciador, la confesión espontánea, el documento público, cada uno tenía un peso fijo establecido por la ley. De ahí que Ferrajoli (1995) hablase de esa época como de una de las «páginas políticas más amargas e intelectualmente más deprimentes de la historia de las instituciones penales». La libre convicción fue la reacción contra ese sistema fetichista. Su propósito consiste simplemente en «el rechazo de las pruebas legales como suficientes para determinar la decisión» (Gascón, 2005, p. 142). Con esa precisión, la libre convicción no es un criterio positivo que diga cómo debe valorarse, sino un principio </w:t>
      </w:r>
      <w:r>
        <w:rPr>
          <w:rFonts w:ascii="Arial" w:cs="Arial" w:eastAsia="Arial" w:hAnsi="Arial"/>
          <w:b w:val="false"/>
          <w:bCs w:val="false"/>
          <w:i/>
          <w:iCs/>
          <w:color w:val="000000"/>
          <w:sz w:val="24"/>
          <w:szCs w:val="24"/>
        </w:rPr>
        <w:t xml:space="preserve">negativo</w:t>
      </w:r>
      <w:r>
        <w:rPr>
          <w:rFonts w:ascii="Arial" w:cs="Arial" w:eastAsia="Arial" w:hAnsi="Arial"/>
          <w:b w:val="false"/>
          <w:bCs w:val="false"/>
          <w:i w:val="false"/>
          <w:iCs w:val="false"/>
          <w:color w:val="000000"/>
          <w:sz w:val="24"/>
          <w:szCs w:val="24"/>
        </w:rPr>
        <w:t xml:space="preserve"> que deshace el camino contrario: prescribe que el juzgador </w:t>
      </w:r>
      <w:r>
        <w:rPr>
          <w:rFonts w:ascii="Arial" w:cs="Arial" w:eastAsia="Arial" w:hAnsi="Arial"/>
          <w:b w:val="false"/>
          <w:bCs w:val="false"/>
          <w:i/>
          <w:iCs/>
          <w:color w:val="000000"/>
          <w:sz w:val="24"/>
          <w:szCs w:val="24"/>
        </w:rPr>
        <w:t xml:space="preserve">no</w:t>
      </w:r>
      <w:r>
        <w:rPr>
          <w:rFonts w:ascii="Arial" w:cs="Arial" w:eastAsia="Arial" w:hAnsi="Arial"/>
          <w:b w:val="false"/>
          <w:bCs w:val="false"/>
          <w:i w:val="false"/>
          <w:iCs w:val="false"/>
          <w:color w:val="000000"/>
          <w:sz w:val="24"/>
          <w:szCs w:val="24"/>
        </w:rPr>
        <w:t xml:space="preserve"> está sujeto a tasaciones previas.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diferencia tiene consecuencias prácticas decisivas. Un principio negativo deja sin resolver la cuestión de cómo proceder una vez rechazado el apriorismo legal. Una vez que la ley no fija el valor de la prueba, el juzgador debe determinar ese valor mediante algún método. La libre convicción marca dónde no se puede estar —bajo la coacción de reglas legales— pero no marca dónde se debe estar. Por eso Gascón afirma que «la libre valoración no puede interpretarse más que en su significado primigenio: un </w:t>
      </w:r>
      <w:r>
        <w:rPr>
          <w:rFonts w:ascii="Arial" w:cs="Arial" w:eastAsia="Arial" w:hAnsi="Arial"/>
          <w:b w:val="false"/>
          <w:bCs w:val="false"/>
          <w:i/>
          <w:iCs/>
          <w:color w:val="000000"/>
          <w:sz w:val="24"/>
          <w:szCs w:val="24"/>
        </w:rPr>
        <w:t xml:space="preserve">principio metodológico (negativo)</w:t>
      </w:r>
      <w:r>
        <w:rPr>
          <w:rFonts w:ascii="Arial" w:cs="Arial" w:eastAsia="Arial" w:hAnsi="Arial"/>
          <w:b w:val="false"/>
          <w:bCs w:val="false"/>
          <w:i w:val="false"/>
          <w:iCs w:val="false"/>
          <w:color w:val="000000"/>
          <w:sz w:val="24"/>
          <w:szCs w:val="24"/>
        </w:rPr>
        <w:t xml:space="preserve">. Pero un principio metodológico y sólo eso. No, por tanto, un </w:t>
      </w:r>
      <w:r>
        <w:rPr>
          <w:rFonts w:ascii="Arial" w:cs="Arial" w:eastAsia="Arial" w:hAnsi="Arial"/>
          <w:b w:val="false"/>
          <w:bCs w:val="false"/>
          <w:i/>
          <w:iCs/>
          <w:color w:val="000000"/>
          <w:sz w:val="24"/>
          <w:szCs w:val="24"/>
        </w:rPr>
        <w:t xml:space="preserve">criterio (positivo)</w:t>
      </w:r>
      <w:r>
        <w:rPr>
          <w:rFonts w:ascii="Arial" w:cs="Arial" w:eastAsia="Arial" w:hAnsi="Arial"/>
          <w:b w:val="false"/>
          <w:bCs w:val="false"/>
          <w:i w:val="false"/>
          <w:iCs w:val="false"/>
          <w:color w:val="000000"/>
          <w:sz w:val="24"/>
          <w:szCs w:val="24"/>
        </w:rPr>
        <w:t xml:space="preserve"> de valoración» (Gascón, 2005, p. 142). La línea que separa ambas cosas es la que separa lo permitido de lo prescrito: la libre convicción permite al juzgador desligarse de reglas aprióricas; no prescribe cómo decidir sin ellas. Confundir ambas cosas convierte un límite al formalismo en autorización para la arbitrariedad.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1.7.2. </w:t>
      </w:r>
      <w:r>
        <w:rPr>
          <w:rFonts w:ascii="Arial" w:cs="Arial" w:eastAsia="Arial" w:hAnsi="Arial"/>
          <w:i/>
          <w:iCs/>
          <w:color w:val="000000"/>
          <w:sz w:val="24"/>
          <w:szCs w:val="24"/>
        </w:rPr>
        <w:t xml:space="preserve">La desviación histórica: de principio a subjetividad descontrolada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uso posterior de la libre convicción se apartó de ese significado originario. En lugar de entenderse como rechazo del apriorismo legal, pasó a interpretarse como «valoración libre, sin sujeción a reglas de ningún tipo» (Gascón, 2005, p. 142). Con ese cambio de significado, la libre convicción dejó de ser una garantía epistemológica y se convirtió en una puerta abierta a la subjetividad descontrolada. El juzgador recibía el encargo de «decidir según su conciencia» o según su «íntima convicción», pero sin instrucción acerca de cómo formar esa convicción racionalmente. Nieva Fenoll (2015) describe el problema con economía. Una vez rechazadas las reglas de la prueba legal, el juez «se deja solo, a fin de que haga lo que haya de hacer a su libre albedrío, lo que significa que su juicio estarán muchas veces imperfecto, o difícilmente motivable por estar con frecuencia basado en intuiciones derivadas de una experiencia no siempre bien aprehendida, a falta de otros datos en que apoyarse» (Nieva Fenoll, 2015, p. 90). La observación apunta al mismo problema que la distinción de Gascón: en ausencia de criterios positivos, el juzgador no queda liberado sino desorientado.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 que ocurrió en la jurisprudencia penal angloamericana es instructivo. Laudan (2005) registra que a través del siglo XX, la «duda razonable» —que en su origen significó una medida epistémica precisa relacionada con la epistemología de Locke— fue deliberada y lentamente desplumada hasta quedar reducida a «un 'careces de toda duda', esto es, a tener una alta confianza subjetiva» (Laudan, 2005, p. 99). La forma jurídica se mantuvo, pero el contenido se evaporó. Lo que quedó en su lugar fue precisamente lo que la libre convicción no era en su origen: la convicción íntima del juzgador, inaprensible, incomunicable, imposible de verificar. El problema es que «bajo tales estándares» la convicción se vuelve parasitaria de su propia base: el jurado debe determinar si la culpabilidad se ha probado, pero sin regla que le diga cuándo ha alcanzado esa convicción (Laudan, 2005, p. 106). En esas circunstancias, la «libre convicción» deja de ser una garantía y se convierte en un problema.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1.7.3. </w:t>
      </w:r>
      <w:r>
        <w:rPr>
          <w:rFonts w:ascii="Arial" w:cs="Arial" w:eastAsia="Arial" w:hAnsi="Arial"/>
          <w:i/>
          <w:iCs/>
          <w:color w:val="000000"/>
          <w:sz w:val="24"/>
          <w:szCs w:val="24"/>
        </w:rPr>
        <w:t xml:space="preserve">La sana crítica no es un criterio sino una referencia a máximas de experiencia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«sana crítica» ocurre algo parecido, aunque su historia es distinta. La expresión, que remite a la «buena conciencia» medieval, aparece en fuentes españolas desde el siglo XIX como alternativa discreta al lenguaje de la «libre convicción». Nieva Fenoll (2015) examina su evolución y concluye que nunca fue un criterio sustantivo sino una referencia poco precisa a máximas de experiencia. El art. 317 de la Ley de Enjuiciamiento Civil de 1855 disponía que los jueces valorarían las declaraciones testificales «según las reglas de la sana crítica». Pero, como Nieva observa, esa referencia «no aporta mucho en toda esta materia» (Nieva Fenoll, 2015, p. 88), porque no especifica qué reglas son las de la «sana crítica» ni cómo aplicarlas.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problema no es que la expresión sea incorrecta sino que es demasiado vaga. Nieva Fenoll señala que «De Vicente y Caravantes valoró la referencia legal a la sana crítica como una obligación del juez de apreciar, además de otras máximas de experiencia sociológicas, las facultades psicológicas de los testigos» (Nieva Fenoll, 2015, p. 89). La sana crítica se entendía, entonces, como la aplicación de máximas de experiencia psicológicas y sociológicas a la valoración de la prueba. Eso es todo cuanto fue, y es todo cuanto puede ser. No proporciona un método, ni siquiera una orientación clara. Solo apunta en la dirección correcta: que el juzgador use el juicio para aplicar máximas de experiencia. Pero eso no es lo que ha llegado a significar en la práctica, donde la «sana crítica» se ha convertido en un sinónimo vagamente tranquilizador de «el juez decide como considera conveniente». La realidad es que la doctrina española fue más consciente del problema de lo que la práctica posterior sugiere. Nieva Fenoll recoge que la doctrina española de los siglos XVII-XIX «fue bien consciente de este problema, aunque con motivaciones que ensobrecieron la etología del problema y, por tanto, su solución» (Nieva Fenoll, 2015, p. 89), porque temían que un criterio estricto menguase la autoridad del juez.</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1.7.4.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confusión entre principio negativo y criterio positivo encuentra su expresión más clara en la pretensión de que la «convicción íntima» o la «confianza subjetiva» pueden funcionar como estándar de prueba. Laudan (2005) dedica su artículo precisamente a demostrar que no pueden. Un estándar de prueba, para serlo, debe cumplir una función precisa: proporcionar al juzgador una regla que le permita saber cuándo ha alcanzado suficiente certeza para decidir. Eso presupone una medida, algo que pueda comunicarse, verificarse y discutirse. La «íntima convicción» no es ninguna de esas cosas.</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parte de una observación sobre los estándares penales angloamericanos. Oficialmente, el estándar es «más allá de una duda razonable», que sugiere una medida epistémica. Pero en la práctica, muchos jueces y juristas lo han reinterpretado como «la confianza subjetiva que cada juez sienta», transformando un criterio en la negación de un criterio (Laudan, 2005, p. 99). El resultado es problemático. Si el estándar es «la convicción íntima de cada juez», entonces dos jueces enfrentados a la misma evidencia pueden aplicar el mismo estándar y llegar a conclusiones opuestas. El ejemplo que Laudan construye es particularmente claro: si un juez asigna una probabilidad de 90% a la culpabilidad y otro la asigna de 95%, y ambos declaran que tienen «confianza» en esa estimación, ¿cuál de ellos aplicó el estándar correctamente? «Si el estándar en ese lugar es el BARD, la pregunta se reduce a esto: ¿estás completamente persuadido de que él lo cometió? Si, por el contrario, han sido abogados académicos los que han impuesto su forma de entender el estándar y han establecido que éste es del 90%, la pregunta que debes hacerte será: ¿tu evaluación de la probabilidad de culpabilidad es mayor del 90%?» (Laudan, 2005, p. 104).</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destaca que confundir la subjetividad de la convicción inicial del juez con la verificabilidad del estándar produce una consecuencia indeseable: «en realidad, las frases construidas por la doctrina alemana en nada se diferencian de los estándares de prueba anglosajonas. No orientan a jurados, sino a jueces y finalmente, eso es exactamente la misma» (Nieva Fenoll, 2015, p. 92). La conclusión es incómoda pero inevitable. Si todos los jueces dicen que tienen «convicción» pero no especifican en qué consiste, entonces no hay estándar verificable de que todos apliquen el mismo criterio.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1.7.5. </w:t>
      </w:r>
      <w:r>
        <w:rPr>
          <w:rFonts w:ascii="Arial" w:cs="Arial" w:eastAsia="Arial" w:hAnsi="Arial"/>
          <w:i/>
          <w:iCs/>
          <w:color w:val="000000"/>
          <w:sz w:val="24"/>
          <w:szCs w:val="24"/>
        </w:rPr>
        <w:t xml:space="preserve">La exigencia de explicitación como condición de controlabilidad</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que plantean la libre convicción vaga y la sana crítica indeterminada es un problema de controlabilidad. Una valoración que no puede describirse no puede discutirse, y una sentencia que no expone la valoración que realiza deja al lector sin forma de verificar si la decisión resultó de la aplicación de criterios o de pura arbitrariedad. Por eso el artículo 16, párrafo 1, de la Ley General del Sistema de Medios de Impugnación en Materia Electoral no se limita a remitir a la «libre convicción» sino que conjuga tres estándares: «reglas de la lógica, sana crítica y experiencia». Ese triple anclaje importa, porque no es lo mismo remitir a uno solo.</w:t>
      </w:r>
    </w:p>
    <w:p>
      <w:pPr>
        <w:spacing w:after="0" w:before="0" w:line="360"/>
        <w:ind w:firstLine="708"/>
        <w:jc w:val="both"/>
      </w:pPr>
      <w:r>
        <w:rPr>
          <w:rFonts w:ascii="Arial" w:cs="Arial" w:eastAsia="Arial" w:hAnsi="Arial"/>
          <w:b w:val="false"/>
          <w:bCs w:val="false"/>
          <w:i w:val="false"/>
          <w:iCs w:val="false"/>
          <w:color w:val="000000"/>
          <w:sz w:val="24"/>
          <w:szCs w:val="24"/>
        </w:rPr>
        <w:t xml:space="preserve">La lógica proporciona criterios verificables: una conclusión que contradice sus premisas es lógicamente falsa, y eso puede demostrarse. Las máximas de experiencia pueden enunciarse y discutirse, aunque su aplicación en el caso concreto admita debates. La experiencia del juzgador, finalmente, es un factor inevitable pero debe quedar supeditada a los dos primeros. El problema comienza cuando cualquiera de estos tres se interpreta como sinónimo de «convicción íntima» y queda entonces exonerado de justificación.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que el protocolo del capítulo tercero insista en la explicitación. No se trata de obligar al juzgador a decidir de un modo determinado ni de negarle su experiencia y su juicio. Se trata de hacer que lo escriba, de exigir que comunique qué regla lógica aplicó, cuál fue la máxima de experiencia y por qué la consideró aplicable, cuál fue el peso que confirió a su propia experiencia en relación con las pruebas que contradicen esa experiencia. La libre convicción, como principio negativo, seguirá siendo tan libre como siempre. Pero dejará de ser conviccción íntima para convertirse en convicción justificada, y eso —solo eso— es lo que la hace compatible con el Estado de Derecho.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1.8.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recorrido de los apartados anteriores deja una pregunta pendiente. Si la libre convicción es un principio negativo que rechaza la tasación legal, y si la sana crítica nunca fue un criterio sustantivo, ¿qué queda? La respuesta usual es que queda la «convicción íntima» o la «confianza subjetiva» del juzgador. Este apartado examina por qué esa respuesta no resuelve el problema: una convicción subjetiva no puede funcionar como estándar de prueba, porque le falta precisamente lo que todo estándar debe tener. La conclusión tiene consecuencias prácticas decisivas para la controlabilidad de la decisión.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1.8.1. </w:t>
      </w:r>
      <w:r>
        <w:rPr>
          <w:rFonts w:ascii="Arial" w:cs="Arial" w:eastAsia="Arial" w:hAnsi="Arial"/>
          <w:i/>
          <w:iCs/>
          <w:color w:val="000000"/>
          <w:sz w:val="24"/>
          <w:szCs w:val="24"/>
        </w:rPr>
        <w:t xml:space="preserve">Qué requiere un estándar de prueba para serlo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comienza por lo elemental. Un estándar de prueba, para cumplir su función, debe proporcionar al juzgador una regla que le permita determinar cuándo ha alcanzado la certeza suficiente para decidir. Esa exigencia presupone tres cosas: una medida, algo que pueda comunicarse y algo que pueda verificarse (Laudan, 2005, p. 95). La «íntima convicción» carece de las tres. No es una medida porque la convicción personal es privada y variable de un juez a otro. No puede comunicarse porque consiste en un estado emocional o cognitivo interno que cada persona experimenta de forma distinta. Y no puede verificarse porque no hay criterio externo que permita a un tercero saber si la convicción de un juez es genuina, o si alcanza el nivel que el sistema presupone (Laudan, 2005, pp. 95).</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carencia, un estándar verdadero debe ser capaz de cumplir dos operaciones. La primera consiste en guiar al juzgador durante el proceso de deliberación, indicándole cuándo ha reunido prueba suficiente. La segunda consiste en permitir que terceros —las partes, los órganos de apelación, la opinión pública— verifiquen que el juzgador aplicó el estándar correctamente. Una convicción subjetiva no satisface ninguna de las dos. No puede guiar porque no existe instrucción que defina qué es una «convicción», ni cuándo se alcanza, ni cómo se distingue de un mero presentimiento. Y no puede verificarse porque el resultado —la sentencia que declara al acusado culpable o inocente— es el único dato disponible, y ese dato no revela si la convicción que la motiva es auténtica o si basta para justificar la decisión (Laudan, 2005, p. 95).</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1.8.2. </w:t>
      </w:r>
      <w:r>
        <w:rPr>
          <w:rFonts w:ascii="Arial" w:cs="Arial" w:eastAsia="Arial" w:hAnsi="Arial"/>
          <w:i/>
          <w:iCs/>
          <w:color w:val="000000"/>
          <w:sz w:val="24"/>
          <w:szCs w:val="24"/>
        </w:rPr>
        <w:t xml:space="preserve">La corrupción histórica de la duda razonable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no es teórico. Laudan (2005) documenta cómo la historia del derecho procesal penal anglo-estadounidense registra precisamente ese proceso de degradación. El estándar oficial es la «duda razonable» (BARD). En su origen, esa expresión significaba una medida epistemológica precisa, relacionada con la epistemología de Locke y el cálculo de probabilidades (Laudan, 2005, p. 99). Pero a lo largo del siglo XX, especialmente durante el derecho estadounidense moderno, la «duda razonable» fue deliberada y lentamente desplumada de su contenido epistemológico. A través de diversas reinterpretaciones jurisprudenciales, llegó a significar simplemente «tener una alta confianza subjetiva acerca de la culpabilidad» (Laudan, 2005, p. 99). La forma jurídica se mantuvo —los jueces siguen pronunciando las palabras «más allá de una duda razonable»—, pero el contenido se evaporó. Lo que quedó en su lugar fue precisamente lo que el apartado anterior examinó: la convicción íntima del juzgador.</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es que el estándar se convirtió en parasitario de su propia base: el jurado debe determinar si la culpabilidad se ha probado, pero sin regla que le diga cuándo ha alcanzado esa convicción (Laudan, 2005, p. 106). En esas circunstancias, como el autor observa, «hoy en día, el punto de vista oficial de la Corte Suprema es que una condición necesaria y suficiente para condenar al acusado en un juicio penal es una creencia firme de la culpabilidad por parte del jurado» (Laudan, 2005, p. 99). Pero esa creencia nunca se especifica. Los jueces y juristas académicos no reciben instrucción sobre qué significa «creencia firme», ni sobre cómo distinguirla de una creencia débil, ni sobre cuál es el umbral que la separa de la duda.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1.8.3. </w:t>
      </w:r>
      <w:r>
        <w:rPr>
          <w:rFonts w:ascii="Arial" w:cs="Arial" w:eastAsia="Arial" w:hAnsi="Arial"/>
          <w:i/>
          <w:iCs/>
          <w:color w:val="000000"/>
          <w:sz w:val="24"/>
          <w:szCs w:val="24"/>
        </w:rPr>
        <w:t xml:space="preserve">Dos vías convencionales y sus defectos comunes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examina dos intentos históricos de definir un estándar de prueba en el derecho penal, uno cualitativo y otro cuantitativo. El primer camino, que llama «duda razonable» (BARD), requiere que el juzgador tenga una «certeza moral» o «convicción que va más allá de la duda razonable» de que el acusado cometió el delito (Laudan, 2005, p. 98). El segundo camino, de corte académico- bayesiano, propone en su lugar un nivel de probabilidad (generalmente entre el 90% y el 95%) que debe alcanzarse antes de condenar (Laudan, 2005, p. 98).</w:t>
      </w:r>
    </w:p>
    <w:p>
      <w:pPr>
        <w:spacing w:after="0" w:before="0" w:line="360"/>
        <w:ind w:firstLine="708"/>
        <w:jc w:val="both"/>
      </w:pPr>
      <w:r>
        <w:rPr>
          <w:rFonts w:ascii="Arial" w:cs="Arial" w:eastAsia="Arial" w:hAnsi="Arial"/>
          <w:b w:val="false"/>
          <w:bCs w:val="false"/>
          <w:i w:val="false"/>
          <w:iCs w:val="false"/>
          <w:color w:val="000000"/>
          <w:sz w:val="24"/>
          <w:szCs w:val="24"/>
        </w:rPr>
        <w:t xml:space="preserve">Ninguno de los dos es satisfactorio. En el BARD, la dificultad radica en que la noción de «certeza moral» o «convicción» es ella misma subjetiva. Cuando Laudan pregunta qué significa que un jurado esté «completamente persuadido», la respuesta que recibe es que depende de la creencia privada de cada jurado. Así, dos jurados pueden estar igualmente seguros de la culpabilidad —uno asignando una probabilidad de 90%, otro de 95%— y ambos pueden declarar que tienen «confianza» en esa estimación. Pero ¿cuál de ellos aplicó el estándar correctamente? Si el estándar es BARD, la pregunta se reduce a esto: «¿estás completamente persuadido de que él lo cometió?» Si, por el contrario, han sido abogados académicos quienes han establecido que el estándar es del 90%, la pregunta que debe hacerse es: «¿tu evaluación de la probabilidad de culpabilidad es mayor del 90%?» (Laudan, 2005, p. 104). Las dos preguntas son radicalmente distintas, y la respuesta depende de cuál sea la que se plantee.</w:t>
      </w:r>
    </w:p>
    <w:p>
      <w:pPr>
        <w:spacing w:after="0" w:before="0" w:line="360"/>
        <w:ind w:firstLine="708"/>
        <w:jc w:val="both"/>
      </w:pPr>
      <w:r>
        <w:rPr>
          <w:rFonts w:ascii="Arial" w:cs="Arial" w:eastAsia="Arial" w:hAnsi="Arial"/>
          <w:b w:val="false"/>
          <w:bCs w:val="false"/>
          <w:i w:val="false"/>
          <w:iCs w:val="false"/>
          <w:color w:val="000000"/>
          <w:sz w:val="24"/>
          <w:szCs w:val="24"/>
        </w:rPr>
        <w:t xml:space="preserve">El camino cuantitativo, por su parte, tropieza con un obstáculo diferente. Incluso si se estableciera de forma explícita que el estándar es una probabilidad de 95%, esa precisión no elimina la subjetividad de la estimación inicial. Laudan (2005) ilustra el punto con un ejemplo constructor. Si un juez comienza un caso asignando una probabilidad previa de inocencia de 95%, y después examina la evidencia, llega a una estimación final de probabilidad de culpabilidad. Pero esa estimación final depende de sus creencias iniciales —lo que él cree que es «probable»— acerca de si el acusado es culpable o inocente. Si otro juez comienza el mismo caso con una presunción de inocencia de 50% —es decir, con una creencia inicial completamente neutral—, su estimación final será más alta. En ambos casos, el resultado dependerá «entre otras cosas, de las creencias subjetivas iniciales del jurado acerca de la culpabilidad e inocencia» (Laudan, 2005, p. 101). La precisión numérica oculta una multiplicidad de creencias subjetivas que operan bajo la superficie.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1.8.4. </w:t>
      </w:r>
      <w:r>
        <w:rPr>
          <w:rFonts w:ascii="Arial" w:cs="Arial" w:eastAsia="Arial" w:hAnsi="Arial"/>
          <w:i/>
          <w:iCs/>
          <w:color w:val="000000"/>
          <w:sz w:val="24"/>
          <w:szCs w:val="24"/>
        </w:rPr>
        <w:t xml:space="preserve">El problema de la uniformidad</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defecto fundamental que afecta a ambas vías es que hacen que el estándar dependa de datos que no pueden uniformarse. Laudan (2005) lo expresa así: en un sistema donde el estándar de prueba es la «convicción subjetiva del juzgador respecto de la culpabilidad», la determinación de cuándo se ha satisfecho el estándar «dependerá inevitablemente, entre otras cosas, de las creencias subjetivas iniciales del jurado acerca de la culpabilidad o inocencia» (Laudan, 2005, p. 101). Eso significa que dos jueces enfrentados a exactamente la misma evidencia pueden aplicar lo que creen es el mismo estándar y llegar a conclusiones completamente opuestas, sin que exista criterio alguno para resolver el desacuerdo.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agrega una observación sobre lo que esto implica para el sistema. Si múltiples jueces dicen que tienen «convicción» pero no especifican en qué consiste, entonces «no hay distinción» entre los estándares como hasta aquí considerados (Laudan, 2005, p. 92), que derivó en que los estándares de prueba «no orientan a jurados, sino a jueces y finalmente, eso es exactamente la misma» (p. 92). La conclusión es incómoda pero inexorable: si todos los jueces declaran tener «convicción» pero nunca tienen que explicar en qué consiste esa convicción, entonces no existe estándar verificable que todos apliquen.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1.8.5. </w:t>
      </w:r>
      <w:r>
        <w:rPr>
          <w:rFonts w:ascii="Arial" w:cs="Arial" w:eastAsia="Arial" w:hAnsi="Arial"/>
          <w:i/>
          <w:iCs/>
          <w:color w:val="000000"/>
          <w:sz w:val="24"/>
          <w:szCs w:val="24"/>
        </w:rPr>
        <w:t xml:space="preserve">La función de un estándar en la distribución del error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Hay un nivel más profundo en el que la subjetividad incapacita al estándar. Laudan (2005) sostenía que el único mecanismo para distribuir errores en favor del acusado es un estándar no-subjetivo de la prueba. Si situamos ese estándar en la altura correcta, capturará completamente nuestras creencias compartidas acerca de la razón apropiada de absoluciones falsas a condenas falsas (Laudan, 2005, p. 112). Una regla de prueba que funciona verdaderamente cumple una tarea de ingeniería social: especifica de antemano cuál es la proporción de errores que la sociedad está dispuesta a tolerar y luego vincula el comportamiento del juez a esa proporción.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Pero eso solo es posible si el estándar es independiente de la psicología individual del juez. Cuando el estándar es «la convicción íntima» o «la confianza subjetiva», el sistema renuncia a esa capacidad. En su lugar, lo que queda es un estándar parasitario del nivel de confianza que el investigador (esto es, el jurado) tenga respecto de la culpabilidad del acusado (Laudan, 2005, p. 106). No hay forma de saber de antemano cuál será el resultado, porque depende de datos que no pueden controlarse: las creencias privadas de cada juez acerca de lo que es «probable» o «seguro».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1.8.6. </w:t>
      </w:r>
      <w:r>
        <w:rPr>
          <w:rFonts w:ascii="Arial" w:cs="Arial" w:eastAsia="Arial" w:hAnsi="Arial"/>
          <w:i/>
          <w:iCs/>
          <w:color w:val="000000"/>
          <w:sz w:val="24"/>
          <w:szCs w:val="24"/>
        </w:rPr>
        <w:t xml:space="preserve">La conclusión operativa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cierra su argumento con una conclusión que resulta directamente aplicable al problema mexicano. Si el estándar de prueba fuese formulado en términos de una probabilidad específica —digamos el 90% o el 95%—, sería casi seguro que muchos de los jurados que han decidido que el acusado cometió el delito estarían en apuros para determinar, de una manera que no sea meramente arbitraria, si su confianza en la culpabilidad satisfizo o no las demandas impuestas por ese estándar (Laudan, 2005, p. 103). La razón es que la confianza subjetiva no se mide. Nadie sabe cuánto de confianza es «90%» en términos de la experiencia vivida. Pero si no puede especificarse, tampoco puede verificarse, y si no puede verificarse, no es un estándar sino una excusa.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punto crítico, que trasciende la academia y toca el núcleo de la controlabilidad judicial, es que para que un estándar funcione efectivamente debe comunicar algo más que una invitación a decidir conforme a la propia conciencia. Debe decir, de forma precisa, cuándo se ha alcanzado la certeza suficiente. Mientras ese decir quede implícito o privatizado en la mente del juzgador, el derecho a impugnar queda convertido en derecho a adivinar. Las partes no saben qué tenían que probar, y los jueces de apelación no saben qué tenían que revisar.</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2026-08-08T21:23:23.811Z</dcterms:created>
  <dcterms:modified xsi:type="dcterms:W3CDTF">2026-08-08T21:23:23.815Z</dcterms:modified>
</cp:coreProperties>
</file>

<file path=docProps/custom.xml><?xml version="1.0" encoding="utf-8"?>
<Properties xmlns="http://schemas.openxmlformats.org/officeDocument/2006/custom-properties" xmlns:vt="http://schemas.openxmlformats.org/officeDocument/2006/docPropsVTypes"/>
</file>