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line="360"/>
        <w:jc w:val="center"/>
      </w:pPr>
      <w:r>
        <w:rPr>
          <w:rFonts w:ascii="Arial" w:cs="Arial" w:eastAsia="Arial" w:hAnsi="Arial"/>
          <w:b/>
          <w:bCs/>
          <w:color w:val="000000"/>
          <w:sz w:val="24"/>
          <w:szCs w:val="24"/>
        </w:rPr>
        <w:t xml:space="preserve">El déficit de estándares de valoración probatoria en la justicia electoral mexicana:</w:t>
      </w:r>
    </w:p>
    <w:p>
      <w:pPr>
        <w:spacing w:line="360"/>
        <w:jc w:val="center"/>
      </w:pPr>
      <w:r>
        <w:rPr>
          <w:rFonts w:ascii="Arial" w:cs="Arial" w:eastAsia="Arial" w:hAnsi="Arial"/>
          <w:b/>
          <w:bCs/>
          <w:color w:val="000000"/>
          <w:sz w:val="24"/>
          <w:szCs w:val="24"/>
        </w:rPr>
        <w:t xml:space="preserve">protocolo de adminiculación indiciaria y umbral de suficiencia verificables</w:t>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spacing w:line="360"/>
        <w:jc w:val="center"/>
      </w:pPr>
      <w:r>
        <w:rPr>
          <w:rFonts w:ascii="Arial" w:cs="Arial" w:eastAsia="Arial" w:hAnsi="Arial"/>
          <w:color w:val="000000"/>
          <w:sz w:val="24"/>
          <w:szCs w:val="24"/>
        </w:rPr>
        <w:t xml:space="preserve">Tesis de Maestría</w:t>
      </w:r>
    </w:p>
    <w:p>
      <w:pPr>
        <w:spacing w:line="360"/>
        <w:jc w:val="center"/>
      </w:pPr>
      <w:r>
        <w:rPr>
          <w:rFonts w:ascii="Arial" w:cs="Arial" w:eastAsia="Arial" w:hAnsi="Arial"/>
          <w:sz w:val="24"/>
          <w:szCs w:val="24"/>
        </w:rPr>
        <w:t xml:space="preserve">Universidad Michoacana de San Nicolás de Hidalgo</w:t>
      </w:r>
    </w:p>
    <w:p>
      <w:pPr>
        <w:spacing w:line="360"/>
        <w:jc w:val="center"/>
      </w:pPr>
      <w:r>
        <w:rPr>
          <w:rFonts w:ascii="Arial" w:cs="Arial" w:eastAsia="Arial" w:hAnsi="Arial"/>
          <w:sz w:val="24"/>
          <w:szCs w:val="24"/>
        </w:rPr>
        <w:t xml:space="preserve">Facultad de Derecho y Ciencias Sociales · División de Estudios de Posgrado</w:t>
      </w:r>
    </w:p>
    <w:p>
      <w:r>
        <w:br w:type="page"/>
      </w:r>
    </w:p>
    <w:p>
      <w:pPr>
        <w:spacing w:line="360"/>
        <w:jc w:val="center"/>
      </w:pPr>
      <w:r>
        <w:rPr>
          <w:rFonts w:ascii="Arial" w:cs="Arial" w:eastAsia="Arial" w:hAnsi="Arial"/>
          <w:b/>
          <w:bCs/>
          <w:color w:val="000000"/>
          <w:sz w:val="24"/>
          <w:szCs w:val="24"/>
        </w:rPr>
        <w:t xml:space="preserve">Índice</w:t>
      </w:r>
    </w:p>
    <w:p>
      <w:pPr>
        <w:keepNext w:val="false"/>
        <w:spacing w:after="0" w:before="0" w:line="360"/>
      </w:pPr>
      <w:r>
        <w:rPr>
          <w:rFonts w:ascii="Arial" w:cs="Arial" w:eastAsia="Arial" w:hAnsi="Arial"/>
          <w:color w:val="000000"/>
          <w:sz w:val="24"/>
          <w:szCs w:val="24"/>
        </w:rPr>
        <w:t xml:space="preserve"/>
      </w:r>
    </w:p>
    <w:p>
      <w:pPr>
        <w:tabs>
          <w:tab w:val="right" w:pos="8838" w:leader="dot"/>
        </w:tabs>
        <w:spacing w:after="0" w:before="0" w:line="360"/>
        <w:ind w:left="0" w:right="0"/>
      </w:pPr>
      <w:r>
        <w:rPr>
          <w:rFonts w:ascii="Arial" w:cs="Arial" w:eastAsia="Arial" w:hAnsi="Arial"/>
          <w:color w:val="000000"/>
          <w:sz w:val="22"/>
          <w:szCs w:val="22"/>
        </w:rPr>
        <w:t xml:space="preserve">Capítulo 1. Categorías de epistemología jurídica para la prueba por indicios	</w:t>
      </w:r>
      <w:r>
        <w:rPr>
          <w:rFonts w:ascii="Arial" w:cs="Arial" w:eastAsia="Arial" w:hAnsi="Arial"/>
          <w:color w:val="000000"/>
          <w:sz w:val="22"/>
          <w:szCs w:val="22"/>
        </w:rPr>
        <w:t xml:space="preserve">1</w:t>
      </w:r>
    </w:p>
    <w:p>
      <w:pPr>
        <w:tabs>
          <w:tab w:val="right" w:pos="8838" w:leader="dot"/>
        </w:tabs>
        <w:spacing w:after="0" w:before="0" w:line="360"/>
        <w:ind w:left="283" w:right="0"/>
      </w:pPr>
      <w:r>
        <w:rPr>
          <w:rFonts w:ascii="Arial" w:cs="Arial" w:eastAsia="Arial" w:hAnsi="Arial"/>
          <w:color w:val="000000"/>
          <w:sz w:val="22"/>
          <w:szCs w:val="22"/>
        </w:rPr>
        <w:t xml:space="preserve">1.1. La decisión sobre los hechos es una operación de conocimiento sujeta a control racional	</w:t>
      </w:r>
      <w:r>
        <w:rPr>
          <w:rFonts w:ascii="Arial" w:cs="Arial" w:eastAsia="Arial" w:hAnsi="Arial"/>
          <w:color w:val="000000"/>
          <w:sz w:val="22"/>
          <w:szCs w:val="22"/>
        </w:rPr>
        <w:t xml:space="preserve">1</w:t>
      </w:r>
    </w:p>
    <w:p>
      <w:pPr>
        <w:tabs>
          <w:tab w:val="right" w:pos="8838" w:leader="dot"/>
        </w:tabs>
        <w:spacing w:after="0" w:before="0" w:line="360"/>
        <w:ind w:left="567" w:right="0"/>
      </w:pPr>
      <w:r>
        <w:rPr>
          <w:rFonts w:ascii="Arial" w:cs="Arial" w:eastAsia="Arial" w:hAnsi="Arial"/>
          <w:color w:val="000000"/>
          <w:sz w:val="22"/>
          <w:szCs w:val="22"/>
        </w:rPr>
        <w:t xml:space="preserve">1.1.1. La conquista histórica de la racionalidad probatoria	</w:t>
      </w:r>
      <w:r>
        <w:rPr>
          <w:rFonts w:ascii="Arial" w:cs="Arial" w:eastAsia="Arial" w:hAnsi="Arial"/>
          <w:color w:val="000000"/>
          <w:sz w:val="22"/>
          <w:szCs w:val="22"/>
        </w:rPr>
        <w:t xml:space="preserve">2</w:t>
      </w:r>
    </w:p>
    <w:p>
      <w:pPr>
        <w:tabs>
          <w:tab w:val="right" w:pos="8838" w:leader="dot"/>
        </w:tabs>
        <w:spacing w:after="0" w:before="0" w:line="360"/>
        <w:ind w:left="567" w:right="0"/>
      </w:pPr>
      <w:r>
        <w:rPr>
          <w:rFonts w:ascii="Arial" w:cs="Arial" w:eastAsia="Arial" w:hAnsi="Arial"/>
          <w:color w:val="000000"/>
          <w:sz w:val="22"/>
          <w:szCs w:val="22"/>
        </w:rPr>
        <w:t xml:space="preserve">1.1.2. Realismo moderado y modelo cognoscitivista	</w:t>
      </w:r>
      <w:r>
        <w:rPr>
          <w:rFonts w:ascii="Arial" w:cs="Arial" w:eastAsia="Arial" w:hAnsi="Arial"/>
          <w:color w:val="000000"/>
          <w:sz w:val="22"/>
          <w:szCs w:val="22"/>
        </w:rPr>
        <w:t xml:space="preserve">3</w:t>
      </w:r>
    </w:p>
    <w:p>
      <w:pPr>
        <w:tabs>
          <w:tab w:val="right" w:pos="8838" w:leader="dot"/>
        </w:tabs>
        <w:spacing w:after="0" w:before="0" w:line="360"/>
        <w:ind w:left="567" w:right="0"/>
      </w:pPr>
      <w:r>
        <w:rPr>
          <w:rFonts w:ascii="Arial" w:cs="Arial" w:eastAsia="Arial" w:hAnsi="Arial"/>
          <w:color w:val="000000"/>
          <w:sz w:val="22"/>
          <w:szCs w:val="22"/>
        </w:rPr>
        <w:t xml:space="preserve">1.1.3. Los dos proyectos de la epistemología jurídica	</w:t>
      </w:r>
      <w:r>
        <w:rPr>
          <w:rFonts w:ascii="Arial" w:cs="Arial" w:eastAsia="Arial" w:hAnsi="Arial"/>
          <w:color w:val="000000"/>
          <w:sz w:val="22"/>
          <w:szCs w:val="22"/>
        </w:rPr>
        <w:t xml:space="preserve">6</w:t>
      </w:r>
    </w:p>
    <w:p>
      <w:pPr>
        <w:tabs>
          <w:tab w:val="right" w:pos="8838" w:leader="dot"/>
        </w:tabs>
        <w:spacing w:after="0" w:before="0" w:line="360"/>
        <w:ind w:left="283" w:right="0"/>
      </w:pPr>
      <w:r>
        <w:rPr>
          <w:rFonts w:ascii="Arial" w:cs="Arial" w:eastAsia="Arial" w:hAnsi="Arial"/>
          <w:color w:val="000000"/>
          <w:sz w:val="22"/>
          <w:szCs w:val="22"/>
        </w:rPr>
        <w:t xml:space="preserve">1.2. La averiguación de la verdad es la función epistémica del proceso	</w:t>
      </w:r>
      <w:r>
        <w:rPr>
          <w:rFonts w:ascii="Arial" w:cs="Arial" w:eastAsia="Arial" w:hAnsi="Arial"/>
          <w:color w:val="000000"/>
          <w:sz w:val="22"/>
          <w:szCs w:val="22"/>
        </w:rPr>
        <w:t xml:space="preserve">7</w:t>
      </w:r>
    </w:p>
    <w:p>
      <w:pPr>
        <w:tabs>
          <w:tab w:val="right" w:pos="8838" w:leader="dot"/>
        </w:tabs>
        <w:spacing w:after="0" w:before="0" w:line="360"/>
        <w:ind w:left="567" w:right="0"/>
      </w:pPr>
      <w:r>
        <w:rPr>
          <w:rFonts w:ascii="Arial" w:cs="Arial" w:eastAsia="Arial" w:hAnsi="Arial"/>
          <w:color w:val="000000"/>
          <w:sz w:val="22"/>
          <w:szCs w:val="22"/>
        </w:rPr>
        <w:t xml:space="preserve">1.2.1. Verdad y justicia de la decisión	</w:t>
      </w:r>
      <w:r>
        <w:rPr>
          <w:rFonts w:ascii="Arial" w:cs="Arial" w:eastAsia="Arial" w:hAnsi="Arial"/>
          <w:color w:val="000000"/>
          <w:sz w:val="22"/>
          <w:szCs w:val="22"/>
        </w:rPr>
        <w:t xml:space="preserve">8</w:t>
      </w:r>
    </w:p>
    <w:p>
      <w:pPr>
        <w:tabs>
          <w:tab w:val="right" w:pos="8838" w:leader="dot"/>
        </w:tabs>
        <w:spacing w:after="0" w:before="0" w:line="360"/>
        <w:ind w:left="567" w:right="0"/>
      </w:pPr>
      <w:r>
        <w:rPr>
          <w:rFonts w:ascii="Arial" w:cs="Arial" w:eastAsia="Arial" w:hAnsi="Arial"/>
          <w:color w:val="000000"/>
          <w:sz w:val="22"/>
          <w:szCs w:val="22"/>
        </w:rPr>
        <w:t xml:space="preserve">1.2.2. Las concepciones ritual y retórica	</w:t>
      </w:r>
      <w:r>
        <w:rPr>
          <w:rFonts w:ascii="Arial" w:cs="Arial" w:eastAsia="Arial" w:hAnsi="Arial"/>
          <w:color w:val="000000"/>
          <w:sz w:val="22"/>
          <w:szCs w:val="22"/>
        </w:rPr>
        <w:t xml:space="preserve">10</w:t>
      </w:r>
    </w:p>
    <w:p>
      <w:pPr>
        <w:tabs>
          <w:tab w:val="right" w:pos="8838" w:leader="dot"/>
        </w:tabs>
        <w:spacing w:after="0" w:before="0" w:line="360"/>
        <w:ind w:left="567" w:right="0"/>
      </w:pPr>
      <w:r>
        <w:rPr>
          <w:rFonts w:ascii="Arial" w:cs="Arial" w:eastAsia="Arial" w:hAnsi="Arial"/>
          <w:color w:val="000000"/>
          <w:sz w:val="22"/>
          <w:szCs w:val="22"/>
        </w:rPr>
        <w:t xml:space="preserve">1.2.3. La relatividad de la verdad procesal	</w:t>
      </w:r>
      <w:r>
        <w:rPr>
          <w:rFonts w:ascii="Arial" w:cs="Arial" w:eastAsia="Arial" w:hAnsi="Arial"/>
          <w:color w:val="000000"/>
          <w:sz w:val="22"/>
          <w:szCs w:val="22"/>
        </w:rPr>
        <w:t xml:space="preserve">11</w:t>
      </w:r>
    </w:p>
    <w:p>
      <w:pPr>
        <w:tabs>
          <w:tab w:val="right" w:pos="8838" w:leader="dot"/>
        </w:tabs>
        <w:spacing w:after="0" w:before="0" w:line="360"/>
        <w:ind w:left="283" w:right="0"/>
      </w:pPr>
      <w:r>
        <w:rPr>
          <w:rFonts w:ascii="Arial" w:cs="Arial" w:eastAsia="Arial" w:hAnsi="Arial"/>
          <w:color w:val="000000"/>
          <w:sz w:val="22"/>
          <w:szCs w:val="22"/>
        </w:rPr>
        <w:t xml:space="preserve">1.3. La actividad probatoria se descompone en tres momentos	</w:t>
      </w:r>
      <w:r>
        <w:rPr>
          <w:rFonts w:ascii="Arial" w:cs="Arial" w:eastAsia="Arial" w:hAnsi="Arial"/>
          <w:color w:val="000000"/>
          <w:sz w:val="22"/>
          <w:szCs w:val="22"/>
        </w:rPr>
        <w:t xml:space="preserve">12</w:t>
      </w:r>
    </w:p>
    <w:p>
      <w:pPr>
        <w:tabs>
          <w:tab w:val="right" w:pos="8838" w:leader="dot"/>
        </w:tabs>
        <w:spacing w:after="0" w:before="0" w:line="360"/>
        <w:ind w:left="567" w:right="0"/>
      </w:pPr>
      <w:r>
        <w:rPr>
          <w:rFonts w:ascii="Arial" w:cs="Arial" w:eastAsia="Arial" w:hAnsi="Arial"/>
          <w:color w:val="000000"/>
          <w:sz w:val="22"/>
          <w:szCs w:val="22"/>
        </w:rPr>
        <w:t xml:space="preserve">1.3.1. La conformación del conjunto de elementos de juicio	</w:t>
      </w:r>
      <w:r>
        <w:rPr>
          <w:rFonts w:ascii="Arial" w:cs="Arial" w:eastAsia="Arial" w:hAnsi="Arial"/>
          <w:color w:val="000000"/>
          <w:sz w:val="22"/>
          <w:szCs w:val="22"/>
        </w:rPr>
        <w:t xml:space="preserve">13</w:t>
      </w:r>
    </w:p>
    <w:p>
      <w:pPr>
        <w:tabs>
          <w:tab w:val="right" w:pos="8838" w:leader="dot"/>
        </w:tabs>
        <w:spacing w:after="0" w:before="0" w:line="360"/>
        <w:ind w:left="567" w:right="0"/>
      </w:pPr>
      <w:r>
        <w:rPr>
          <w:rFonts w:ascii="Arial" w:cs="Arial" w:eastAsia="Arial" w:hAnsi="Arial"/>
          <w:color w:val="000000"/>
          <w:sz w:val="22"/>
          <w:szCs w:val="22"/>
        </w:rPr>
        <w:t xml:space="preserve">1.3.2. La valoración	</w:t>
      </w:r>
      <w:r>
        <w:rPr>
          <w:rFonts w:ascii="Arial" w:cs="Arial" w:eastAsia="Arial" w:hAnsi="Arial"/>
          <w:color w:val="000000"/>
          <w:sz w:val="22"/>
          <w:szCs w:val="22"/>
        </w:rPr>
        <w:t xml:space="preserve">14</w:t>
      </w:r>
    </w:p>
    <w:p>
      <w:pPr>
        <w:tabs>
          <w:tab w:val="right" w:pos="8838" w:leader="dot"/>
        </w:tabs>
        <w:spacing w:after="0" w:before="0" w:line="360"/>
        <w:ind w:left="567" w:right="0"/>
      </w:pPr>
      <w:r>
        <w:rPr>
          <w:rFonts w:ascii="Arial" w:cs="Arial" w:eastAsia="Arial" w:hAnsi="Arial"/>
          <w:color w:val="000000"/>
          <w:sz w:val="22"/>
          <w:szCs w:val="22"/>
        </w:rPr>
        <w:t xml:space="preserve">1.3.3. La decisión y el estándar de prueba	</w:t>
      </w:r>
      <w:r>
        <w:rPr>
          <w:rFonts w:ascii="Arial" w:cs="Arial" w:eastAsia="Arial" w:hAnsi="Arial"/>
          <w:color w:val="000000"/>
          <w:sz w:val="22"/>
          <w:szCs w:val="22"/>
        </w:rPr>
        <w:t xml:space="preserve">15</w:t>
      </w:r>
    </w:p>
    <w:p>
      <w:pPr>
        <w:tabs>
          <w:tab w:val="right" w:pos="8838" w:leader="dot"/>
        </w:tabs>
        <w:spacing w:after="0" w:before="0" w:line="360"/>
        <w:ind w:left="283" w:right="0"/>
      </w:pPr>
      <w:r>
        <w:rPr>
          <w:rFonts w:ascii="Arial" w:cs="Arial" w:eastAsia="Arial" w:hAnsi="Arial"/>
          <w:color w:val="000000"/>
          <w:sz w:val="22"/>
          <w:szCs w:val="22"/>
        </w:rPr>
        <w:t xml:space="preserve">1.4. La inferencia probatoria tiene una estructura identificable	</w:t>
      </w:r>
      <w:r>
        <w:rPr>
          <w:rFonts w:ascii="Arial" w:cs="Arial" w:eastAsia="Arial" w:hAnsi="Arial"/>
          <w:color w:val="000000"/>
          <w:sz w:val="22"/>
          <w:szCs w:val="22"/>
        </w:rPr>
        <w:t xml:space="preserve">17</w:t>
      </w:r>
    </w:p>
    <w:p>
      <w:pPr>
        <w:tabs>
          <w:tab w:val="right" w:pos="8838" w:leader="dot"/>
        </w:tabs>
        <w:spacing w:after="0" w:before="0" w:line="360"/>
        <w:ind w:left="567" w:right="0"/>
      </w:pPr>
      <w:r>
        <w:rPr>
          <w:rFonts w:ascii="Arial" w:cs="Arial" w:eastAsia="Arial" w:hAnsi="Arial"/>
          <w:color w:val="000000"/>
          <w:sz w:val="22"/>
          <w:szCs w:val="22"/>
        </w:rPr>
        <w:t xml:space="preserve">1.4.1. Las dos fases y la cadena de inferencias	</w:t>
      </w:r>
      <w:r>
        <w:rPr>
          <w:rFonts w:ascii="Arial" w:cs="Arial" w:eastAsia="Arial" w:hAnsi="Arial"/>
          <w:color w:val="000000"/>
          <w:sz w:val="22"/>
          <w:szCs w:val="22"/>
        </w:rPr>
        <w:t xml:space="preserve">17</w:t>
      </w:r>
    </w:p>
    <w:p>
      <w:pPr>
        <w:tabs>
          <w:tab w:val="right" w:pos="8838" w:leader="dot"/>
        </w:tabs>
        <w:spacing w:after="0" w:before="0" w:line="360"/>
        <w:ind w:left="567" w:right="0"/>
      </w:pPr>
      <w:r>
        <w:rPr>
          <w:rFonts w:ascii="Arial" w:cs="Arial" w:eastAsia="Arial" w:hAnsi="Arial"/>
          <w:color w:val="000000"/>
          <w:sz w:val="22"/>
          <w:szCs w:val="22"/>
        </w:rPr>
        <w:t xml:space="preserve">1.4.2. Razones, garantía y respaldo	</w:t>
      </w:r>
      <w:r>
        <w:rPr>
          <w:rFonts w:ascii="Arial" w:cs="Arial" w:eastAsia="Arial" w:hAnsi="Arial"/>
          <w:color w:val="000000"/>
          <w:sz w:val="22"/>
          <w:szCs w:val="22"/>
        </w:rPr>
        <w:t xml:space="preserve">18</w:t>
      </w:r>
    </w:p>
    <w:p>
      <w:pPr>
        <w:tabs>
          <w:tab w:val="right" w:pos="8838" w:leader="dot"/>
        </w:tabs>
        <w:spacing w:after="0" w:before="0" w:line="360"/>
        <w:ind w:left="567" w:right="0"/>
      </w:pPr>
      <w:r>
        <w:rPr>
          <w:rFonts w:ascii="Arial" w:cs="Arial" w:eastAsia="Arial" w:hAnsi="Arial"/>
          <w:color w:val="000000"/>
          <w:sz w:val="22"/>
          <w:szCs w:val="22"/>
        </w:rPr>
        <w:t xml:space="preserve">1.4.3. Las fuentes de la garantía	</w:t>
      </w:r>
      <w:r>
        <w:rPr>
          <w:rFonts w:ascii="Arial" w:cs="Arial" w:eastAsia="Arial" w:hAnsi="Arial"/>
          <w:color w:val="000000"/>
          <w:sz w:val="22"/>
          <w:szCs w:val="22"/>
        </w:rPr>
        <w:t xml:space="preserve">20</w:t>
      </w:r>
    </w:p>
    <w:p>
      <w:pPr>
        <w:tabs>
          <w:tab w:val="right" w:pos="8838" w:leader="dot"/>
        </w:tabs>
        <w:spacing w:after="0" w:before="0" w:line="360"/>
        <w:ind w:left="283" w:right="0"/>
      </w:pPr>
      <w:r>
        <w:rPr>
          <w:rFonts w:ascii="Arial" w:cs="Arial" w:eastAsia="Arial" w:hAnsi="Arial"/>
          <w:color w:val="000000"/>
          <w:sz w:val="22"/>
          <w:szCs w:val="22"/>
        </w:rPr>
        <w:t xml:space="preserve">1.5. La solidez de la inferencia admite criterios de control	</w:t>
      </w:r>
      <w:r>
        <w:rPr>
          <w:rFonts w:ascii="Arial" w:cs="Arial" w:eastAsia="Arial" w:hAnsi="Arial"/>
          <w:color w:val="000000"/>
          <w:sz w:val="22"/>
          <w:szCs w:val="22"/>
        </w:rPr>
        <w:t xml:space="preserve">22</w:t>
      </w:r>
    </w:p>
    <w:p>
      <w:pPr>
        <w:tabs>
          <w:tab w:val="right" w:pos="8838" w:leader="dot"/>
        </w:tabs>
        <w:spacing w:after="0" w:before="0" w:line="360"/>
        <w:ind w:left="567" w:right="0"/>
      </w:pPr>
      <w:r>
        <w:rPr>
          <w:rFonts w:ascii="Arial" w:cs="Arial" w:eastAsia="Arial" w:hAnsi="Arial"/>
          <w:color w:val="000000"/>
          <w:sz w:val="22"/>
          <w:szCs w:val="22"/>
        </w:rPr>
        <w:t xml:space="preserve">1.5.1. La vaguedad de la sana crítica	</w:t>
      </w:r>
      <w:r>
        <w:rPr>
          <w:rFonts w:ascii="Arial" w:cs="Arial" w:eastAsia="Arial" w:hAnsi="Arial"/>
          <w:color w:val="000000"/>
          <w:sz w:val="22"/>
          <w:szCs w:val="22"/>
        </w:rPr>
        <w:t xml:space="preserve">22</w:t>
      </w:r>
    </w:p>
    <w:p>
      <w:pPr>
        <w:tabs>
          <w:tab w:val="right" w:pos="8838" w:leader="dot"/>
        </w:tabs>
        <w:spacing w:after="0" w:before="0" w:line="360"/>
        <w:ind w:left="567" w:right="0"/>
      </w:pPr>
      <w:r>
        <w:rPr>
          <w:rFonts w:ascii="Arial" w:cs="Arial" w:eastAsia="Arial" w:hAnsi="Arial"/>
          <w:color w:val="000000"/>
          <w:sz w:val="22"/>
          <w:szCs w:val="22"/>
        </w:rPr>
        <w:t xml:space="preserve">1.5.2. Criterios sobre los hechos probatorios y sobre la garantía	</w:t>
      </w:r>
      <w:r>
        <w:rPr>
          <w:rFonts w:ascii="Arial" w:cs="Arial" w:eastAsia="Arial" w:hAnsi="Arial"/>
          <w:color w:val="000000"/>
          <w:sz w:val="22"/>
          <w:szCs w:val="22"/>
        </w:rPr>
        <w:t xml:space="preserve">23</w:t>
      </w:r>
    </w:p>
    <w:p>
      <w:pPr>
        <w:tabs>
          <w:tab w:val="right" w:pos="8838" w:leader="dot"/>
        </w:tabs>
        <w:spacing w:after="0" w:before="0" w:line="360"/>
        <w:ind w:left="567" w:right="0"/>
      </w:pPr>
      <w:r>
        <w:rPr>
          <w:rFonts w:ascii="Arial" w:cs="Arial" w:eastAsia="Arial" w:hAnsi="Arial"/>
          <w:color w:val="000000"/>
          <w:sz w:val="22"/>
          <w:szCs w:val="22"/>
        </w:rPr>
        <w:t xml:space="preserve">1.5.3. Criterios sobre la hipótesis y gradualidad de la solidez	</w:t>
      </w:r>
      <w:r>
        <w:rPr>
          <w:rFonts w:ascii="Arial" w:cs="Arial" w:eastAsia="Arial" w:hAnsi="Arial"/>
          <w:color w:val="000000"/>
          <w:sz w:val="22"/>
          <w:szCs w:val="22"/>
        </w:rPr>
        <w:t xml:space="preserve">26</w:t>
      </w:r>
    </w:p>
    <w:p>
      <w:pPr>
        <w:tabs>
          <w:tab w:val="right" w:pos="8838" w:leader="dot"/>
        </w:tabs>
        <w:spacing w:after="0" w:before="0" w:line="360"/>
        <w:ind w:left="283" w:right="0"/>
      </w:pPr>
      <w:r>
        <w:rPr>
          <w:rFonts w:ascii="Arial" w:cs="Arial" w:eastAsia="Arial" w:hAnsi="Arial"/>
          <w:color w:val="000000"/>
          <w:sz w:val="22"/>
          <w:szCs w:val="22"/>
        </w:rPr>
        <w:t xml:space="preserve">1.6. El conjunto probatorio excede la suma de sus elementos	</w:t>
      </w:r>
      <w:r>
        <w:rPr>
          <w:rFonts w:ascii="Arial" w:cs="Arial" w:eastAsia="Arial" w:hAnsi="Arial"/>
          <w:color w:val="000000"/>
          <w:sz w:val="22"/>
          <w:szCs w:val="22"/>
        </w:rPr>
        <w:t xml:space="preserve">27</w:t>
      </w:r>
    </w:p>
    <w:p>
      <w:pPr>
        <w:tabs>
          <w:tab w:val="right" w:pos="8838" w:leader="dot"/>
        </w:tabs>
        <w:spacing w:after="0" w:before="0" w:line="360"/>
        <w:ind w:left="567" w:right="0"/>
      </w:pPr>
      <w:r>
        <w:rPr>
          <w:rFonts w:ascii="Arial" w:cs="Arial" w:eastAsia="Arial" w:hAnsi="Arial"/>
          <w:color w:val="000000"/>
          <w:sz w:val="22"/>
          <w:szCs w:val="22"/>
        </w:rPr>
        <w:t xml:space="preserve">1.6.1. Las objeciones al tratamiento aislado de los elementos de prueba	</w:t>
      </w:r>
      <w:r>
        <w:rPr>
          <w:rFonts w:ascii="Arial" w:cs="Arial" w:eastAsia="Arial" w:hAnsi="Arial"/>
          <w:color w:val="000000"/>
          <w:sz w:val="22"/>
          <w:szCs w:val="22"/>
        </w:rPr>
        <w:t xml:space="preserve">28</w:t>
      </w:r>
    </w:p>
    <w:p>
      <w:pPr>
        <w:tabs>
          <w:tab w:val="right" w:pos="8838" w:leader="dot"/>
        </w:tabs>
        <w:spacing w:after="0" w:before="0" w:line="360"/>
        <w:ind w:left="567" w:right="0"/>
      </w:pPr>
      <w:r>
        <w:rPr>
          <w:rFonts w:ascii="Arial" w:cs="Arial" w:eastAsia="Arial" w:hAnsi="Arial"/>
          <w:color w:val="000000"/>
          <w:sz w:val="22"/>
          <w:szCs w:val="22"/>
        </w:rPr>
        <w:t xml:space="preserve">1.6.2. Los anclajes del derecho mexicano	</w:t>
      </w:r>
      <w:r>
        <w:rPr>
          <w:rFonts w:ascii="Arial" w:cs="Arial" w:eastAsia="Arial" w:hAnsi="Arial"/>
          <w:color w:val="000000"/>
          <w:sz w:val="22"/>
          <w:szCs w:val="22"/>
        </w:rPr>
        <w:t xml:space="preserve">29</w:t>
      </w:r>
    </w:p>
    <w:p>
      <w:pPr>
        <w:tabs>
          <w:tab w:val="right" w:pos="8838" w:leader="dot"/>
        </w:tabs>
        <w:spacing w:after="0" w:before="0" w:line="360"/>
        <w:ind w:left="567" w:right="0"/>
      </w:pPr>
      <w:r>
        <w:rPr>
          <w:rFonts w:ascii="Arial" w:cs="Arial" w:eastAsia="Arial" w:hAnsi="Arial"/>
          <w:color w:val="000000"/>
          <w:sz w:val="22"/>
          <w:szCs w:val="22"/>
        </w:rPr>
        <w:t xml:space="preserve">1.6.3. Los riesgos del holismo y el dominio de cada modelo	</w:t>
      </w:r>
      <w:r>
        <w:rPr>
          <w:rFonts w:ascii="Arial" w:cs="Arial" w:eastAsia="Arial" w:hAnsi="Arial"/>
          <w:color w:val="000000"/>
          <w:sz w:val="22"/>
          <w:szCs w:val="22"/>
        </w:rPr>
        <w:t xml:space="preserve">30</w:t>
      </w:r>
    </w:p>
    <w:p>
      <w:pPr>
        <w:tabs>
          <w:tab w:val="right" w:pos="8838" w:leader="dot"/>
        </w:tabs>
        <w:spacing w:after="0" w:before="0" w:line="360"/>
        <w:ind w:left="283" w:right="0"/>
      </w:pPr>
      <w:r>
        <w:rPr>
          <w:rFonts w:ascii="Arial" w:cs="Arial" w:eastAsia="Arial" w:hAnsi="Arial"/>
          <w:color w:val="000000"/>
          <w:sz w:val="22"/>
          <w:szCs w:val="22"/>
        </w:rPr>
        <w:t xml:space="preserve">1.7. Libre convicción como principio metodológico negativo; la sana crítica no es criterio	</w:t>
      </w:r>
      <w:r>
        <w:rPr>
          <w:rFonts w:ascii="Arial" w:cs="Arial" w:eastAsia="Arial" w:hAnsi="Arial"/>
          <w:color w:val="000000"/>
          <w:sz w:val="22"/>
          <w:szCs w:val="22"/>
        </w:rPr>
        <w:t xml:space="preserve">32</w:t>
      </w:r>
    </w:p>
    <w:p>
      <w:pPr>
        <w:tabs>
          <w:tab w:val="right" w:pos="8838" w:leader="dot"/>
        </w:tabs>
        <w:spacing w:after="0" w:before="0" w:line="360"/>
        <w:ind w:left="567" w:right="0"/>
      </w:pPr>
      <w:r>
        <w:rPr>
          <w:rFonts w:ascii="Arial" w:cs="Arial" w:eastAsia="Arial" w:hAnsi="Arial"/>
          <w:color w:val="000000"/>
          <w:sz w:val="22"/>
          <w:szCs w:val="22"/>
        </w:rPr>
        <w:t xml:space="preserve">1.7.1. Principio negativo y criterio positivo	</w:t>
      </w:r>
      <w:r>
        <w:rPr>
          <w:rFonts w:ascii="Arial" w:cs="Arial" w:eastAsia="Arial" w:hAnsi="Arial"/>
          <w:color w:val="000000"/>
          <w:sz w:val="22"/>
          <w:szCs w:val="22"/>
        </w:rPr>
        <w:t xml:space="preserve">32</w:t>
      </w:r>
    </w:p>
    <w:p>
      <w:pPr>
        <w:tabs>
          <w:tab w:val="right" w:pos="8838" w:leader="dot"/>
        </w:tabs>
        <w:spacing w:after="0" w:before="0" w:line="360"/>
        <w:ind w:left="567" w:right="0"/>
      </w:pPr>
      <w:r>
        <w:rPr>
          <w:rFonts w:ascii="Arial" w:cs="Arial" w:eastAsia="Arial" w:hAnsi="Arial"/>
          <w:color w:val="000000"/>
          <w:sz w:val="22"/>
          <w:szCs w:val="22"/>
        </w:rPr>
        <w:t xml:space="preserve">1.7.2. La deriva subjetivista	</w:t>
      </w:r>
      <w:r>
        <w:rPr>
          <w:rFonts w:ascii="Arial" w:cs="Arial" w:eastAsia="Arial" w:hAnsi="Arial"/>
          <w:color w:val="000000"/>
          <w:sz w:val="22"/>
          <w:szCs w:val="22"/>
        </w:rPr>
        <w:t xml:space="preserve">33</w:t>
      </w:r>
    </w:p>
    <w:p>
      <w:pPr>
        <w:tabs>
          <w:tab w:val="right" w:pos="8838" w:leader="dot"/>
        </w:tabs>
        <w:spacing w:after="0" w:before="0" w:line="360"/>
        <w:ind w:left="567" w:right="0"/>
      </w:pPr>
      <w:r>
        <w:rPr>
          <w:rFonts w:ascii="Arial" w:cs="Arial" w:eastAsia="Arial" w:hAnsi="Arial"/>
          <w:color w:val="000000"/>
          <w:sz w:val="22"/>
          <w:szCs w:val="22"/>
        </w:rPr>
        <w:t xml:space="preserve">1.7.3. La sana crítica y la exigencia de explicitación	</w:t>
      </w:r>
      <w:r>
        <w:rPr>
          <w:rFonts w:ascii="Arial" w:cs="Arial" w:eastAsia="Arial" w:hAnsi="Arial"/>
          <w:color w:val="000000"/>
          <w:sz w:val="22"/>
          <w:szCs w:val="22"/>
        </w:rPr>
        <w:t xml:space="preserve">34</w:t>
      </w:r>
    </w:p>
    <w:p>
      <w:pPr>
        <w:tabs>
          <w:tab w:val="right" w:pos="8838" w:leader="dot"/>
        </w:tabs>
        <w:spacing w:after="0" w:before="0" w:line="360"/>
        <w:ind w:left="283" w:right="0"/>
      </w:pPr>
      <w:r>
        <w:rPr>
          <w:rFonts w:ascii="Arial" w:cs="Arial" w:eastAsia="Arial" w:hAnsi="Arial"/>
          <w:color w:val="000000"/>
          <w:sz w:val="22"/>
          <w:szCs w:val="22"/>
        </w:rPr>
        <w:t xml:space="preserve">1.8. Un estándar subjetivo no es un estándar	</w:t>
      </w:r>
      <w:r>
        <w:rPr>
          <w:rFonts w:ascii="Arial" w:cs="Arial" w:eastAsia="Arial" w:hAnsi="Arial"/>
          <w:color w:val="000000"/>
          <w:sz w:val="22"/>
          <w:szCs w:val="22"/>
        </w:rPr>
        <w:t xml:space="preserve">35</w:t>
      </w:r>
    </w:p>
    <w:p>
      <w:pPr>
        <w:tabs>
          <w:tab w:val="right" w:pos="8838" w:leader="dot"/>
        </w:tabs>
        <w:spacing w:after="0" w:before="0" w:line="360"/>
        <w:ind w:left="567" w:right="0"/>
      </w:pPr>
      <w:r>
        <w:rPr>
          <w:rFonts w:ascii="Arial" w:cs="Arial" w:eastAsia="Arial" w:hAnsi="Arial"/>
          <w:color w:val="000000"/>
          <w:sz w:val="22"/>
          <w:szCs w:val="22"/>
        </w:rPr>
        <w:t xml:space="preserve">1.8.1. Los tres atributos de un estándar	</w:t>
      </w:r>
      <w:r>
        <w:rPr>
          <w:rFonts w:ascii="Arial" w:cs="Arial" w:eastAsia="Arial" w:hAnsi="Arial"/>
          <w:color w:val="000000"/>
          <w:sz w:val="22"/>
          <w:szCs w:val="22"/>
        </w:rPr>
        <w:t xml:space="preserve">36</w:t>
      </w:r>
    </w:p>
    <w:p>
      <w:pPr>
        <w:tabs>
          <w:tab w:val="right" w:pos="8838" w:leader="dot"/>
        </w:tabs>
        <w:spacing w:after="0" w:before="0" w:line="360"/>
        <w:ind w:left="567" w:right="0"/>
      </w:pPr>
      <w:r>
        <w:rPr>
          <w:rFonts w:ascii="Arial" w:cs="Arial" w:eastAsia="Arial" w:hAnsi="Arial"/>
          <w:color w:val="000000"/>
          <w:sz w:val="22"/>
          <w:szCs w:val="22"/>
        </w:rPr>
        <w:t xml:space="preserve">1.8.2. La corrupción de la duda razonable y las dos vías convencionales	</w:t>
      </w:r>
      <w:r>
        <w:rPr>
          <w:rFonts w:ascii="Arial" w:cs="Arial" w:eastAsia="Arial" w:hAnsi="Arial"/>
          <w:color w:val="000000"/>
          <w:sz w:val="22"/>
          <w:szCs w:val="22"/>
        </w:rPr>
        <w:t xml:space="preserve">36</w:t>
      </w:r>
    </w:p>
    <w:p>
      <w:pPr>
        <w:tabs>
          <w:tab w:val="right" w:pos="8838" w:leader="dot"/>
        </w:tabs>
        <w:spacing w:after="0" w:before="0" w:line="360"/>
        <w:ind w:left="567" w:right="0"/>
      </w:pPr>
      <w:r>
        <w:rPr>
          <w:rFonts w:ascii="Arial" w:cs="Arial" w:eastAsia="Arial" w:hAnsi="Arial"/>
          <w:color w:val="000000"/>
          <w:sz w:val="22"/>
          <w:szCs w:val="22"/>
        </w:rPr>
        <w:t xml:space="preserve">1.8.3. Uniformidad y distribución del error	</w:t>
      </w:r>
      <w:r>
        <w:rPr>
          <w:rFonts w:ascii="Arial" w:cs="Arial" w:eastAsia="Arial" w:hAnsi="Arial"/>
          <w:color w:val="000000"/>
          <w:sz w:val="22"/>
          <w:szCs w:val="22"/>
        </w:rPr>
        <w:t xml:space="preserve">38</w:t>
      </w:r>
    </w:p>
    <w:p>
      <w:pPr>
        <w:tabs>
          <w:tab w:val="right" w:pos="8838" w:leader="dot"/>
        </w:tabs>
        <w:spacing w:after="0" w:before="0" w:line="360"/>
        <w:ind w:left="283" w:right="0"/>
      </w:pPr>
      <w:r>
        <w:rPr>
          <w:rFonts w:ascii="Arial" w:cs="Arial" w:eastAsia="Arial" w:hAnsi="Arial"/>
          <w:color w:val="000000"/>
          <w:sz w:val="22"/>
          <w:szCs w:val="22"/>
        </w:rPr>
        <w:t xml:space="preserve">1.9. Motivación como control externo de la inferencia	</w:t>
      </w:r>
      <w:r>
        <w:rPr>
          <w:rFonts w:ascii="Arial" w:cs="Arial" w:eastAsia="Arial" w:hAnsi="Arial"/>
          <w:color w:val="000000"/>
          <w:sz w:val="22"/>
          <w:szCs w:val="22"/>
        </w:rPr>
        <w:t xml:space="preserve">39</w:t>
      </w:r>
    </w:p>
    <w:p>
      <w:pPr>
        <w:tabs>
          <w:tab w:val="right" w:pos="8838" w:leader="dot"/>
        </w:tabs>
        <w:spacing w:after="0" w:before="0" w:line="360"/>
        <w:ind w:left="567" w:right="0"/>
      </w:pPr>
      <w:r>
        <w:rPr>
          <w:rFonts w:ascii="Arial" w:cs="Arial" w:eastAsia="Arial" w:hAnsi="Arial"/>
          <w:color w:val="000000"/>
          <w:sz w:val="22"/>
          <w:szCs w:val="22"/>
        </w:rPr>
        <w:t xml:space="preserve">1.9.1. La garantía de cierre y sus dos funciones	</w:t>
      </w:r>
      <w:r>
        <w:rPr>
          <w:rFonts w:ascii="Arial" w:cs="Arial" w:eastAsia="Arial" w:hAnsi="Arial"/>
          <w:color w:val="000000"/>
          <w:sz w:val="22"/>
          <w:szCs w:val="22"/>
        </w:rPr>
        <w:t xml:space="preserve">39</w:t>
      </w:r>
    </w:p>
    <w:p>
      <w:pPr>
        <w:tabs>
          <w:tab w:val="right" w:pos="8838" w:leader="dot"/>
        </w:tabs>
        <w:spacing w:after="0" w:before="0" w:line="360"/>
        <w:ind w:left="567" w:right="0"/>
      </w:pPr>
      <w:r>
        <w:rPr>
          <w:rFonts w:ascii="Arial" w:cs="Arial" w:eastAsia="Arial" w:hAnsi="Arial"/>
          <w:color w:val="000000"/>
          <w:sz w:val="22"/>
          <w:szCs w:val="22"/>
        </w:rPr>
        <w:t xml:space="preserve">1.9.2. Motivación-actividad y motivación-documento	</w:t>
      </w:r>
      <w:r>
        <w:rPr>
          <w:rFonts w:ascii="Arial" w:cs="Arial" w:eastAsia="Arial" w:hAnsi="Arial"/>
          <w:color w:val="000000"/>
          <w:sz w:val="22"/>
          <w:szCs w:val="22"/>
        </w:rPr>
        <w:t xml:space="preserve">42</w:t>
      </w:r>
    </w:p>
    <w:p>
      <w:pPr>
        <w:tabs>
          <w:tab w:val="right" w:pos="8838" w:leader="dot"/>
        </w:tabs>
        <w:spacing w:after="0" w:before="0" w:line="360"/>
        <w:ind w:left="567" w:right="0"/>
      </w:pPr>
      <w:r>
        <w:rPr>
          <w:rFonts w:ascii="Arial" w:cs="Arial" w:eastAsia="Arial" w:hAnsi="Arial"/>
          <w:color w:val="000000"/>
          <w:sz w:val="22"/>
          <w:szCs w:val="22"/>
        </w:rPr>
        <w:t xml:space="preserve">1.9.3. Completitud y contenido exigible	</w:t>
      </w:r>
      <w:r>
        <w:rPr>
          <w:rFonts w:ascii="Arial" w:cs="Arial" w:eastAsia="Arial" w:hAnsi="Arial"/>
          <w:color w:val="000000"/>
          <w:sz w:val="22"/>
          <w:szCs w:val="22"/>
        </w:rPr>
        <w:t xml:space="preserve">44</w:t>
      </w:r>
    </w:p>
    <w:p>
      <w:pPr>
        <w:tabs>
          <w:tab w:val="right" w:pos="8838" w:leader="dot"/>
        </w:tabs>
        <w:spacing w:after="0" w:before="0" w:line="360"/>
        <w:ind w:left="283" w:right="0"/>
      </w:pPr>
      <w:r>
        <w:rPr>
          <w:rFonts w:ascii="Arial" w:cs="Arial" w:eastAsia="Arial" w:hAnsi="Arial"/>
          <w:color w:val="000000"/>
          <w:sz w:val="22"/>
          <w:szCs w:val="22"/>
        </w:rPr>
        <w:t xml:space="preserve">1.10. Recapitulación: nueve categorías operativas	</w:t>
      </w:r>
      <w:r>
        <w:rPr>
          <w:rFonts w:ascii="Arial" w:cs="Arial" w:eastAsia="Arial" w:hAnsi="Arial"/>
          <w:color w:val="000000"/>
          <w:sz w:val="22"/>
          <w:szCs w:val="22"/>
        </w:rPr>
        <w:t xml:space="preserve">48</w:t>
      </w:r>
    </w:p>
    <w:p>
      <w:pPr>
        <w:tabs>
          <w:tab w:val="right" w:pos="8838" w:leader="dot"/>
        </w:tabs>
        <w:spacing w:after="0" w:before="0" w:line="360"/>
        <w:ind w:left="567" w:right="0"/>
      </w:pPr>
      <w:r>
        <w:rPr>
          <w:rFonts w:ascii="Arial" w:cs="Arial" w:eastAsia="Arial" w:hAnsi="Arial"/>
          <w:color w:val="000000"/>
          <w:sz w:val="22"/>
          <w:szCs w:val="22"/>
        </w:rPr>
        <w:t xml:space="preserve">1.10.1. Las nueve categorías	</w:t>
      </w:r>
      <w:r>
        <w:rPr>
          <w:rFonts w:ascii="Arial" w:cs="Arial" w:eastAsia="Arial" w:hAnsi="Arial"/>
          <w:color w:val="000000"/>
          <w:sz w:val="22"/>
          <w:szCs w:val="22"/>
        </w:rPr>
        <w:t xml:space="preserve">48</w:t>
      </w:r>
    </w:p>
    <w:p>
      <w:pPr>
        <w:tabs>
          <w:tab w:val="right" w:pos="8838" w:leader="dot"/>
        </w:tabs>
        <w:spacing w:after="0" w:before="0" w:line="360"/>
        <w:ind w:left="567" w:right="0"/>
      </w:pPr>
      <w:r>
        <w:rPr>
          <w:rFonts w:ascii="Arial" w:cs="Arial" w:eastAsia="Arial" w:hAnsi="Arial"/>
          <w:color w:val="000000"/>
          <w:sz w:val="22"/>
          <w:szCs w:val="22"/>
        </w:rPr>
        <w:t xml:space="preserve">1.10.2. Alcance y límites de la rejilla	</w:t>
      </w:r>
      <w:r>
        <w:rPr>
          <w:rFonts w:ascii="Arial" w:cs="Arial" w:eastAsia="Arial" w:hAnsi="Arial"/>
          <w:color w:val="000000"/>
          <w:sz w:val="22"/>
          <w:szCs w:val="22"/>
        </w:rPr>
        <w:t xml:space="preserve">51</w:t>
      </w:r>
    </w:p>
    <w:p>
      <w:pPr>
        <w:sectPr>
          <w:footerReference w:type="default" r:id="rId7"/>
          <w:pgSz w:w="12240" w:h="15840" w:orient="portrait"/>
          <w:pgMar w:top="1417" w:right="1701" w:bottom="1417" w:left="1701" w:header="708" w:footer="708" w:gutter="0"/>
          <w:pgNumType w:start="1" w:fmt="lowerRoman"/>
          <w:docGrid w:linePitch="360"/>
        </w:sectPr>
      </w:pP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pStyle w:val="Heading1"/>
        <w:keepNext/>
        <w:spacing w:after="0" w:before="0" w:line="360"/>
        <w:jc w:val="center"/>
      </w:pPr>
      <w:r>
        <w:rPr>
          <w:rFonts w:ascii="Arial" w:cs="Arial" w:eastAsia="Arial" w:hAnsi="Arial"/>
          <w:b/>
          <w:bCs/>
          <w:color w:val="000000"/>
          <w:sz w:val="24"/>
          <w:szCs w:val="24"/>
        </w:rPr>
        <w:t xml:space="preserve">Capítulo 1</w:t>
      </w:r>
    </w:p>
    <w:p>
      <w:pPr>
        <w:keepNext/>
        <w:spacing w:after="0" w:before="0" w:line="360"/>
        <w:jc w:val="center"/>
      </w:pPr>
      <w:r>
        <w:rPr>
          <w:rFonts w:ascii="Arial" w:cs="Arial" w:eastAsia="Arial" w:hAnsi="Arial"/>
          <w:b/>
          <w:bCs/>
          <w:color w:val="000000"/>
          <w:sz w:val="24"/>
          <w:szCs w:val="24"/>
        </w:rPr>
        <w:t xml:space="preserve">Categorías de epistemología jurídica para la prueba por indicios</w:t>
      </w:r>
    </w:p>
    <w:p>
      <w:pPr>
        <w:keepNext/>
        <w:spacing w:after="0" w:before="0" w:line="360"/>
      </w:pPr>
      <w:r>
        <w:rPr>
          <w:rFonts w:ascii="Arial" w:cs="Arial" w:eastAsia="Arial" w:hAnsi="Arial"/>
          <w:color w:val="000000"/>
          <w:sz w:val="24"/>
          <w:szCs w:val="24"/>
        </w:rPr>
        <w:t xml:space="preserve"/>
      </w:r>
    </w:p>
    <w:p>
      <w:pPr>
        <w:spacing w:after="0" w:before="0" w:line="360"/>
        <w:ind w:left="567" w:right="567"/>
        <w:jc w:val="both"/>
      </w:pPr>
      <w:r>
        <w:rPr>
          <w:rFonts w:ascii="Arial" w:cs="Arial" w:eastAsia="Arial" w:hAnsi="Arial"/>
          <w:smallCaps/>
          <w:color w:val="000000"/>
          <w:sz w:val="22"/>
          <w:szCs w:val="22"/>
        </w:rPr>
        <w:t xml:space="preserve">Sumario: </w:t>
      </w:r>
      <w:r>
        <w:rPr>
          <w:rFonts w:ascii="Arial" w:cs="Arial" w:eastAsia="Arial" w:hAnsi="Arial"/>
          <w:color w:val="000000"/>
          <w:sz w:val="22"/>
          <w:szCs w:val="22"/>
        </w:rPr>
        <w:t xml:space="preserve">1.1. </w:t>
      </w:r>
      <w:r>
        <w:rPr>
          <w:rFonts w:ascii="Arial" w:cs="Arial" w:eastAsia="Arial" w:hAnsi="Arial"/>
          <w:i/>
          <w:iCs/>
          <w:color w:val="000000"/>
          <w:sz w:val="22"/>
          <w:szCs w:val="22"/>
        </w:rPr>
        <w:t xml:space="preserve">La decisión sobre los hechos es una operación de conocimiento sujeta a control racional. </w:t>
      </w:r>
      <w:r>
        <w:rPr>
          <w:rFonts w:ascii="Arial" w:cs="Arial" w:eastAsia="Arial" w:hAnsi="Arial"/>
          <w:color w:val="000000"/>
          <w:sz w:val="22"/>
          <w:szCs w:val="22"/>
        </w:rPr>
        <w:t xml:space="preserve">1.2. </w:t>
      </w:r>
      <w:r>
        <w:rPr>
          <w:rFonts w:ascii="Arial" w:cs="Arial" w:eastAsia="Arial" w:hAnsi="Arial"/>
          <w:i/>
          <w:iCs/>
          <w:color w:val="000000"/>
          <w:sz w:val="22"/>
          <w:szCs w:val="22"/>
        </w:rPr>
        <w:t xml:space="preserve">La averiguación de la verdad es la función epistémica del proceso. </w:t>
      </w:r>
      <w:r>
        <w:rPr>
          <w:rFonts w:ascii="Arial" w:cs="Arial" w:eastAsia="Arial" w:hAnsi="Arial"/>
          <w:color w:val="000000"/>
          <w:sz w:val="22"/>
          <w:szCs w:val="22"/>
        </w:rPr>
        <w:t xml:space="preserve">1.3. </w:t>
      </w:r>
      <w:r>
        <w:rPr>
          <w:rFonts w:ascii="Arial" w:cs="Arial" w:eastAsia="Arial" w:hAnsi="Arial"/>
          <w:i/>
          <w:iCs/>
          <w:color w:val="000000"/>
          <w:sz w:val="22"/>
          <w:szCs w:val="22"/>
        </w:rPr>
        <w:t xml:space="preserve">La actividad probatoria se descompone en tres momentos. </w:t>
      </w:r>
      <w:r>
        <w:rPr>
          <w:rFonts w:ascii="Arial" w:cs="Arial" w:eastAsia="Arial" w:hAnsi="Arial"/>
          <w:color w:val="000000"/>
          <w:sz w:val="22"/>
          <w:szCs w:val="22"/>
        </w:rPr>
        <w:t xml:space="preserve">1.4. </w:t>
      </w:r>
      <w:r>
        <w:rPr>
          <w:rFonts w:ascii="Arial" w:cs="Arial" w:eastAsia="Arial" w:hAnsi="Arial"/>
          <w:i/>
          <w:iCs/>
          <w:color w:val="000000"/>
          <w:sz w:val="22"/>
          <w:szCs w:val="22"/>
        </w:rPr>
        <w:t xml:space="preserve">La inferencia probatoria tiene una estructura identificable. </w:t>
      </w:r>
      <w:r>
        <w:rPr>
          <w:rFonts w:ascii="Arial" w:cs="Arial" w:eastAsia="Arial" w:hAnsi="Arial"/>
          <w:color w:val="000000"/>
          <w:sz w:val="22"/>
          <w:szCs w:val="22"/>
        </w:rPr>
        <w:t xml:space="preserve">1.5. </w:t>
      </w:r>
      <w:r>
        <w:rPr>
          <w:rFonts w:ascii="Arial" w:cs="Arial" w:eastAsia="Arial" w:hAnsi="Arial"/>
          <w:i/>
          <w:iCs/>
          <w:color w:val="000000"/>
          <w:sz w:val="22"/>
          <w:szCs w:val="22"/>
        </w:rPr>
        <w:t xml:space="preserve">La solidez de la inferencia admite criterios de control. </w:t>
      </w:r>
      <w:r>
        <w:rPr>
          <w:rFonts w:ascii="Arial" w:cs="Arial" w:eastAsia="Arial" w:hAnsi="Arial"/>
          <w:color w:val="000000"/>
          <w:sz w:val="22"/>
          <w:szCs w:val="22"/>
        </w:rPr>
        <w:t xml:space="preserve">1.6. </w:t>
      </w:r>
      <w:r>
        <w:rPr>
          <w:rFonts w:ascii="Arial" w:cs="Arial" w:eastAsia="Arial" w:hAnsi="Arial"/>
          <w:i/>
          <w:iCs/>
          <w:color w:val="000000"/>
          <w:sz w:val="22"/>
          <w:szCs w:val="22"/>
        </w:rPr>
        <w:t xml:space="preserve">El conjunto probatorio excede la suma de sus elementos. </w:t>
      </w:r>
      <w:r>
        <w:rPr>
          <w:rFonts w:ascii="Arial" w:cs="Arial" w:eastAsia="Arial" w:hAnsi="Arial"/>
          <w:color w:val="000000"/>
          <w:sz w:val="22"/>
          <w:szCs w:val="22"/>
        </w:rPr>
        <w:t xml:space="preserve">1.7. </w:t>
      </w:r>
      <w:r>
        <w:rPr>
          <w:rFonts w:ascii="Arial" w:cs="Arial" w:eastAsia="Arial" w:hAnsi="Arial"/>
          <w:i/>
          <w:iCs/>
          <w:color w:val="000000"/>
          <w:sz w:val="22"/>
          <w:szCs w:val="22"/>
        </w:rPr>
        <w:t xml:space="preserve">La libre convicción no es un criterio de valoración. </w:t>
      </w:r>
      <w:r>
        <w:rPr>
          <w:rFonts w:ascii="Arial" w:cs="Arial" w:eastAsia="Arial" w:hAnsi="Arial"/>
          <w:color w:val="000000"/>
          <w:sz w:val="22"/>
          <w:szCs w:val="22"/>
        </w:rPr>
        <w:t xml:space="preserve">1.8. </w:t>
      </w:r>
      <w:r>
        <w:rPr>
          <w:rFonts w:ascii="Arial" w:cs="Arial" w:eastAsia="Arial" w:hAnsi="Arial"/>
          <w:i/>
          <w:iCs/>
          <w:color w:val="000000"/>
          <w:sz w:val="22"/>
          <w:szCs w:val="22"/>
        </w:rPr>
        <w:t xml:space="preserve">Un estándar subjetivo no cumple la función de un estándar. </w:t>
      </w:r>
      <w:r>
        <w:rPr>
          <w:rFonts w:ascii="Arial" w:cs="Arial" w:eastAsia="Arial" w:hAnsi="Arial"/>
          <w:color w:val="000000"/>
          <w:sz w:val="22"/>
          <w:szCs w:val="22"/>
        </w:rPr>
        <w:t xml:space="preserve">1.9. </w:t>
      </w:r>
      <w:r>
        <w:rPr>
          <w:rFonts w:ascii="Arial" w:cs="Arial" w:eastAsia="Arial" w:hAnsi="Arial"/>
          <w:i/>
          <w:iCs/>
          <w:color w:val="000000"/>
          <w:sz w:val="22"/>
          <w:szCs w:val="22"/>
        </w:rPr>
        <w:t xml:space="preserve">La motivación convierte la decisión en objeto de control externo. </w:t>
      </w:r>
      <w:r>
        <w:rPr>
          <w:rFonts w:ascii="Arial" w:cs="Arial" w:eastAsia="Arial" w:hAnsi="Arial"/>
          <w:color w:val="000000"/>
          <w:sz w:val="22"/>
          <w:szCs w:val="22"/>
        </w:rPr>
        <w:t xml:space="preserve">1.10. </w:t>
      </w:r>
      <w:r>
        <w:rPr>
          <w:rFonts w:ascii="Arial" w:cs="Arial" w:eastAsia="Arial" w:hAnsi="Arial"/>
          <w:i/>
          <w:iCs/>
          <w:color w:val="000000"/>
          <w:sz w:val="22"/>
          <w:szCs w:val="22"/>
        </w:rPr>
        <w:t xml:space="preserve">Recapitulación. </w:t>
      </w:r>
    </w:p>
    <w:p>
      <w:pPr>
        <w:keepNext/>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1.1. </w:t>
      </w:r>
      <w:r>
        <w:rPr>
          <w:rFonts w:ascii="Arial" w:cs="Arial" w:eastAsia="Arial" w:hAnsi="Arial"/>
          <w:i/>
          <w:iCs/>
          <w:color w:val="000000"/>
          <w:sz w:val="24"/>
          <w:szCs w:val="24"/>
        </w:rPr>
        <w:t xml:space="preserve">La decisión sobre los hechos es una operación de conocimiento sujeta a control racional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valoración de la prueba admite control racional o queda entregada a la conciencia del juzgador, y entre esas dos posibilidades no existe término medio. La primera alternativa supone que la fijación judicial de los hechos constituye una operación de conocimiento, susceptible de acierto y de error y sujeta por ello a criterios de corrección. La segunda la convierte en un acto de voluntad que se agota en su propia enunciación. Tres razones sostienen la primera. La racionalidad probatoria fue una conquista histórica y no un rasgo definitorio de la función judicial. El conocimiento de hechos admite, además, un realismo moderado que evita por igual la infalibilidad del juzgador y el escepticismo sobre la prueba. Ese realismo se traduce, por último, en un modelo que exige enunciados verdaderos y controlables desde fuera de la sentencia.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1.1.1. </w:t>
      </w:r>
      <w:r>
        <w:rPr>
          <w:rFonts w:ascii="Arial" w:cs="Arial" w:eastAsia="Arial" w:hAnsi="Arial"/>
          <w:i/>
          <w:iCs/>
          <w:color w:val="000000"/>
          <w:sz w:val="24"/>
          <w:szCs w:val="24"/>
        </w:rPr>
        <w:t xml:space="preserve">La conquista histórica de la racionalidad probatoria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tradición jurídica trató durante siglos el conocimiento de los hechos como una cuestión pacífica. Gascón Abellán (2010) resume el lema de esa tradición con una fórmula exacta: «Los hechos son los hechos y no necesitan ser argumentados» (p. 11). La confianza descansaba en la evidencia de los hechos, y lo evidente no reclama justificación alguna. La autora advierte, sin embargo, que esa seguridad nunca estuvo presente en todos los modelos judiciales. Sostiene también que la historia del empirismo es la crónica de los intentos y fracasos por encontrar un lugar para el conocimiento empírico dentro de la racionalidad (Gascón Abellán, 2010, p. 11). La premisa tradicional resulta falsa como descripción histórica, y su falsedad no constituye una curiosidad erudita.</w:t>
      </w:r>
    </w:p>
    <w:p>
      <w:pPr>
        <w:spacing w:after="0" w:before="0" w:line="360"/>
        <w:ind w:firstLine="708"/>
        <w:jc w:val="both"/>
      </w:pPr>
      <w:r>
        <w:rPr>
          <w:rFonts w:ascii="Arial" w:cs="Arial" w:eastAsia="Arial" w:hAnsi="Arial"/>
          <w:b w:val="false"/>
          <w:bCs w:val="false"/>
          <w:i w:val="false"/>
          <w:iCs w:val="false"/>
          <w:color w:val="000000"/>
          <w:sz w:val="24"/>
          <w:szCs w:val="24"/>
        </w:rPr>
        <w:t xml:space="preserve">Durante un largo periodo la construcción de la premisa fáctica se apoyó en ritos y procedimientos mágicos donde no cabía apelación alguna a la razón. Gascón Abellán (2010) describe esa etapa como una experiencia mística de búsqueda de la verdad. Añade que a veces se trató, más simplemente, de la búsqueda de una decisión aleatoria o de un dictamen sobrenatural, antes que de un método con apariencias de racionalidad (p. 12). El caso característico es la ordalía, entendida en sentido amplio como duelo judicial, ordalía y juicio de Dios (Gascón Abellán, 2010, p. 12). Caminar sobre brasas incandescentes sin sufrir lesión resolvía la imputación, y recoger un anillo sumergido en agua hirviendo producía idéntico efecto. Esas prácticas no averiguaban hechos: los sustituían por un veredicto de origen sobrenatural. El vencimiento en duelo demuestra la fuerza, la destreza o la suerte del reo, pero nada acerca de los hechos imputados. Gascón Abellán (2010) concluye que el proceso se convierte entonces en un medio que constituye la verdad, en lugar de un medio que intenta averiguarla (p. 13).</w:t>
      </w:r>
    </w:p>
    <w:p>
      <w:pPr>
        <w:spacing w:after="0" w:before="0" w:line="360"/>
        <w:ind w:firstLine="708"/>
        <w:jc w:val="both"/>
      </w:pPr>
      <w:r>
        <w:rPr>
          <w:rFonts w:ascii="Arial" w:cs="Arial" w:eastAsia="Arial" w:hAnsi="Arial"/>
          <w:b w:val="false"/>
          <w:bCs w:val="false"/>
          <w:i w:val="false"/>
          <w:iCs w:val="false"/>
          <w:color w:val="000000"/>
          <w:sz w:val="24"/>
          <w:szCs w:val="24"/>
        </w:rPr>
        <w:t xml:space="preserve">Contra lo que suele suponerse, el tránsito hacia la prueba legal tasada mejoró la apariencia de racionalidad sin alterar la estructura del problema. Gascón Abellán (2010) explica que la prueba de ordalía y la prueba legal constituyen supuestos de prueba formal, porque ambas excluyen la libre valoración del juez (p. 14). Una y otra la sustituyen por un juicio infalible y superior, y la diferencia entre un juicio divino y un juicio legal no rompe esa continuidad. La fijación de los hechos en todo sistema tasado adopta, además, un carácter encubiertamente deductivo. Si la confesión prueba de manera incontrovertible la culpabilidad y el reo confesó, entonces el reo resulta culpable por necesidad lógica. Ese procedimiento no aspiraba a una verdad probable, sino real (Gascón Abellán, 2010, p. 15). El ritual probatorio valía por sí mismo, con independencia de los hechos que decía acreditar.</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reconstrucción se sigue la consecuencia que aquí interesa. La comprensión de la actividad judicial como operación racional constituye una cualidad asociada a determinada cultura jurídica, y no un rasgo conceptual o definitorio de aquélla (Gascón Abellán, 2010, p. 13). La racionalidad probatoria no viene dada con la función de juzgar: se conquistó a lo largo de siglos y, por lo mismo, puede perderse sin que ninguna norma se derogue. Una práctica valorativa puede dejar de aplicarse sin que ningún criterio resulte abandonado de manera expresa, porque lo que la sostiene no es un precepto aislado sino una cultura jurídica que puede desvanecerse.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1.1.2. </w:t>
      </w:r>
      <w:r>
        <w:rPr>
          <w:rFonts w:ascii="Arial" w:cs="Arial" w:eastAsia="Arial" w:hAnsi="Arial"/>
          <w:i/>
          <w:iCs/>
          <w:color w:val="000000"/>
          <w:sz w:val="24"/>
          <w:szCs w:val="24"/>
        </w:rPr>
        <w:t xml:space="preserve">Realismo moderado y modelo cognoscitivista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distinción entre verdad y prueba organiza el problema epistemológico del proceso. La primera designa la correcta descripción de un mundo independiente, y la segunda, la descripción de ese mundo formulada en el proceso (Gascón Abellán, 2010, p. 40). Dos tradiciones cancelaron esa dualidad por caminos opuestos. La ciencia procesal continental las identificó desde una epistemología realista acrítica, según la cual los procedimientos probatorios arrojan resultados infalibles. La tradición del </w:t>
      </w:r>
      <w:r>
        <w:rPr>
          <w:rFonts w:ascii="Arial" w:cs="Arial" w:eastAsia="Arial" w:hAnsi="Arial"/>
          <w:b w:val="false"/>
          <w:bCs w:val="false"/>
          <w:i/>
          <w:iCs/>
          <w:color w:val="000000"/>
          <w:sz w:val="24"/>
          <w:szCs w:val="24"/>
        </w:rPr>
        <w:t xml:space="preserve">common law</w:t>
      </w:r>
      <w:r>
        <w:rPr>
          <w:rFonts w:ascii="Arial" w:cs="Arial" w:eastAsia="Arial" w:hAnsi="Arial"/>
          <w:b w:val="false"/>
          <w:bCs w:val="false"/>
          <w:i w:val="false"/>
          <w:iCs w:val="false"/>
          <w:color w:val="000000"/>
          <w:sz w:val="24"/>
          <w:szCs w:val="24"/>
        </w:rPr>
        <w:t xml:space="preserve"> las canceló desde el extremo contrario, al sostener que no hay más verdad que la procesalmente declarada. Gascón Abellán (2010) señala que ambas desembocan en el mismo corolario inquietante: los jueces serían, por definición, infalibles (p. 40). Ese corolario resulta inadmisible para cualquier teoría que aspire a controlar la decisión sobre los hechos, porque un juez infalible es un juez incontrolable.</w:t>
      </w:r>
    </w:p>
    <w:p>
      <w:pPr>
        <w:spacing w:after="0" w:before="0" w:line="360"/>
        <w:ind w:firstLine="708"/>
        <w:jc w:val="both"/>
      </w:pPr>
      <w:r>
        <w:rPr>
          <w:rFonts w:ascii="Arial" w:cs="Arial" w:eastAsia="Arial" w:hAnsi="Arial"/>
          <w:b w:val="false"/>
          <w:bCs w:val="false"/>
          <w:i w:val="false"/>
          <w:iCs w:val="false"/>
          <w:color w:val="000000"/>
          <w:sz w:val="24"/>
          <w:szCs w:val="24"/>
        </w:rPr>
        <w:t xml:space="preserve">La objeción admite una formulación difícil de mejorar. La distinción entre esos dos conceptos, escribe la autora, es posible e incluso necesaria si se quiere dar cuenta del carácter autorizado, pero falible, de la declaración de hechos de la sentencia (Gascón Abellán, 2010, p. 41). Que la decisión ponga fin a la controversia no convierte en verdadero el enunciado que la sostiene. Mantener la distinción obliga a reconocer que la sentencia puede equivocarse; cancelarla convierte el error judicial en una categoría conceptualmente imposible. Un sistema que no puede pensar su propio error tampoco puede diseñar garantías contra él, ni admitir que una parte demuestre haberlo padecido, que es precisamente lo que un recurso pretende. La falibilidad de la sentencia no es una concesión al escepticismo: es la condición de que exista algo que revisar.</w:t>
      </w:r>
    </w:p>
    <w:p>
      <w:pPr>
        <w:spacing w:after="0" w:before="0" w:line="360"/>
        <w:ind w:firstLine="708"/>
        <w:jc w:val="both"/>
      </w:pPr>
      <w:r>
        <w:rPr>
          <w:rFonts w:ascii="Arial" w:cs="Arial" w:eastAsia="Arial" w:hAnsi="Arial"/>
          <w:b w:val="false"/>
          <w:bCs w:val="false"/>
          <w:i w:val="false"/>
          <w:iCs w:val="false"/>
          <w:color w:val="000000"/>
          <w:sz w:val="24"/>
          <w:szCs w:val="24"/>
        </w:rPr>
        <w:t xml:space="preserve">La salida no consiste, con todo, en elegir entre realismo ingenuo y escepticismo. Gascón Abellán (2010) sostiene que ese dilema es infundado y que existe, como poco, una tercera vía (p. 42). Esa vía adopta un paradigma epistemológico que toma en serio las tesis postpositivistas sobre la carga teórica de la observación, sin renunciar por ello a un cierto realismo. El juicio de hecho pasa entonces a concebirse como una elección entre reconstrucciones posibles de los hechos de la causa. Taruffo (2013) precisa el criterio de esa elección al exponer la regla de la probabilidad prevalente. Resulta racional escoger, respecto de un enunciado de hecho, la hipótesis confirmada en un nivel mayor al de la hipótesis contraria (p. 61). Cuando concurren varias hipótesis sobre el mismo hecho, el criterio racional consiste en elegir la que aparece sustentada por un grado de corroboración probatoria relativamente mayor al de todas las demás (Taruffo, 2013, p. 62).</w:t>
      </w:r>
    </w:p>
    <w:p>
      <w:pPr>
        <w:spacing w:after="0" w:before="0" w:line="360"/>
        <w:ind w:firstLine="708"/>
        <w:jc w:val="both"/>
      </w:pPr>
      <w:r>
        <w:rPr>
          <w:rFonts w:ascii="Arial" w:cs="Arial" w:eastAsia="Arial" w:hAnsi="Arial"/>
          <w:b w:val="false"/>
          <w:bCs w:val="false"/>
          <w:i w:val="false"/>
          <w:iCs w:val="false"/>
          <w:color w:val="000000"/>
          <w:sz w:val="24"/>
          <w:szCs w:val="24"/>
        </w:rPr>
        <w:t xml:space="preserve">El rendimiento de esa tercera vía es metodológico antes que especulativo. La distinción entre verdad y prueba pone de manifiesto la necesidad de establecer garantías epistemológicas para que la declaración de hechos se aproxime lo más posible a la verdad (Gascón Abellán, 2010, p. 41). La simetría del argumento merece atención. Un tribunal que se declara infalible no necesita garantías epistemológicas, porque por hipótesis nunca yerra; un tribunal que niega la posibilidad de conocer tampoco las necesita, porque no hay nada que garantizar. Solo el realismo moderado las vuelve exigibles.</w:t>
      </w:r>
    </w:p>
    <w:p>
      <w:pPr>
        <w:spacing w:after="0" w:before="0" w:line="360"/>
        <w:ind w:firstLine="708"/>
        <w:jc w:val="both"/>
      </w:pPr>
      <w:r>
        <w:rPr>
          <w:rFonts w:ascii="Arial" w:cs="Arial" w:eastAsia="Arial" w:hAnsi="Arial"/>
          <w:b w:val="false"/>
          <w:bCs w:val="false"/>
          <w:i w:val="false"/>
          <w:iCs w:val="false"/>
          <w:color w:val="000000"/>
          <w:sz w:val="24"/>
          <w:szCs w:val="24"/>
        </w:rPr>
        <w:t xml:space="preserve">Ese realismo se concreta en un modelo determinado de conocimiento judicial de hechos. Gascón Abellán (2010) lo formula en los siguientes términos:</w:t>
      </w:r>
    </w:p>
    <w:p>
      <w:pPr>
        <w:spacing w:after="0" w:before="0" w:line="360"/>
        <w:ind w:left="708"/>
        <w:jc w:val="both"/>
      </w:pPr>
      <w:r>
        <w:rPr>
          <w:rFonts w:ascii="Arial" w:cs="Arial" w:eastAsia="Arial" w:hAnsi="Arial"/>
          <w:b w:val="false"/>
          <w:bCs w:val="false"/>
          <w:i w:val="false"/>
          <w:iCs w:val="false"/>
          <w:color w:val="000000"/>
          <w:sz w:val="22"/>
          <w:szCs w:val="22"/>
        </w:rPr>
        <w:t xml:space="preserve">El modelo epistemológico que vamos a adoptar es el cognoscitivista. Entendemos por tal aquel modelo según el cual los procedimientos de fijación de los hechos se dirigen a la formulación de enunciados fácticos que serán verdaderos si los hechos que describen han sucedido y falsos en caso contrario. (p. 49)</w:t>
      </w:r>
    </w:p>
    <w:p>
      <w:pPr>
        <w:spacing w:after="0" w:before="0" w:line="360"/>
        <w:ind w:firstLine="708"/>
        <w:jc w:val="both"/>
      </w:pPr>
      <w:r>
        <w:rPr>
          <w:rFonts w:ascii="Arial" w:cs="Arial" w:eastAsia="Arial" w:hAnsi="Arial"/>
          <w:b w:val="false"/>
          <w:bCs w:val="false"/>
          <w:i w:val="false"/>
          <w:iCs w:val="false"/>
          <w:color w:val="000000"/>
          <w:sz w:val="24"/>
          <w:szCs w:val="24"/>
        </w:rPr>
        <w:t xml:space="preserve">El concepto de verdad que el modelo requiere es el semántico de la correspondencia, y su principal criterio de verdad es la contrastación empírica (Gascón Abellán, 2010, p. 49). La fijación de los hechos no puede resultar, por tanto, del puro decisionismo ni del constructivismo. Debe ser el resultado de un juicio descriptivo sobre hechos a los que se atribuye existencia independiente del proceso. El modelo excluye así, desde el principio, la idea de que la verdad se construya en el tribunal. Esa exclusión tiene un precio y una ventaja: el precio consiste en admitir que la sentencia puede errar, y la ventaja, en que ese error se vuelve alegable por las partes y revisable por el órgano superior, lo que sería imposible si la verdad se agotara en lo declarado.</w:t>
      </w:r>
    </w:p>
    <w:p>
      <w:pPr>
        <w:spacing w:after="0" w:before="0" w:line="360"/>
        <w:ind w:firstLine="708"/>
        <w:jc w:val="both"/>
      </w:pPr>
      <w:r>
        <w:rPr>
          <w:rFonts w:ascii="Arial" w:cs="Arial" w:eastAsia="Arial" w:hAnsi="Arial"/>
          <w:b w:val="false"/>
          <w:bCs w:val="false"/>
          <w:i w:val="false"/>
          <w:iCs w:val="false"/>
          <w:color w:val="000000"/>
          <w:sz w:val="24"/>
          <w:szCs w:val="24"/>
        </w:rPr>
        <w:t xml:space="preserve">Los dos adjetivos del modelo cargan con exigencias distintas. Que los enunciados sean fácticos significa que describen hechos acaecidos, de donde deriva una exigencia para el derecho sustantivo: la configuración legislativa del supuesto de hecho debe tener un referente empírico claro (Gascón Abellán, 2010, p. 49). Que los enunciados sean verdaderos plantea el problema principal, y la autora identifica tres razones por las cuales afirmarlo no es una cuestión trivial. El juez carece de acceso directo a los hechos y solo conoce enunciados sobre ellos, cuya verdad debe acreditarse. La verdad de tales enunciados se obtiene casi siempre por vía inductiva, a partir de otros enunciados fácticos. La averiguación se desarrolla, por último, a través de cauces institucionales que muchas veces estorban ese objetivo (Gascón Abellán, 2010, pp. 49-50). Las tres dificultades se acumulan cuando la prueba es indirecta, y reforzar al máximo las garantías de verdad del proceso supone entonces una exigencia de motivación (Gascón Abellán, 2010, p. 50).</w:t>
      </w:r>
    </w:p>
    <w:p>
      <w:pPr>
        <w:spacing w:after="0" w:before="0" w:line="360"/>
        <w:ind w:firstLine="708"/>
        <w:jc w:val="both"/>
      </w:pPr>
      <w:r>
        <w:rPr>
          <w:rFonts w:ascii="Arial" w:cs="Arial" w:eastAsia="Arial" w:hAnsi="Arial"/>
          <w:b w:val="false"/>
          <w:bCs w:val="false"/>
          <w:i w:val="false"/>
          <w:iCs w:val="false"/>
          <w:color w:val="000000"/>
          <w:sz w:val="24"/>
          <w:szCs w:val="24"/>
        </w:rPr>
        <w:t xml:space="preserve">La primera de esas dificultades tiene un alcance mayor del que su enunciado sugiere. El juzgador electoral no presenció la entrega de propaganda ni la intervención de servidores públicos en la jornada. Lo que tiene ante sí son enunciados sobre esos hechos, contenidos en documentos, imágenes y notas informativas de fiabilidad desigual. Acreditar la verdad de cada uno de esos enunciados, antes de relacionarlos entre sí, resulta condición de que exista material sobre el cual razonar. Un tribunal que no fija el hecho fuente no dispone de premisas, sino de afirmaciones.</w:t>
      </w:r>
    </w:p>
    <w:p>
      <w:pPr>
        <w:spacing w:after="0" w:before="0" w:line="360"/>
        <w:ind w:firstLine="708"/>
        <w:jc w:val="both"/>
      </w:pPr>
      <w:r>
        <w:rPr>
          <w:rFonts w:ascii="Arial" w:cs="Arial" w:eastAsia="Arial" w:hAnsi="Arial"/>
          <w:b w:val="false"/>
          <w:bCs w:val="false"/>
          <w:i w:val="false"/>
          <w:iCs w:val="false"/>
          <w:color w:val="000000"/>
          <w:sz w:val="24"/>
          <w:szCs w:val="24"/>
        </w:rPr>
        <w:t xml:space="preserve">El modelo cumple, por lo demás, dos funciones que conviene distinguir con cuidado. Como esquema teórico permite describir de manera simplificada realidades que en la práctica son complejas, y como parámetro permite medir esas mismas realidades desde el propio modelo (Gascón Abellán, 2010, p. 47). Lo buscado es un modelo epistemológico teórico y útil (Gascón Abellán, 2010, p. 48), cuya utilidad consiste en examinar los procedimientos reales y en realizar una crítica epistémica sobre ellos, comparándolos con los principios derivados del modelo y proponiendo la reforma de los aspectos que se separen de él. Describir y proponer son operaciones distintas, y mantenerlas separadas evita que la crítica se confunda con el diagnóstico.</w:t>
      </w:r>
    </w:p>
    <w:p>
      <w:pPr>
        <w:spacing w:after="0" w:before="0" w:line="360"/>
        <w:ind w:firstLine="708"/>
        <w:jc w:val="both"/>
      </w:pPr>
      <w:r>
        <w:rPr>
          <w:rFonts w:ascii="Arial" w:cs="Arial" w:eastAsia="Arial" w:hAnsi="Arial"/>
          <w:b w:val="false"/>
          <w:bCs w:val="false"/>
          <w:i w:val="false"/>
          <w:iCs w:val="false"/>
          <w:color w:val="000000"/>
          <w:sz w:val="24"/>
          <w:szCs w:val="24"/>
        </w:rPr>
        <w:t xml:space="preserve">La autora acompaña el modelo de una advertencia que conviene retener. Un modelo de descubrimiento no puede confundirse con el descubrimiento mismo, ni un modelo de justificación con la justificación. Confundirlos supone incurrir en la falacia normativista de quien toma el deber ser por el ser (Gascón Abellán, 2010, pp. 48-49). El riesgo consiste en presentar la práctica real «como si» transcurriera conforme al modelo. Cualquier protocolo de valoración corre exactamente ese peligro, porque puede degradarse hasta convertirse en una plantilla que legitime formalmente decisiones que no ejecutaron ninguno de sus pasos. La diferencia entre ejecutar un método y nombrarlo exige, para no borrarse, que cada operación conste de manera verificable en el texto de la sentencia.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1.1.3. </w:t>
      </w:r>
      <w:r>
        <w:rPr>
          <w:rFonts w:ascii="Arial" w:cs="Arial" w:eastAsia="Arial" w:hAnsi="Arial"/>
          <w:i/>
          <w:iCs/>
          <w:color w:val="000000"/>
          <w:sz w:val="24"/>
          <w:szCs w:val="24"/>
        </w:rPr>
        <w:t xml:space="preserve">Los dos proyectos de la epistemología jurídica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disciplina que estudia estas cuestiones recibió un nombre y un programa precisos. Laudan (2013) sostiene que un sistema de justicia penal es primordialmente un motor epistémico (p. 23). Lo define como un dispositivo para descubrir la verdad a partir de lo que a menudo comienza con una mezcla confusa de pistas e indicios. El autor circunscribe la afirmación al proceso penal, pero la descripción conviene igualmente a la situación del juzgador electoral que examina un conjunto de pruebas imperfectas, ninguna de ellas concluyente por sí sola. Si el proceso es un motor epistémico, resulta pertinente preguntar si los procedimientos y reglas que lo estructuran conducen genuinamente a la averiguación de la verdad (Laudan, 2013, p. 23). Esa pregunta define la disciplina y ordena su programa de trabajo, que el autor delimita en dos proyectos:</w:t>
      </w:r>
    </w:p>
    <w:p>
      <w:pPr>
        <w:spacing w:after="0" w:before="0" w:line="360"/>
        <w:ind w:left="708"/>
        <w:jc w:val="both"/>
      </w:pPr>
      <w:r>
        <w:rPr>
          <w:rFonts w:ascii="Arial" w:cs="Arial" w:eastAsia="Arial" w:hAnsi="Arial"/>
          <w:b w:val="false"/>
          <w:bCs w:val="false"/>
          <w:i w:val="false"/>
          <w:iCs w:val="false"/>
          <w:color w:val="000000"/>
          <w:sz w:val="22"/>
          <w:szCs w:val="22"/>
        </w:rPr>
        <w:t xml:space="preserve">De modo que la epistemología jurídica, concebida apropiadamente, consta de dos proyectos: a) uno de carácter descriptivo, consistente en determinar cuáles de las reglas vigentes promueven o facilitan la verdad y cuáles la obstaculizan, y b) otro normativo, consistente en proponer cambios en las reglas existentes al efecto de modificar o eliminar aquellas que constituyan impedimentos graves para la búsqueda de la verdad. (Laudan, 2013, p. 23)</w:t>
      </w:r>
    </w:p>
    <w:p>
      <w:pPr>
        <w:spacing w:after="0" w:before="0" w:line="360"/>
        <w:ind w:firstLine="708"/>
        <w:jc w:val="both"/>
      </w:pPr>
      <w:r>
        <w:rPr>
          <w:rFonts w:ascii="Arial" w:cs="Arial" w:eastAsia="Arial" w:hAnsi="Arial"/>
          <w:b w:val="false"/>
          <w:bCs w:val="false"/>
          <w:i w:val="false"/>
          <w:iCs w:val="false"/>
          <w:color w:val="000000"/>
          <w:sz w:val="24"/>
          <w:szCs w:val="24"/>
        </w:rPr>
        <w:t xml:space="preserve">Laudan (2013) advierte que la epistemología jurídica apenas existe como área reconocida de reflexión, pese a la aceptación casi universal de que el proceso busca averiguar la verdad (p. 23). El diagnóstico conserva vigencia en el derecho electoral mexicano, donde la discusión sobre la prueba se ha concentrado en la admisibilidad de los medios y en su valor tasado. La pregunta por la aptitud de las reglas para producir decisiones verdaderas ha recibido, en cambio, atención escasa. El desplazamiento pertinente no consiste en discutir qué pruebas pueden ofrecerse ni cómo deben desahogarse, sino qué debe hacer el juzgador con las que ya obran en el expediente. La diferencia de objeto no es menor, porque un diagnóstico situado en el tratamiento del material probatorio no exige modificar el catálogo legal de medios, que permanece intacto en cuanto se refiere a su ofrecimiento y a su desahogo.</w:t>
      </w:r>
    </w:p>
    <w:p>
      <w:pPr>
        <w:spacing w:after="0" w:before="0" w:line="360"/>
        <w:ind w:firstLine="708"/>
        <w:jc w:val="both"/>
      </w:pPr>
      <w:r>
        <w:rPr>
          <w:rFonts w:ascii="Arial" w:cs="Arial" w:eastAsia="Arial" w:hAnsi="Arial"/>
          <w:b w:val="false"/>
          <w:bCs w:val="false"/>
          <w:i w:val="false"/>
          <w:iCs w:val="false"/>
          <w:color w:val="000000"/>
          <w:sz w:val="24"/>
          <w:szCs w:val="24"/>
        </w:rPr>
        <w:t xml:space="preserve">Los dos proyectos admiten, sin embargo, una variante que conviene precisar. El proyecto normativo no consiste necesariamente en proponer cambios a las reglas existentes. Puede consistir en explicitar el contenido de reglas que ya rigen, cuando el diagnóstico no identifica una regla defectuosa sino una regla nunca desarrollada. La variante resulta menos ambiciosa que la del autor citado, y gana a cambio una ventaja decisiva: puede exigirse de inmediato, sin esperar a que ningún órgano legislativo la incorpore al derecho positivo ni a que se abra un ciclo de reforma.</w:t>
      </w:r>
    </w:p>
    <w:p>
      <w:pPr>
        <w:spacing w:after="0" w:before="0" w:line="360"/>
        <w:ind w:firstLine="708"/>
        <w:jc w:val="both"/>
      </w:pPr>
      <w:r>
        <w:rPr>
          <w:rFonts w:ascii="Arial" w:cs="Arial" w:eastAsia="Arial" w:hAnsi="Arial"/>
          <w:b w:val="false"/>
          <w:bCs w:val="false"/>
          <w:i w:val="false"/>
          <w:iCs w:val="false"/>
          <w:color w:val="000000"/>
          <w:sz w:val="24"/>
          <w:szCs w:val="24"/>
        </w:rPr>
        <w:t xml:space="preserve">Una precisión final delimita el alcance de las categorías reunidas hasta aquí. Gascón Abellán y Laudan construyen sus modelos con la mirada puesta en el proceso penal, y Laudan (2013) organiza el suyo alrededor de la distribución del error entre condenas falsas y absoluciones falsas (p. 22). El régimen de garantías propio de esa materia, donde rige la presunción de inocencia y existe una asimetría deliberada entre los tipos de error, no se traslada sin más al derecho electoral. Lo que de ambos autores se toma es algo distinto y más básico: la tesis de que la fijación judicial de los hechos constituye una operación de conocimiento y admite, por tanto, criterios de corrección verificables. Esa tesis no depende de la materia en que se aplique.</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1.2. </w:t>
      </w:r>
      <w:r>
        <w:rPr>
          <w:rFonts w:ascii="Arial" w:cs="Arial" w:eastAsia="Arial" w:hAnsi="Arial"/>
          <w:i/>
          <w:iCs/>
          <w:color w:val="000000"/>
          <w:sz w:val="24"/>
          <w:szCs w:val="24"/>
        </w:rPr>
        <w:t xml:space="preserve">La averiguación de la verdad es la función epistémica del proceso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Buena parte de la teoría procesal contemporánea niega que la averiguación de la verdad sea una finalidad del proceso, o la subordina a la resolución del conflicto y a la legitimación social de la decisión. La tesis contraria puede sostenerse con precisión y conviene enunciarla desde ahora: la averiguación de la verdad no es un ideal externo que el proceso persigue cuando puede, sino la condición que permite al derecho funcionar. De ella se siguen dos consecuencias. La prueba es el único instrumento epistémico admisible dentro del proceso. Y la verdad alcanzable resulta relativa a la cantidad y la calidad de las pruebas disponibles, lo que la vuelve graduable y, por tanto, mensurable.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1.2.1. </w:t>
      </w:r>
      <w:r>
        <w:rPr>
          <w:rFonts w:ascii="Arial" w:cs="Arial" w:eastAsia="Arial" w:hAnsi="Arial"/>
          <w:i/>
          <w:iCs/>
          <w:color w:val="000000"/>
          <w:sz w:val="24"/>
          <w:szCs w:val="24"/>
        </w:rPr>
        <w:t xml:space="preserve">Verdad y justicia de la decisión</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Ferrer Beltrán (2007) aborda el problema desde las condiciones de éxito de la institución probatoria. Sostiene que para determinar los objetivos de una institución conviene establecer primero cuáles son esas condiciones (p. 29). El punto de partida es la función directiva del derecho. El legislador dicta normas para que sus destinatarios realicen o se abstengan de realizar determinadas conductas, y añade la amenaza de una sanción para quien no cumpla. Los sistemas jurídicos desarrollados prevén, por eso, órganos cuya función principal consiste en determinar la ocurrencia de los hechos a los que el derecho vincula consecuencias y en imponerlas a los sujetos previstos (Ferrer Beltrán, 2007, p. 29). La cadena completa depende de un eslabón fáctico, y si ese eslabón falla, fallan todos los que penden de él, por impecable que sea la técnica jurídica del resto de la resolución.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La demostración de esa dependencia admite un experimento mental. El autor supone que la sanción se atribuya aleatoriamente, de modo que los órganos de adjudicación sorteen cada mes quién debe ser sancionado y cuántas sanciones se impondrán (Ferrer Beltrán, 2007, p. 30). En ese escenario no existe vinculación alguna entre la conducta de cada miembro de la sociedad y la probabilidad de ser sancionado. Nadie tiene entonces razón para comportarse conforme a las normas jurídicas. El experimento aísla con nitidez lo que aporta la averiguación de la verdad: sin ella, la norma deja de motivar, porque su consecuencia se desprende de algo distinto de la conducta que la norma describe. La conclusión de Ferrer Beltrán (2007) es que la prueba tiene la función de comprobar la producción de los hechos condicionantes a los que el derecho vincula consecuencias jurídicas (p. 30). El éxito de la institución probatoria se produce, en consecuencia, cuando las proposiciones sobre los hechos que se declaran probadas son verdaderas (Ferrer Beltrán, 2007, pp. 30-31).</w:t>
      </w:r>
    </w:p>
    <w:p>
      <w:pPr>
        <w:spacing w:after="0" w:before="0" w:line="360"/>
        <w:ind w:firstLine="708"/>
        <w:jc w:val="both"/>
      </w:pPr>
      <w:r>
        <w:rPr>
          <w:rFonts w:ascii="Arial" w:cs="Arial" w:eastAsia="Arial" w:hAnsi="Arial"/>
          <w:b w:val="false"/>
          <w:bCs w:val="false"/>
          <w:i w:val="false"/>
          <w:iCs w:val="false"/>
          <w:color w:val="000000"/>
          <w:sz w:val="24"/>
          <w:szCs w:val="24"/>
        </w:rPr>
        <w:t xml:space="preserve">La tesis admite un matiz que conviene incorporar de inmediato. Que la averiguación de la verdad sea el objetivo institucional de la prueba no significa que sea el único objetivo del proceso. Ferrer Beltrán (2007) advierte que afirmar la finalidad de una institución no excluye la existencia de otras finalidades o propósitos (p. 31). La regulación jurídica de la prueba impone, en muchos casos, excepciones a las reglas de la epistemología general, y esas excepciones protegen otros valores que comparten tutela jurídica con la averiguación de la verdad (Ferrer Beltrán, 2007, p. 31). El derecho electoral ofrece ejemplos inmediatos, empezando por los plazos perentorios que la definitividad de las etapas impone. La existencia de esas excepciones no debilita la tesis: la refuerza, porque solo se concibe como excepción aquello que se aparta de una regla vigente.</w:t>
      </w:r>
    </w:p>
    <w:p>
      <w:pPr>
        <w:spacing w:after="0" w:before="0" w:line="360"/>
        <w:ind w:firstLine="708"/>
        <w:jc w:val="both"/>
      </w:pPr>
      <w:r>
        <w:rPr>
          <w:rFonts w:ascii="Arial" w:cs="Arial" w:eastAsia="Arial" w:hAnsi="Arial"/>
          <w:b w:val="false"/>
          <w:bCs w:val="false"/>
          <w:i w:val="false"/>
          <w:iCs w:val="false"/>
          <w:color w:val="000000"/>
          <w:sz w:val="24"/>
          <w:szCs w:val="24"/>
        </w:rPr>
        <w:t xml:space="preserve">Taruffo (2013) formula la misma tesis desde el lado de la justicia de la decisión, en términos que no admiten equívoco. Sostiene que en el proceso los hechos determinan la interpretación y la aplicación del derecho, porque la averiguación de la verdad de los hechos es condición necesaria para la justicia de la decisión (p. 13). El argumento es sencillo y difícil de refutar. Ninguna decisión puede considerarse justa si se basa en una averiguación falsa o errónea de los hechos relevantes. La aplicación correcta de la norma presupone que haya ocurrido el hecho que ella misma identifica como condición (Taruffo, 2013, p. 13). El autor lo resume en una fórmula memorable: ninguna norma se aplica correctamente a hechos falsos o equivocados.</w:t>
      </w:r>
    </w:p>
    <w:p>
      <w:pPr>
        <w:spacing w:after="0" w:before="0" w:line="360"/>
        <w:ind w:firstLine="708"/>
        <w:jc w:val="both"/>
      </w:pPr>
      <w:r>
        <w:rPr>
          <w:rFonts w:ascii="Arial" w:cs="Arial" w:eastAsia="Arial" w:hAnsi="Arial"/>
          <w:b w:val="false"/>
          <w:bCs w:val="false"/>
          <w:i w:val="false"/>
          <w:iCs w:val="false"/>
          <w:color w:val="000000"/>
          <w:sz w:val="24"/>
          <w:szCs w:val="24"/>
        </w:rPr>
        <w:t xml:space="preserve">Esa afirmación admite una lectura desmedida que conviene descartar de entrada, y el propio Taruffo introduce la precisión. La averiguación de la verdad constituye solo una de las condiciones de justicia de la decisión, que además presupone un proceso desarrollado de manera correcta y legítima y una norma interpretada correctamente (Taruffo, 2013, p. 14). Se trata de una condición de por sí no suficiente, pero necesaria en todo caso. Que los hechos no se establezcan de manera verdadera basta para que la decisión sea injusta, aunque el proceso se haya desarrollado con toda corrección y la norma se haya interpretado con validez (Taruffo, 2013, p. 14). Ninguna de las tres condiciones es suficiente por separado, y las tres resultan necesarias en su conjunto. Quien pasa por alto la distinción entre condición necesaria y condición suficiente puede concluir, erróneamente, que basta con tramitar bien el proceso para decidir con justicia.</w:t>
      </w:r>
    </w:p>
    <w:p>
      <w:pPr>
        <w:spacing w:after="0" w:before="0" w:line="360"/>
        <w:ind w:firstLine="708"/>
        <w:jc w:val="both"/>
      </w:pPr>
      <w:r>
        <w:rPr>
          <w:rFonts w:ascii="Arial" w:cs="Arial" w:eastAsia="Arial" w:hAnsi="Arial"/>
          <w:b w:val="false"/>
          <w:bCs w:val="false"/>
          <w:i w:val="false"/>
          <w:iCs w:val="false"/>
          <w:color w:val="000000"/>
          <w:sz w:val="24"/>
          <w:szCs w:val="24"/>
        </w:rPr>
        <w:t xml:space="preserve">Frente a esa concepción se alzan objeciones que el autor identifica y descarta. Menciona las filosofías que niegan la posibilidad de conocer la realidad externa al sujeto, entre ellas el relativismo radical según el cual cada quien tiene su verdad y nadie se equivoca (Taruffo, 2013, p. 14). Menciona también las concepciones que orientan el proceso solo a resolver controversias, de las que se sigue que la averiguación de la verdad no figura entre sus finalidades (Taruffo, 2013, p. 15). A los sostenedores de esas posiciones los denomina </w:t>
      </w:r>
      <w:r>
        <w:rPr>
          <w:rFonts w:ascii="Arial" w:cs="Arial" w:eastAsia="Arial" w:hAnsi="Arial"/>
          <w:b w:val="false"/>
          <w:bCs w:val="false"/>
          <w:i/>
          <w:iCs/>
          <w:color w:val="000000"/>
          <w:sz w:val="24"/>
          <w:szCs w:val="24"/>
        </w:rPr>
        <w:t xml:space="preserve">veriphobics</w:t>
      </w:r>
      <w:r>
        <w:rPr>
          <w:rFonts w:ascii="Arial" w:cs="Arial" w:eastAsia="Arial" w:hAnsi="Arial"/>
          <w:b w:val="false"/>
          <w:bCs w:val="false"/>
          <w:i w:val="false"/>
          <w:iCs w:val="false"/>
          <w:color w:val="000000"/>
          <w:sz w:val="24"/>
          <w:szCs w:val="24"/>
        </w:rPr>
        <w:t xml:space="preserve">, o enemigos de la verdad, y observa que son muchos y de clases distintas (Taruffo, 2013, p. 15). Su crítica global es que, si a esas concepciones no les interesa el fundamento factual de la decisión judicial, entonces carecen de interés para quien se ocupa de cómo resolver litigios mediante decisiones justas (Taruffo, 2013, p. 16).</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1.2.2. </w:t>
      </w:r>
      <w:r>
        <w:rPr>
          <w:rFonts w:ascii="Arial" w:cs="Arial" w:eastAsia="Arial" w:hAnsi="Arial"/>
          <w:i/>
          <w:iCs/>
          <w:color w:val="000000"/>
          <w:sz w:val="24"/>
          <w:szCs w:val="24"/>
        </w:rPr>
        <w:t xml:space="preserve">Las concepciones ritual y retórica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Dos concepciones merecen examen detenido, porque no niegan la verdad de manera frontal sino que la vuelven irrelevante. La primera es la concepción ritualista, que considera el proceso como un rito celebrado con ciertas modalidades, en lugares específicos y con sujetos vestidos de maneras extrañas (Taruffo, 2013, p. 81). Bajo esa mirada, el proceso opera como una representación teatral cuya función consiste en legitimar la decisión ante los ojos del público que presencia el rito. Lo que cuenta no es la calidad ni el contenido de la decisión, sino el procedimiento que concluye con ella. La prueba queda reducida a una parte del rito, y su función se vuelve retóricamente persuasiva hacia el público (Taruffo, 2013, p. 82). Sirve para hacer creer que la decisión final no fue arbitraria, no para establecer que no lo fue.</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consecuencia no admite suavizarse. El procedimiento de creación y asunción de la prueba sirve, bajo esa concepción, para crear una apariencia, de un modo no distinto de lo que sucede en una representación teatral (Taruffo, 2013, p. 82). El fenómeno admite una lectura benévola, porque un teatro judicial que funciona bien produce consenso social sobre la administración de justicia. La objeción es que esa forma de pensar deja fuera el contenido y la calidad de la decisión. El autor lo enuncia con dureza: un rito eficaz puede legitimar cualquier decisión, incluso la condena de un inocente o la absolución de un culpable (Taruffo, 2013, p. 82). Basta con que el rito resulte eficaz para que la decisión sea aceptada, con lo que la aceptación social sustituye a la corrección sin que ninguna de las dos garantice la otra.</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concepción entiende el proceso como una competencia verbal entre narraciones que termina con la victoria del narrador más eficaz. La prueba se convierte allí en un instrumento de persuasión del que los abogados se sirven para convencer al juez o al jurado (Taruffo, 2013, pp. 82-83). Esta concepción tampoco es extraña ni marginal, pues resulta típica de quienes participan en el proceso con el fin de que su cliente venza. Taruffo (2013) objeta que también ella deja de lado el contenido y la calidad de la decisión (p. 83). Ocurre con frecuencia que la victoria corresponde a la parte que desarrolló la mejor narración por ser retóricamente más eficaz, sin que esa narración tenga relación con la realidad de los hechos.</w:t>
      </w:r>
    </w:p>
    <w:p>
      <w:pPr>
        <w:spacing w:after="0" w:before="0" w:line="360"/>
        <w:ind w:firstLine="708"/>
        <w:jc w:val="both"/>
      </w:pPr>
      <w:r>
        <w:rPr>
          <w:rFonts w:ascii="Arial" w:cs="Arial" w:eastAsia="Arial" w:hAnsi="Arial"/>
          <w:b w:val="false"/>
          <w:bCs w:val="false"/>
          <w:i w:val="false"/>
          <w:iCs w:val="false"/>
          <w:color w:val="000000"/>
          <w:sz w:val="24"/>
          <w:szCs w:val="24"/>
        </w:rPr>
        <w:t xml:space="preserve">Una consecuencia común a ambas concepciones merece subrayarse. Ninguna de ellas exige que el juzgador valore el material probatorio, porque en ambas el resultado depende de algo distinto del conocimiento de los hechos. Una sentencia puede, por tanto, cumplir todas las formas del rito —admitir pruebas, celebrar la sesión, publicar la resolución— sin haber ejecutado en ningún momento la operación epistémica que la justifica. La distinción de Taruffo permite nombrar con precisión ese fenómeno: no se trata de una valoración defectuosa, sino de un proceso que operó como rito sin operar como instrumento de conocimiento. La diferencia importa, porque una valoración defectuosa se corrige mejorando el razonamiento y una valoración omitida no se corrige en absoluto.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1.2.3. </w:t>
      </w:r>
      <w:r>
        <w:rPr>
          <w:rFonts w:ascii="Arial" w:cs="Arial" w:eastAsia="Arial" w:hAnsi="Arial"/>
          <w:i/>
          <w:iCs/>
          <w:color w:val="000000"/>
          <w:sz w:val="24"/>
          <w:szCs w:val="24"/>
        </w:rPr>
        <w:t xml:space="preserve">La relatividad de la verdad procesal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Frente a las concepciones anteriores, Taruffo sitúa la finalidad epistémica en el centro del proceso:</w:t>
      </w:r>
    </w:p>
    <w:p>
      <w:pPr>
        <w:spacing w:after="0" w:before="0" w:line="360"/>
        <w:ind w:left="708"/>
        <w:jc w:val="both"/>
      </w:pPr>
      <w:r>
        <w:rPr>
          <w:rFonts w:ascii="Arial" w:cs="Arial" w:eastAsia="Arial" w:hAnsi="Arial"/>
          <w:b w:val="false"/>
          <w:bCs w:val="false"/>
          <w:i w:val="false"/>
          <w:iCs w:val="false"/>
          <w:color w:val="000000"/>
          <w:sz w:val="22"/>
          <w:szCs w:val="22"/>
        </w:rPr>
        <w:t xml:space="preserve">De esta forma se asigna al proceso una finalidad epistémica, ya que el descubrimiento de la verdad de las narraciones factuales se configura como una condición necesaria de la justicia de la decisión, y entonces también como un objetivo necesario del proceso. (Taruffo, 2013, p. 84)</w:t>
      </w:r>
    </w:p>
    <w:p>
      <w:pPr>
        <w:spacing w:after="0" w:before="0" w:line="360"/>
        <w:ind w:firstLine="708"/>
        <w:jc w:val="both"/>
      </w:pPr>
      <w:r>
        <w:rPr>
          <w:rFonts w:ascii="Arial" w:cs="Arial" w:eastAsia="Arial" w:hAnsi="Arial"/>
          <w:b w:val="false"/>
          <w:bCs w:val="false"/>
          <w:i w:val="false"/>
          <w:iCs w:val="false"/>
          <w:color w:val="000000"/>
          <w:sz w:val="24"/>
          <w:szCs w:val="24"/>
        </w:rPr>
        <w:t xml:space="preserve">La verdad así entendida no es absoluta. Taruffo (2013) precisa que en el proceso, como en cualquier experiencia humana incluida la ciencia, no se descubren verdades absolutas, de modo que la verdad procesal debe considerarse relativa (p. 84). Esa relatividad requiere una lectura cuidadosa, y el autor la ofrece. No se trata de verdad relativa en el sentido del relativismo filosófico radical, según el cual cada sujeto tiene su propia verdad. Se trata de que la verdad se fundamenta en informaciones que permiten establecer si un enunciado es cierto, porque se apoya en datos que lo confirman (Taruffo, 2013, p. 84). La formulación decisiva llega enseguida: la verdad de los enunciados sobre los hechos del caso es relativa a la cantidad y la calidad de las pruebas en las que el juez basa su decisión (Taruffo, 2013, p. 84). La verdad opera entonces como un norte, esto es, como un ideal regulativo que orienta la actividad cognoscitiva (Taruffo, 2013, p. 85). Aunque ese norte nunca se alcance, resulta posible establecer cuánto se ha progresado en la dirección que marca.</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relatividad deriva una consecuencia con alcance práctico considerable. Si la verdad procesal es relativa a la cantidad y la calidad de las pruebas, entonces el grado alcanzado es susceptible de medición y, por tanto, de enunciación. En el proceso puede establecerse, según las pruebas, en qué grado mayor o menor se ha acercado la decisión a la correspondencia entre los enunciados descriptivos y la realidad que describen (Taruffo, 2013, p. 85). Un estándar de suficiencia probatoria no hace otra cosa que fijar de antemano el grado exigible. La ausencia de estándar no elimina esa graduación, sino que la deja implícita y, con ello, sustraída al control de las partes. El problema no consiste en que los tribunales gradúen, sino en que no digan cómo lo hacen.</w:t>
      </w:r>
    </w:p>
    <w:p>
      <w:pPr>
        <w:spacing w:after="0" w:before="0" w:line="360"/>
        <w:ind w:firstLine="708"/>
        <w:jc w:val="both"/>
      </w:pPr>
      <w:r>
        <w:rPr>
          <w:rFonts w:ascii="Arial" w:cs="Arial" w:eastAsia="Arial" w:hAnsi="Arial"/>
          <w:b w:val="false"/>
          <w:bCs w:val="false"/>
          <w:i w:val="false"/>
          <w:iCs w:val="false"/>
          <w:color w:val="000000"/>
          <w:sz w:val="24"/>
          <w:szCs w:val="24"/>
        </w:rPr>
        <w:t xml:space="preserve">La función epistémica de la prueba se articula, además, en dos dimensiones complementarias. La primera es heurística: la prueba sirve para descubrir qué ocurrió, pues antes de su adquisición solo caben ilaciones y narraciones hipotéticas (Taruffo, 2013, p. 85). La segunda es cognoscitiva o demostrativa, porque la prueba aporta los elementos que permiten reconocer el hecho y considerar verificada la verdad de los enunciados que lo describen (Taruffo, 2013, p. 86). De ambas dimensiones deriva una regla exigente. La prueba constituye un instrumento epistémico exclusivo, por ser la única manera posible de adquirir conocimiento de los hechos en el proceso, y resulta además indispensable adquirir todas las pruebas disponibles (Taruffo, 2013, p. 86). Un tribunal que ignora un elemento que consta en el expediente incumple esa exigencia.</w:t>
      </w:r>
    </w:p>
    <w:p>
      <w:pPr>
        <w:spacing w:after="0" w:before="0" w:line="360"/>
        <w:ind w:firstLine="708"/>
        <w:jc w:val="both"/>
      </w:pPr>
      <w:r>
        <w:rPr>
          <w:rFonts w:ascii="Arial" w:cs="Arial" w:eastAsia="Arial" w:hAnsi="Arial"/>
          <w:b w:val="false"/>
          <w:bCs w:val="false"/>
          <w:i w:val="false"/>
          <w:iCs w:val="false"/>
          <w:color w:val="000000"/>
          <w:sz w:val="24"/>
          <w:szCs w:val="24"/>
        </w:rPr>
        <w:t xml:space="preserve">Queda por resolver qué ocurre cuando el material no alcanza, y el autor cierra el razonamiento con una precisión sobre ese déficit. Cuando un hecho no resulta suficientemente probado, el juez no puede pronunciar un </w:t>
      </w:r>
      <w:r>
        <w:rPr>
          <w:rFonts w:ascii="Arial" w:cs="Arial" w:eastAsia="Arial" w:hAnsi="Arial"/>
          <w:b w:val="false"/>
          <w:bCs w:val="false"/>
          <w:i/>
          <w:iCs/>
          <w:color w:val="000000"/>
          <w:sz w:val="24"/>
          <w:szCs w:val="24"/>
        </w:rPr>
        <w:t xml:space="preserve">non liquet</w:t>
      </w:r>
      <w:r>
        <w:rPr>
          <w:rFonts w:ascii="Arial" w:cs="Arial" w:eastAsia="Arial" w:hAnsi="Arial"/>
          <w:b w:val="false"/>
          <w:bCs w:val="false"/>
          <w:i w:val="false"/>
          <w:iCs w:val="false"/>
          <w:color w:val="000000"/>
          <w:sz w:val="24"/>
          <w:szCs w:val="24"/>
        </w:rPr>
        <w:t xml:space="preserve"> y debe decidir de todos modos. Habrá de hacerlo, entonces, aplicando la regla de juicio basada en la carga de la prueba, en lugar del conocimiento de los hechos (Taruffo, 2013, p. 86). Un tribunal que estima insuficiente el material probatorio dispone así de una salida legítima y nombrable, que consiste en declararlo y resolver conforme a esa regla. Lo que no resulta admisible es omitir la valoración y, al mismo tiempo, omitir la invocación de la regla de juicio, porque esa doble omisión deja la decisión sin fundamento epistémico y sin fundamento normativo a la vez.</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1.3. </w:t>
      </w:r>
      <w:r>
        <w:rPr>
          <w:rFonts w:ascii="Arial" w:cs="Arial" w:eastAsia="Arial" w:hAnsi="Arial"/>
          <w:i/>
          <w:iCs/>
          <w:color w:val="000000"/>
          <w:sz w:val="24"/>
          <w:szCs w:val="24"/>
        </w:rPr>
        <w:t xml:space="preserve">La actividad probatoria se descompone en tres momentos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operación de fijar los hechos no es unitaria y su descomposición en fases tiene rendimiento analítico inmediato. Ferrer Beltrán (2007) propone una descomposición en tres momentos cuya utilidad es doble: permite localizar con precisión en qué fase opera cada restricción jurídica, y permite advertir que la valoración, por sí sola, no decide nada. Entre valorar y resolver media un estándar, y cuando ese estándar no se enuncia el tránsito queda sin control.</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1.3.1. </w:t>
      </w:r>
      <w:r>
        <w:rPr>
          <w:rFonts w:ascii="Arial" w:cs="Arial" w:eastAsia="Arial" w:hAnsi="Arial"/>
          <w:i/>
          <w:iCs/>
          <w:color w:val="000000"/>
          <w:sz w:val="24"/>
          <w:szCs w:val="24"/>
        </w:rPr>
        <w:t xml:space="preserve">La conformación del conjunto de elementos de juicio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Ferrer Beltrán (2007) distingue tres momentos fundamentales en la toma de decisiones sobre hechos probados. Son la conformación del conjunto de elementos de juicio sobre cuya base se adoptará la decisión, la valoración de esos elementos y la adopción de la decisión propiamente dicha (p. 41). El autor advierte que se trata de tres momentos lógicamente distintos y sucesivos, aunque en los procesos reales puedan presentarse entrelazados (Ferrer Beltrán, 2007, p. 41). Esa advertencia importa, porque el entrelazamiento práctico no autoriza a confundirlos en el análisis: cada uno se rige por criterios distintos, y confundirlos produce errores que resultan invisibles mientras la distinción no se traza.</w:t>
      </w:r>
    </w:p>
    <w:p>
      <w:pPr>
        <w:spacing w:after="0" w:before="0" w:line="360"/>
        <w:ind w:firstLine="708"/>
        <w:jc w:val="both"/>
      </w:pPr>
      <w:r>
        <w:rPr>
          <w:rFonts w:ascii="Arial" w:cs="Arial" w:eastAsia="Arial" w:hAnsi="Arial"/>
          <w:b w:val="false"/>
          <w:bCs w:val="false"/>
          <w:i w:val="false"/>
          <w:iCs w:val="false"/>
          <w:color w:val="000000"/>
          <w:sz w:val="24"/>
          <w:szCs w:val="24"/>
        </w:rPr>
        <w:t xml:space="preserve">El primero consiste en conformar, mediante la proposición y la práctica de las pruebas, un conjunto de elementos de juicio que apoyen o refuten las distintas hipótesis sobre los hechos del caso (Ferrer Beltrán, 2007, p. 41). Aquí aparece la especificidad jurídica de mayor calado. En los demás ámbitos del conocimiento el conjunto que puede analizarse coincide con el total de las informaciones disponibles y relevantes. En el derecho, en cambio, el conjunto de elementos a valorar es un subconjunto del formado por la totalidad de los elementos disponibles: aquellos que han sido incorporados al expediente judicial (Ferrer Beltrán, 2007, p. 42). El juzgador no puede resolver con lo que sabe, sino con lo que consta, y lo que queda fuera del expediente queda fuera del razonamiento por pertinente que sea.</w:t>
      </w:r>
    </w:p>
    <w:p>
      <w:pPr>
        <w:spacing w:after="0" w:before="0" w:line="360"/>
        <w:ind w:firstLine="708"/>
        <w:jc w:val="both"/>
      </w:pPr>
      <w:r>
        <w:rPr>
          <w:rFonts w:ascii="Arial" w:cs="Arial" w:eastAsia="Arial" w:hAnsi="Arial"/>
          <w:b w:val="false"/>
          <w:bCs w:val="false"/>
          <w:i w:val="false"/>
          <w:iCs w:val="false"/>
          <w:color w:val="000000"/>
          <w:sz w:val="24"/>
          <w:szCs w:val="24"/>
        </w:rPr>
        <w:t xml:space="preserve">Esa restricción se articula mediante filtros de signo opuesto. El primero es epistemológico y opera como principio general de inclusión: una prueba es relevante si aporta apoyo o refutación de alguna de las hipótesis fácticas del caso a la luz de los principios generales de la lógica y de la ciencia (Ferrer Beltrán, 2007, p. 42). A ese filtro inclusivo el derecho añade un número considerable de reglas de exclusión. Ferrer Beltrán (2007) señala que buena parte de ellas se justifican en la protección de valores distintos de la averiguación de la verdad (p. 43). Entre esas reglas figura una que el derecho electoral mexicano aplica con particular rigor: los propios plazos procesales operan como regla de exclusión, de modo que queda fuera toda información aportada fuera de los plazos previstos, aunque sea relevante (Ferrer Beltrán, 2007, p. 43).</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correspondencia con la ley mexicana es exacta. El artículo 15, párrafo 1, de la Ley General del Sistema de Medios de Impugnación en Materia Electoral establece un catálogo tasado de medios admisibles, que funciona como regla de exclusión de los no enumerados. El artículo 16, párrafo 4, dispone que en ningún caso se tomarán en cuenta para resolver las pruebas ofrecidas o aportadas fuera de los plazos legales, salvo la prueba superveniente. Ambos preceptos empobrecen deliberadamente el conjunto de elementos de juicio en nombre de la definitividad de las etapas del proceso electoral. La observación no es una crítica, sino la constatación de que el legislador ya decidió sacrificar riqueza epistémica en el primer momento, lo que vuelve más exigente el tratamiento del material que sí logró entrar.</w:t>
      </w:r>
    </w:p>
    <w:p>
      <w:pPr>
        <w:spacing w:after="0" w:before="0" w:line="360"/>
        <w:ind w:firstLine="708"/>
        <w:jc w:val="both"/>
      </w:pPr>
      <w:r>
        <w:rPr>
          <w:rFonts w:ascii="Arial" w:cs="Arial" w:eastAsia="Arial" w:hAnsi="Arial"/>
          <w:b w:val="false"/>
          <w:bCs w:val="false"/>
          <w:i w:val="false"/>
          <w:iCs w:val="false"/>
          <w:color w:val="000000"/>
          <w:sz w:val="24"/>
          <w:szCs w:val="24"/>
        </w:rPr>
        <w:t xml:space="preserve">Ese sacrificio tiene, además, una contrapartida institucional que conviene registrar. Ferrer Beltrán (2007) sostiene que el control de racionalidad puede funcionar a posteriori bajo una condición: debe exigirse al decisor que justifique por qué declaró probados esos hechos y cuál fue el apoyo empírico en el que basó su decisión (p. 44). Los sistemas que carecen de esa exigencia de motivación deben compensarla con reglas de exclusión abundantes, fijadas por anticipado; los que sí la imponen pueden admitir más material y controlar después. El derecho electoral mexicano pertenece al segundo grupo, porque los artículos 14 y 16 de la Constitución imponen fundar y motivar. El control por vía de motivación no es en ese ordenamiento un complemento, sino el mecanismo principal de racionalidad.</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1.3.2. </w:t>
      </w:r>
      <w:r>
        <w:rPr>
          <w:rFonts w:ascii="Arial" w:cs="Arial" w:eastAsia="Arial" w:hAnsi="Arial"/>
          <w:i/>
          <w:iCs/>
          <w:color w:val="000000"/>
          <w:sz w:val="24"/>
          <w:szCs w:val="24"/>
        </w:rPr>
        <w:t xml:space="preserve">La valoración</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Cerrada la composición del conjunto, comienza el segundo momento. Ferrer Beltrán (2007) establece que, bajo un régimen de libre valoración, deberá valorarse el apoyo que cada elemento de juicio aporta a las hipótesis en conflicto, de forma individual y en conjunto (p. 45). La fórmula merece subrayarse porque contiene las dos operaciones que el artículo 16, párrafo 3, de la ley mexicana también exige. El resultado buscado consiste en saber el grado de confirmación del que dispone cada una de esas hipótesis (Ferrer Beltrán, 2007, p. 45). La valoración no produce, por tanto, un veredicto sobre la verdad: produce una magnitud, que es el grado de apoyo conferido a cada hipótesis en competencia. Esa magnitud admite comparación, y confundirla con la conclusión es el primer paso hacia una decisión incontrolable.</w:t>
      </w:r>
    </w:p>
    <w:p>
      <w:pPr>
        <w:spacing w:after="0" w:before="0" w:line="360"/>
        <w:ind w:firstLine="708"/>
        <w:jc w:val="both"/>
      </w:pPr>
      <w:r>
        <w:rPr>
          <w:rFonts w:ascii="Arial" w:cs="Arial" w:eastAsia="Arial" w:hAnsi="Arial"/>
          <w:b w:val="false"/>
          <w:bCs w:val="false"/>
          <w:i w:val="false"/>
          <w:iCs w:val="false"/>
          <w:color w:val="000000"/>
          <w:sz w:val="24"/>
          <w:szCs w:val="24"/>
        </w:rPr>
        <w:t xml:space="preserve">Dos observaciones del autor precisan el alcance de esa magnitud. La primera es que el resultado de la valoración es siempre contextual, esto es, referido a un determinado conjunto de elementos de juicio (Ferrer Beltrán, 2007, p. 45). Si el conjunto cambia por adición o sustracción de algún elemento, el resultado puede perfectamente ser otro. La consecuencia práctica es de enorme importancia: omitir del conjunto un elemento que consta en el expediente no constituye un descuido menor, porque altera el resultado de toda la operación. Un tribunal que declara inexistente una prueba obrante en autos no comete un error de detalle; valora un conjunto distinto del que tenía ante sí, y obtiene por ello un grado de confirmación que no corresponde al caso que resuelve. El vicio no está en la conclusión, sino en el conjunto sobre el que se razonó.</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observación desmonta un equívoco extendido sobre la libre valoración. Ferrer Beltrán (2007) precisa que esa libertad existe solo en el sentido de que la valoración no está sujeta a normas jurídicas que predeterminen su resultado (p. 45). La operación de juzgar el apoyo empírico que un conjunto de elementos aporta a una hipótesis permanece sujeta a los criterios generales de la lógica y de la racionalidad (Ferrer Beltrán, 2007, p. 45). Libertad frente a la prueba tasada no equivale, en consecuencia, a libertad frente a la razón. El autor califica este segundo momento como el momento de la racionalidad y sostiene que, una vez delimitado el conjunto, la operación de valorar lo que de él puede inferirse no difiere de la que se realiza en cualquier otro ámbito de la experiencia (Ferrer Beltrán, 2007, p. 46).</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caracterización se sigue una réplica a quien alegue que las restricciones del proceso electoral impiden valorar con rigor. Si en el momento de la valoración no rigen reglas jurídicas que predeterminen el resultado, entonces negar la posibilidad de decidir racionalmente en esa fase no puede fundarse en razones específicamente jurídicas. Ferrer Beltrán (2007) lo expresa señalando que tal negativa supone acoger argumentos escépticos generales sobre la posibilidad del conocimiento (p. 46). Las limitaciones propias del contexto jurídico —los plazos, los recursos, la intervención interesada de las partes— hacen que el conjunto disponible resulte epistemológicamente más pobre (Ferrer Beltrán, 2007, p. 46). Empobrecen el material, no la racionalidad de la operación que se practica sobre él. Las restricciones acotan el material; no autorizan a tratarlo con menor cuidado.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1.3.3. </w:t>
      </w:r>
      <w:r>
        <w:rPr>
          <w:rFonts w:ascii="Arial" w:cs="Arial" w:eastAsia="Arial" w:hAnsi="Arial"/>
          <w:i/>
          <w:iCs/>
          <w:color w:val="000000"/>
          <w:sz w:val="24"/>
          <w:szCs w:val="24"/>
        </w:rPr>
        <w:t xml:space="preserve">La decisión y el estándar de prueba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tercer momento corresponde a la toma de la decisión. La valoración habrá permitido otorgar a cada hipótesis en conflicto un determinado grado de confirmación que nunca será igual a la certeza absoluta (Ferrer Beltrán, 2007, p. 47). Resta decidir si la hipótesis puede declararse probada con el grado de confirmación de que dispone, y eso depende del estándar de prueba que se utilice (Ferrer Beltrán, 2007, p. 47). La elección de uno u otro estándar es propiamente jurídica y se realiza en atención a los valores en juego en cada tipo de proceso (Ferrer Beltrán, 2007, p. 47). La epistemología suministra el grado y el derecho fija el umbral, y ninguna de las dos disciplinas puede suplir a la otra en esa división de tareas.</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enuncia entonces la tesis central de la distinción:</w:t>
      </w:r>
    </w:p>
    <w:p>
      <w:pPr>
        <w:spacing w:after="0" w:before="0" w:line="360"/>
        <w:ind w:left="708"/>
        <w:jc w:val="both"/>
      </w:pPr>
      <w:r>
        <w:rPr>
          <w:rFonts w:ascii="Arial" w:cs="Arial" w:eastAsia="Arial" w:hAnsi="Arial"/>
          <w:b w:val="false"/>
          <w:bCs w:val="false"/>
          <w:i w:val="false"/>
          <w:iCs w:val="false"/>
          <w:color w:val="000000"/>
          <w:sz w:val="22"/>
          <w:szCs w:val="22"/>
        </w:rPr>
        <w:t xml:space="preserve">Conviene insistir en que el resultado de la valoración de la prueba que se obtenga en el segundo momento no implica por sí solo nada respecto de la decisión a adoptar. Para ello, es necesaria la intermediación de algún estándar de prueba. Y ni siquiera puede darse por descontado que la hipótesis que haya resultado más confirmada es aquella que deberá darse por probada. (Ferrer Beltrán, 2007, p. 48)</w:t>
      </w:r>
    </w:p>
    <w:p>
      <w:pPr>
        <w:spacing w:after="0" w:before="0" w:line="360"/>
        <w:ind w:firstLine="708"/>
        <w:jc w:val="both"/>
      </w:pPr>
      <w:r>
        <w:rPr>
          <w:rFonts w:ascii="Arial" w:cs="Arial" w:eastAsia="Arial" w:hAnsi="Arial"/>
          <w:b w:val="false"/>
          <w:bCs w:val="false"/>
          <w:i w:val="false"/>
          <w:iCs w:val="false"/>
          <w:color w:val="000000"/>
          <w:sz w:val="24"/>
          <w:szCs w:val="24"/>
        </w:rPr>
        <w:t xml:space="preserve">Entre la valoración y la decisión media, por tanto, una operación distinta de ambas. Consiste en contrastar el grado obtenido con una medida previamente fijada, y sin ella el tránsito de la una a la otra carece de justificación. La valoración informa la decisión, pero no la produce.</w:t>
      </w:r>
    </w:p>
    <w:p>
      <w:pPr>
        <w:spacing w:after="0" w:before="0" w:line="360"/>
        <w:ind w:firstLine="708"/>
        <w:jc w:val="both"/>
      </w:pPr>
      <w:r>
        <w:rPr>
          <w:rFonts w:ascii="Arial" w:cs="Arial" w:eastAsia="Arial" w:hAnsi="Arial"/>
          <w:b w:val="false"/>
          <w:bCs w:val="false"/>
          <w:i w:val="false"/>
          <w:iCs w:val="false"/>
          <w:color w:val="000000"/>
          <w:sz w:val="24"/>
          <w:szCs w:val="24"/>
        </w:rPr>
        <w:t xml:space="preserve">Esa operación intermedia no desaparece cuando el ordenamiento omite regularla. Un tribunal que declara probado o no probado un hecho ha aplicado necesariamente algún umbral, porque de otro modo no habría podido pasar del grado a la conclusión. La diferencia entre un sistema con estándar explícito y uno sin él no radica en que el segundo prescinda del umbral, sino en que lo aplica sin declararlo y, por ello, sin exponerlo a discusión. El material puede haber alcanzado un grado alto de confirmación y ser declarado insuficiente, o alcanzar uno bajo y ser declarado bastante, sin que ninguna de las dos decisiones resulte controlable. La arbitrariedad no consiste aquí en decidir mal, sino en decidir sin que nadie pueda verificar contra qué se decidió, y la objeción alcanza por igual a las resoluciones que anulan y a las que confirman.</w:t>
      </w:r>
    </w:p>
    <w:p>
      <w:pPr>
        <w:spacing w:after="0" w:before="0" w:line="360"/>
        <w:ind w:firstLine="708"/>
        <w:jc w:val="both"/>
      </w:pPr>
      <w:r>
        <w:rPr>
          <w:rFonts w:ascii="Arial" w:cs="Arial" w:eastAsia="Arial" w:hAnsi="Arial"/>
          <w:b w:val="false"/>
          <w:bCs w:val="false"/>
          <w:i w:val="false"/>
          <w:iCs w:val="false"/>
          <w:color w:val="000000"/>
          <w:sz w:val="24"/>
          <w:szCs w:val="24"/>
        </w:rPr>
        <w:t xml:space="preserve">La última observación del autor refuerza el argumento desde un ángulo inesperado. Ni siquiera cabe presumir que la hipótesis más confirmada sea la que deba tenerse por probada (Ferrer Beltrán, 2007, p. 48). El estándar penal de la duda razonable ilustra esa posibilidad, pues supone que la hipótesis de la culpabilidad no se tendrá por probada aunque cuente con más apoyo empírico que la de la inocencia, salvo corroboración muy alta (Ferrer Beltrán, 2007, p. 48). El umbral puede, en consecuencia, invertir el resultado de la valoración y no solo confirmarlo. Quien no lo enuncia se reserva un poder considerable, porque conserva la facultad de fijarlo después de conocer el grado alcanzado, y esa facultad es justamente la que un estándar explícito suprime.</w:t>
      </w:r>
    </w:p>
    <w:p>
      <w:pPr>
        <w:spacing w:after="0" w:before="0" w:line="360"/>
        <w:ind w:firstLine="708"/>
        <w:jc w:val="both"/>
      </w:pPr>
      <w:r>
        <w:rPr>
          <w:rFonts w:ascii="Arial" w:cs="Arial" w:eastAsia="Arial" w:hAnsi="Arial"/>
          <w:b w:val="false"/>
          <w:bCs w:val="false"/>
          <w:i w:val="false"/>
          <w:iCs w:val="false"/>
          <w:color w:val="000000"/>
          <w:sz w:val="24"/>
          <w:szCs w:val="24"/>
        </w:rPr>
        <w:t xml:space="preserve">La descomposición en tres momentos rinde, por último, un servicio diagnóstico que conviene dejar señalado. Cuando un tribunal declara que determinados elementos solo constituyen un indicio y que no se aportaron otros, comete errores que pertenecen al primer momento, porque describe mal el conjunto disponible. Cuando omite relacionarlos entre sí, el error pertenece al segundo. Y cuando concluye que el material no basta sin decir cuánto habría bastado, el error pertenece al tercero. Los tres defectos suelen presentarse juntos y confundidos bajo una misma fórmula de rechazo. Separarlos es la condición para nombrarlos, y nombrarlos es la condición para corregirlos, porque un instrumento diseñado para un momento no sirve para otro: exigir motivación donde falta prueba, o reclamar pruebas donde falta umbral, son errores de diagnóstico antes que de solución.</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1.4. </w:t>
      </w:r>
      <w:r>
        <w:rPr>
          <w:rFonts w:ascii="Arial" w:cs="Arial" w:eastAsia="Arial" w:hAnsi="Arial"/>
          <w:i/>
          <w:iCs/>
          <w:color w:val="000000"/>
          <w:sz w:val="24"/>
          <w:szCs w:val="24"/>
        </w:rPr>
        <w:t xml:space="preserve">La inferencia probatoria tiene una estructura identificable</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(2005) se propone reconstruir el tipo de razonamiento por medio del cual se prueban los hechos de un caso, y llama a ese razonamiento inferencia probatoria (p. 53). La reconstrucción tiene una consecuencia práctica que justifica emprenderla: una operación cuya estructura puede describirse admite un control que la mera invocación de la sana crítica no permite. La estructura no determina el resultado de ninguna valoración concreta, pero fija qué debe aparecer en una sentencia para que la valoración pueda discutirse.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1.4.1. </w:t>
      </w:r>
      <w:r>
        <w:rPr>
          <w:rFonts w:ascii="Arial" w:cs="Arial" w:eastAsia="Arial" w:hAnsi="Arial"/>
          <w:i/>
          <w:iCs/>
          <w:color w:val="000000"/>
          <w:sz w:val="24"/>
          <w:szCs w:val="24"/>
        </w:rPr>
        <w:t xml:space="preserve">Las dos fases y la cadena de inferencias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(2005) distingue, a efectos analíticos, dos fases dentro de la ambigua palabra prueba. La primera consiste en la práctica de las pruebas y en la obtención de información a partir de ellas, esto es, a partir de lo que dicen los testigos, los documentos y los peritos (pp. 53-54). La segunda consiste en extraer una conclusión a partir de la información obtenida en la primera (González Lagier, 2005, p. 54). La primera fase establece las premisas del argumento que trata de probar una hipótesis, y la segunda realiza la inferencia que permite pasar de esas premisas a la conclusión. Obtener información y extraer de ella una conclusión son operaciones distintas, y confundirlas lleva a tratar como dato lo que ya es resultado de un razonamiento.</w:t>
      </w:r>
    </w:p>
    <w:p>
      <w:pPr>
        <w:spacing w:after="0" w:before="0" w:line="360"/>
        <w:ind w:firstLine="708"/>
        <w:jc w:val="both"/>
      </w:pPr>
      <w:r>
        <w:rPr>
          <w:rFonts w:ascii="Arial" w:cs="Arial" w:eastAsia="Arial" w:hAnsi="Arial"/>
          <w:b w:val="false"/>
          <w:bCs w:val="false"/>
          <w:i w:val="false"/>
          <w:iCs w:val="false"/>
          <w:color w:val="000000"/>
          <w:sz w:val="24"/>
          <w:szCs w:val="24"/>
        </w:rPr>
        <w:t xml:space="preserve">El razonamiento de la segunda fase rara vez consta de un solo paso. El autor advierte que puede ser muy complejo y constar de un encadenamiento de argumentos o inferencias parciales (González Lagier, 2005, p. 54). En el extremo inicial de la cadena figura la información obtenida directamente de las pruebas practicadas, y en el extremo final una hipótesis sobre lo ocurrido. Entre ambos extremos se sitúan premisas y conclusiones intermedias, cada una de las cuales resulta de una inferencia previa. La consecuencia metodológica es considerable: controlar una inferencia probatoria no consiste en examinar un salto único, sino en examinar cada eslabón de una cadena que puede ser larga. Un eslabón defectuoso compromete todo lo que pende de él, por sólido que sea el resto del razonamiento.</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ilustra el punto con un ejemplo que conviene reproducir por su precisión. Un policía declara que se encontró en la vivienda de Ticio un arma del mismo calibre que la que causó la muerte de Cayo. González Lagier (2005) observa que la información obtenida directamente es que el policía declara que el arma fue encontrada, no que realmente el arma fuera encontrada (p. 54). Lo segundo ya es el resultado de la valoración de la fiabilidad de tal declaración, esto es, el resultado de un razonamiento y de una inferencia (González Lagier, 2005, p. 54). La observación parece obvia y no lo es. Entre el documento y el hecho media siempre una inferencia que suele quedar tácita, y de esa inferencia depende el valor de todo lo que se construya encima. Cuando un tribunal afirma que un acordeón impreso acredita la existencia de una estrategia de distribución, o cuando niega que la acredite, está resolviendo esa inferencia sin enunciarla.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1.4.2. </w:t>
      </w:r>
      <w:r>
        <w:rPr>
          <w:rFonts w:ascii="Arial" w:cs="Arial" w:eastAsia="Arial" w:hAnsi="Arial"/>
          <w:i/>
          <w:iCs/>
          <w:color w:val="000000"/>
          <w:sz w:val="24"/>
          <w:szCs w:val="24"/>
        </w:rPr>
        <w:t xml:space="preserve">Razones, garantía y respaldo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reconstruye la inferencia probatoria con un esquema argumentativo de cuatro elementos, que atribuye a Toulmin. La pretensión es aquello que se sostiene y las razones son los datos que la apoyan. La garantía explica por qué esas razones apoyan esa pretensión, y el respaldo muestra la corrección o vigencia de la garantía. El autor precisa que la garantía consiste siempre en una regla, norma o enunciado general (González Lagier, 2005, p. 56). Los dos primeros elementos son particulares del caso y los dos últimos son generales, distinción que explica por qué unos se acreditan con pruebas y otros con argumentos. Los cuatro elementos deben estar presentes en toda argumentación, sea jurídica, científica o de la vida cotidiana (González Lagier, 2005, p. 56), y esa generalidad es lo que permite trasladar el esquema sin forzarlo a un ámbito determinado.</w:t>
      </w:r>
    </w:p>
    <w:p>
      <w:pPr>
        <w:spacing w:after="0" w:before="0" w:line="360"/>
        <w:ind w:firstLine="708"/>
        <w:jc w:val="both"/>
      </w:pPr>
      <w:r>
        <w:rPr>
          <w:rFonts w:ascii="Arial" w:cs="Arial" w:eastAsia="Arial" w:hAnsi="Arial"/>
          <w:b w:val="false"/>
          <w:bCs w:val="false"/>
          <w:i w:val="false"/>
          <w:iCs w:val="false"/>
          <w:color w:val="000000"/>
          <w:sz w:val="24"/>
          <w:szCs w:val="24"/>
        </w:rPr>
        <w:t xml:space="preserve">El traslado al razonamiento judicial sobre hechos resulta directo. Los hechos probatorios constituyen las razones del argumento, y los hechos a probar, la pretensión o hipótesis del caso (González Lagier, 2005, p. 57). La garantía queda constituida por las máximas de experiencia, las presunciones y otros enunciados generales, que correlacionan el tipo de hechos señalado en las razones con el señalado en la pretensión. El respaldo queda configurado, por su parte, por la información necesaria para fundamentar la garantía (González Lagier, 2005, p. 57). La inferencia probatoria se deja describir, en consecuencia, como el paso de unos hechos probatorios a unos hechos a probar mediante una garantía apoyada en un respaldo. La descripción es sencilla, y por eso resulta utilizable como rejilla de lectura de cualquier sentencia: basta preguntar, ante cada conclusión fáctica, cuáles fueron las razones, cuál la garantía y cuál el respaldo.</w:t>
      </w:r>
    </w:p>
    <w:p>
      <w:pPr>
        <w:spacing w:after="0" w:before="0" w:line="360"/>
        <w:ind w:firstLine="708"/>
        <w:jc w:val="both"/>
      </w:pPr>
      <w:r>
        <w:rPr>
          <w:rFonts w:ascii="Arial" w:cs="Arial" w:eastAsia="Arial" w:hAnsi="Arial"/>
          <w:b w:val="false"/>
          <w:bCs w:val="false"/>
          <w:i w:val="false"/>
          <w:iCs w:val="false"/>
          <w:color w:val="000000"/>
          <w:sz w:val="24"/>
          <w:szCs w:val="24"/>
        </w:rPr>
        <w:t xml:space="preserve">Esa descripción tiene un rendimiento inmediato para el control de la decisión, porque cada uno de los cuatro elementos puede faltar y la falta de cada uno produce un vicio distinto. Si faltan las razones, no hay material sobre el cual razonar. Si falta la garantía, el paso de las razones a la pretensión queda sin justificar y solo cabe aceptarlo por autoridad. Si falta el respaldo, la garantía se afirma sin fundamento y puede ser una generalización arbitraria. Y si la pretensión no se enuncia con precisión, no se sabe qué se está probando ni, por tanto, cuándo quedaría probado. Exigir la exteriorización de los cuatro elementos permite localizar cuál de ellos falló, en lugar de descalificar el razonamiento en bloque.</w:t>
      </w:r>
    </w:p>
    <w:p>
      <w:pPr>
        <w:spacing w:after="0" w:before="0" w:line="360"/>
        <w:ind w:firstLine="708"/>
        <w:jc w:val="both"/>
      </w:pPr>
      <w:r>
        <w:rPr>
          <w:rFonts w:ascii="Arial" w:cs="Arial" w:eastAsia="Arial" w:hAnsi="Arial"/>
          <w:b w:val="false"/>
          <w:bCs w:val="false"/>
          <w:i w:val="false"/>
          <w:iCs w:val="false"/>
          <w:color w:val="000000"/>
          <w:sz w:val="24"/>
          <w:szCs w:val="24"/>
        </w:rPr>
        <w:t xml:space="preserve">La Suprema Corte llegó por su cuenta a una exigencia equivalente, aunque con otro vocabulario. Al fijar los requisitos de la inferencia lógica en la prueba indiciaria, estableció que de los hechos base acreditados debe fluir la conclusión como consecuencia natural, con enlace directo entre unos y otra (Tesis 2004755, 2013). El enlace del que habla la Corte es la garantía del esquema. Añadió también que, cuando los mismos hechos probados permiten arribar a diversas conclusiones, el juzgador debe tener en cuenta todas ellas y razonar por qué elige la que estima conveniente (Tesis 2004755, 2013). Esa segunda exigencia no pertenece ya a la estructura de la inferencia sino a su contraste con hipótesis rivales. Doctrina y jurisprudencia convergen, en todo caso, sobre el mismo punto: el enlace debe mostrarse, no suponerse.</w:t>
      </w:r>
    </w:p>
    <w:p>
      <w:pPr>
        <w:spacing w:after="0" w:before="0" w:line="360"/>
        <w:ind w:firstLine="708"/>
        <w:jc w:val="both"/>
      </w:pPr>
      <w:r>
        <w:rPr>
          <w:rFonts w:ascii="Arial" w:cs="Arial" w:eastAsia="Arial" w:hAnsi="Arial"/>
          <w:b w:val="false"/>
          <w:bCs w:val="false"/>
          <w:i w:val="false"/>
          <w:iCs w:val="false"/>
          <w:color w:val="000000"/>
          <w:sz w:val="24"/>
          <w:szCs w:val="24"/>
        </w:rPr>
        <w:t xml:space="preserve">La jurisprudencia electoral mexicana ofrece, por su parte, un ejemplo poco advertido de garantía explícita. La Jurisprudencia 38/2002 no se limita a afirmar que las notas periodísticas arrojan indicios: enuncia la regla general que gradúa su fuerza. Cuando se aportan varias notas provenientes de distintos órganos de información, atribuidas a diferentes autores y coincidentes en lo sustancial, y además no obra mentís del afectado, cabe otorgarles mayor calidad indiciaria. El criterio hace visible aquello que suele quedar tácito, porque enuncia la correlación entre el tipo de hecho probatorio y el tipo de hecho a probar. Es, en los términos del esquema, una garantía formulada por el propio tribunal, disponible desde 2002 y aplicable a cualquier material periodístico.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1.4.3. </w:t>
      </w:r>
      <w:r>
        <w:rPr>
          <w:rFonts w:ascii="Arial" w:cs="Arial" w:eastAsia="Arial" w:hAnsi="Arial"/>
          <w:i/>
          <w:iCs/>
          <w:color w:val="000000"/>
          <w:sz w:val="24"/>
          <w:szCs w:val="24"/>
        </w:rPr>
        <w:t xml:space="preserve">Las fuentes de la garantía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(2005) desagrega la garantía en tres clases (p. 61). La primera son las máximas de experiencia, que el autor subdivide a su vez. Pueden ser de carácter científico o especializado, como las que aportan los peritos, o de carácter jurídico, como las derivadas del ejercicio profesional del juez. Pueden ser también de carácter privado, derivadas de las experiencias del juzgador al margen de su profesión. La segunda clase son las presunciones, que se establecen legal o jurisprudencialmente. La tercera son las definiciones o teorías, que suelen provenir de la doctrina, aunque también de la jurisprudencia o de la ley. La clasificación importa porque el respaldo exigible difiere en cada caso: una máxima científica se respalda con el dictamen pericial; una presunción jurisprudencial, con el precedente que la estableció; y una experiencia corriente, solo con la observación de casos anteriores.</w:t>
      </w:r>
    </w:p>
    <w:p>
      <w:pPr>
        <w:spacing w:after="0" w:before="0" w:line="360"/>
        <w:ind w:firstLine="708"/>
        <w:jc w:val="both"/>
      </w:pPr>
      <w:r>
        <w:rPr>
          <w:rFonts w:ascii="Arial" w:cs="Arial" w:eastAsia="Arial" w:hAnsi="Arial"/>
          <w:b w:val="false"/>
          <w:bCs w:val="false"/>
          <w:i w:val="false"/>
          <w:iCs w:val="false"/>
          <w:color w:val="000000"/>
          <w:sz w:val="24"/>
          <w:szCs w:val="24"/>
        </w:rPr>
        <w:t xml:space="preserve">La tercera clase merece una advertencia que el autor formula de inmediato. Cuando la unión entre los hechos probatorios y el hecho a probar viene dada por una teoría o una definición, el vínculo es conceptual. En ese supuesto no estamos en sentido estricto ante un caso de prueba, sino ante uno de interpretación o calificación de los hechos (González Lagier, 2005, p. 61). La distinción resulta especialmente pertinente en materia electoral. Determinar si unos hechos acreditados constituyen coacción del voto, o si una irregularidad merece el calificativo de grave, no es una operación probatoria sino calificatoria. Confundir ambas permite presentar como insuficiencia de prueba lo que en realidad es un desacuerdo sobre la calificación, desplazamiento difícil de detectar cuando la garantía no se explicita, porque el lector no puede saber si el tribunal discute los hechos o su encuadre jurídico.</w:t>
      </w:r>
    </w:p>
    <w:p>
      <w:pPr>
        <w:spacing w:after="0" w:before="0" w:line="360"/>
        <w:ind w:firstLine="708"/>
        <w:jc w:val="both"/>
      </w:pPr>
      <w:r>
        <w:rPr>
          <w:rFonts w:ascii="Arial" w:cs="Arial" w:eastAsia="Arial" w:hAnsi="Arial"/>
          <w:b w:val="false"/>
          <w:bCs w:val="false"/>
          <w:i w:val="false"/>
          <w:iCs w:val="false"/>
          <w:color w:val="000000"/>
          <w:sz w:val="24"/>
          <w:szCs w:val="24"/>
        </w:rPr>
        <w:t xml:space="preserve">Las máximas de experiencia de carácter privado plantean el problema inverso y más frecuente. Al proceder de la experiencia corriente del juzgador, tienden a operar sin enunciarse, porque quien las emplea las considera evidentes. El artículo 16, párrafo 1, de la Ley General del Sistema de Medios de Impugnación en Materia Electoral remite de forma expresa a la experiencia como criterio de valoración, pero no exige que la máxima empleada se declare. Esa remisión sin carga de explicitación es una de las puertas por las que entra la discrecionalidad no controlable. Una máxima enunciada puede discutirse y refutarse; una máxima tácita solo puede intuirse a partir del resultado, de modo que la parte que quiera combatirla debe adivinarla primero.</w:t>
      </w:r>
    </w:p>
    <w:p>
      <w:pPr>
        <w:spacing w:after="0" w:before="0" w:line="360"/>
        <w:ind w:firstLine="708"/>
        <w:jc w:val="both"/>
      </w:pPr>
      <w:r>
        <w:rPr>
          <w:rFonts w:ascii="Arial" w:cs="Arial" w:eastAsia="Arial" w:hAnsi="Arial"/>
          <w:b w:val="false"/>
          <w:bCs w:val="false"/>
          <w:i w:val="false"/>
          <w:iCs w:val="false"/>
          <w:color w:val="000000"/>
          <w:sz w:val="24"/>
          <w:szCs w:val="24"/>
        </w:rPr>
        <w:t xml:space="preserve">Dos observaciones adicionales del autor completan el cuadro y agravan el problema. La primera es que los hechos probatorios admiten grados de interpretación, según se sitúen más cerca de lo meramente percibido o incorporen el sentido que se atribuye a lo percibido (González Lagier, 2005, p. 60). El autor añade una regla de tendencia: cuanto más se avanza en la cadena de razonamientos, más interpretados resultan los hechos probatorios (González Lagier, 2005, p. 60). El material que sirve de base a los últimos eslabones no tiene, por tanto, la misma calidad epistémica que el de los primeros, y tratar todos los hechos probatorios como equivalentes ignora esa degradación progresiva.</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observación es que los hechos probatorios pueden ser a su vez el resultado de otra inferencia del mismo tipo (González Lagier, 2005, p. 60). La prueba consiste entonces en el encadenamiento de varias inferencias sustancialmente análogas, y cada una de ellas reproduce la estructura de cuatro elementos. La conclusión converge con lo que la Suprema Corte estableció al fijar los alcances de la prueba indiciaria, pues la eficacia de la prueba circunstancial disminuye en la medida en que las conclusiones deban obtenerse a través de mayores inferencias y cadenas de silogismos (Tesis 2004753, 2013). Doctrina y jurisprudencia coinciden, así, en que la longitud de la cadena degrada el apoyo, lo que permite anclar una exigencia epistemológica en un criterio vigente del propio sistema mexicano.</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ese conjunto se sigue la tesis del apartado. Una inferencia probatoria cuya estructura permanece implícita no puede criticarse, porque no se sabe qué se está criticando. Quien impugna una valoración sin conocer la máxima de experiencia aplicada solo puede oponer su propia conclusión a la del tribunal, y el desacuerdo se vuelve irresoluble. Exteriorizar los cuatro elementos no obliga al juzgador a decidir de un modo determinado: le obliga a mostrar el recorrido, que es cosa distinta y mucho más modesta. Nada de ello excede, además, lo que el artículo 16, párrafo 1, ya presupone cuando remite a la lógica, la sana crítica y la experiencia. No se pide al juzgador nada que la ley no dé por supuesto; se le pide que lo escriba, que es la única forma de que un tercero pueda comprobarlo.</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1.5. </w:t>
      </w:r>
      <w:r>
        <w:rPr>
          <w:rFonts w:ascii="Arial" w:cs="Arial" w:eastAsia="Arial" w:hAnsi="Arial"/>
          <w:i/>
          <w:iCs/>
          <w:color w:val="000000"/>
          <w:sz w:val="24"/>
          <w:szCs w:val="24"/>
        </w:rPr>
        <w:t xml:space="preserve">La solidez de la inferencia admite criterios de control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Describir la estructura de la inferencia probatoria no basta para controlarla, porque hace falta saber cuándo una inferencia resulta sólida y cuándo no lo es. González Lagier (2005) ofrece una respuesta articulada en once criterios, ordenados según el elemento de la estructura al que se refieren. Su virtud reside en que son verificables desde fuera de la sentencia, y su enunciación permite además algo que ningún umbral puede prescindir: si la solidez admite grados, entonces admite medida.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1.5.1. </w:t>
      </w:r>
      <w:r>
        <w:rPr>
          <w:rFonts w:ascii="Arial" w:cs="Arial" w:eastAsia="Arial" w:hAnsi="Arial"/>
          <w:i/>
          <w:iCs/>
          <w:color w:val="000000"/>
          <w:sz w:val="24"/>
          <w:szCs w:val="24"/>
        </w:rPr>
        <w:t xml:space="preserve">La vaguedad de la sana crítica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(2005) parte de una constatación que el derecho electoral mexicano confirma. La doctrina procesal y la jurisprudencia superaron ya la lectura de la libre valoración como íntima convicción, y sostienen ahora que la valoración no puede ser una operación libre de todo criterio y cargada de subjetividad, sino una actividad sujeta a pautas (González Lagier, 2005, p. 79). Debe someterse, en cambio, a las reglas de la lógica, a las de la sana crítica, a las de la experiencia, al criterio racional o al criterio humano (González Lagier, 2005, p. 79). El autor añade entonces la objeción decisiva: se trata de referencias sumamente vagas y muy difíciles de concretar (González Lagier, 2005, p. 79).</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coincidencia literal con la ley mexicana merece subrayarse, porque convierte la objeción en algo más que una discusión doctrinal ajena. El artículo 16, párrafo 1, de la Ley General del Sistema de Medios de Impugnación en Materia Electoral ordena valorar atendiendo a las reglas de la lógica, de la sana crítica y de la experiencia. Son exactamente las tres fórmulas que González Lagier califica de sumamente vagas, de modo que el precepto mexicano no incurre en un defecto local sino que reproduce el estado general de la cuestión. El reproche que cabe dirigir a la práctica jurisdiccional no consiste, por ello, en haber inventado una imprecisión, sino en no haberla resuelto pese a disponer de los materiales para hacerlo, y en haber tolerado durante casi tres décadas que la remisión legal operara en blanco, sin que ninguna resolución la dotara de contenido verificable.</w:t>
      </w:r>
    </w:p>
    <w:p>
      <w:pPr>
        <w:spacing w:after="0" w:before="0" w:line="360"/>
        <w:ind w:firstLine="708"/>
        <w:jc w:val="both"/>
      </w:pPr>
      <w:r>
        <w:rPr>
          <w:rFonts w:ascii="Arial" w:cs="Arial" w:eastAsia="Arial" w:hAnsi="Arial"/>
          <w:b w:val="false"/>
          <w:bCs w:val="false"/>
          <w:i w:val="false"/>
          <w:iCs w:val="false"/>
          <w:color w:val="000000"/>
          <w:sz w:val="24"/>
          <w:szCs w:val="24"/>
        </w:rPr>
        <w:t xml:space="preserve">Esa vaguedad admite reducción. Cabe dar criterios más concretos, o precisar qué son las reglas de la sana crítica, tomando algunas pautas de racionalidad epistemológica elaboradas para justificar las inducciones científicas (González Lagier, 2005, p. 80). La propuesta no elimina la vaguedad por completo, y el propio autor advierte que los criterios conservan un grado elevado de imprecisión. Reducirla representa, con todo, una ganancia considerable para quien deba impugnar una valoración ajena: un criterio impreciso pero enunciado puede discutirse, mientras que una remisión en blanco no admite discusión, porque no ofrece nada sobre lo que discrepar. Los once criterios que siguen se ordenan según se refieran a los hechos probatorios, a la garantía o a la hipótesis del caso.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1.5.2. </w:t>
      </w:r>
      <w:r>
        <w:rPr>
          <w:rFonts w:ascii="Arial" w:cs="Arial" w:eastAsia="Arial" w:hAnsi="Arial"/>
          <w:i/>
          <w:iCs/>
          <w:color w:val="000000"/>
          <w:sz w:val="24"/>
          <w:szCs w:val="24"/>
        </w:rPr>
        <w:t xml:space="preserve">Criterios sobre los hechos probatorios y sobre la garantía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primer criterio interroga la fiabilidad, que depende de cómo se haya llegado a conocer los hechos probatorios (González Lagier, 2005, p. 81). El autor distingue tres vías de conocimiento: la observación directa del juez, las conclusiones científicas y el resultado de otra inferencia. Las dos primeras ofrecen mayor fiabilidad, pero en la mayor parte de los supuestos los hechos probatorios son conclusiones de otras inferencias previas. Que un testigo diga que oyó discutir a dos personas solo prueba de forma directa que el testigo lo dijo (González Lagier, 2005, pp. 81-82). Lo mismo sucede con un documento, pues habrá que inferir que su contenido es cierto (González Lagier, 2005, p. 82). La declaración y el documento acreditan de forma inmediata su propia existencia, no la del hecho que refieren.</w:t>
      </w:r>
    </w:p>
    <w:p>
      <w:pPr>
        <w:spacing w:after="0" w:before="0" w:line="360"/>
        <w:ind w:firstLine="708"/>
        <w:jc w:val="both"/>
      </w:pPr>
      <w:r>
        <w:rPr>
          <w:rFonts w:ascii="Arial" w:cs="Arial" w:eastAsia="Arial" w:hAnsi="Arial"/>
          <w:b w:val="false"/>
          <w:bCs w:val="false"/>
          <w:i w:val="false"/>
          <w:iCs w:val="false"/>
          <w:color w:val="000000"/>
          <w:sz w:val="24"/>
          <w:szCs w:val="24"/>
        </w:rPr>
        <w:t xml:space="preserve">De ahí se siguen dos consecuencias operativas. La primera es que esas inferencias intermedias, a las que rara vez se presta atención, son inevitables, y cada una puede ser un punto débil de la argumentación en su conjunto (González Lagier, 2005, p. 82). La segunda es una regla de graduación: la fiabilidad de los hechos probatorios es mayor cuanto menor es la cadena de inferencias que lleva hasta ellos (González Lagier, 2005, p. 82). El autor añade una observación que desactiva una distinción muy arraigada, pues en sentido estricto la única prueba directa es la observación inmediata por el juez (González Lagier, 2005, p. 82). Todo lo demás resulta mediato en algún grado, de modo que la oposición entre prueba directa e indirecta describe una diferencia de grado y no de naturaleza.</w:t>
      </w:r>
    </w:p>
    <w:p>
      <w:pPr>
        <w:spacing w:after="0" w:before="0" w:line="360"/>
        <w:ind w:firstLine="708"/>
        <w:jc w:val="both"/>
      </w:pPr>
      <w:r>
        <w:rPr>
          <w:rFonts w:ascii="Arial" w:cs="Arial" w:eastAsia="Arial" w:hAnsi="Arial"/>
          <w:b w:val="false"/>
          <w:bCs w:val="false"/>
          <w:i w:val="false"/>
          <w:iCs w:val="false"/>
          <w:color w:val="000000"/>
          <w:sz w:val="24"/>
          <w:szCs w:val="24"/>
        </w:rPr>
        <w:t xml:space="preserve">El segundo criterio interroga la suficiencia: cuantos más hechos apunten en dirección a la hipótesis, mayor será la seguridad sobre su corrección. González Lagier (2005) matiza de inmediato ese criterio aritmético, porque un solo hecho probatorio con alto grado de fiabilidad puede tener un peso mayor que varios hechos probatorios de escasa fiabilidad (p. 82). La suficiencia no se resuelve, por tanto, contando elementos, precisión especialmente pertinente para el derecho electoral, donde la exigencia de pluralidad probatoria suele formularse en términos numéricos. Contar pruebas y ponderarlas son operaciones distintas, y solo la segunda constituye valoración. Un tribunal que reprocha al promovente no haber aportado más elementos, sin examinar antes la fiabilidad de los que sí aportó, se detiene en la primera de esas dos operaciones y omite la segunda.</w:t>
      </w:r>
    </w:p>
    <w:p>
      <w:pPr>
        <w:spacing w:after="0" w:before="0" w:line="360"/>
        <w:ind w:firstLine="708"/>
        <w:jc w:val="both"/>
      </w:pPr>
      <w:r>
        <w:rPr>
          <w:rFonts w:ascii="Arial" w:cs="Arial" w:eastAsia="Arial" w:hAnsi="Arial"/>
          <w:b w:val="false"/>
          <w:bCs w:val="false"/>
          <w:i w:val="false"/>
          <w:iCs w:val="false"/>
          <w:color w:val="000000"/>
          <w:sz w:val="24"/>
          <w:szCs w:val="24"/>
        </w:rPr>
        <w:t xml:space="preserve">El tercer criterio interroga la variedad, y es el de mayor rendimiento para la prueba por indicios. El autor sostiene que la variedad de los hechos probatorios aumenta la probabilidad de la hipótesis que confirman (González Lagier, 2005, p. 83), y precisa que su importancia radica en que permite la eliminación de las hipótesis alternativas con las que la principal entra en competencia (González Lagier, 2005, p. 83). El ejemplo que ofrece traslada bien al terreno electoral. Si los hechos contra un acusado de tráfico de droga se reducen a las acusaciones de vecinos con quienes mantiene pésimas relaciones, cabe pensar que la causa sea la animadversión. Esa hipótesis alternativa se debilita al encontrarse una balanza de precisión, y se debilita todavía más al hallarse en la balanza restos de cocaína (González Lagier, 2005, p. 84). Cada elemento nuevo cierra una vía de escape distinta.</w:t>
      </w:r>
    </w:p>
    <w:p>
      <w:pPr>
        <w:spacing w:after="0" w:before="0" w:line="360"/>
        <w:ind w:firstLine="708"/>
        <w:jc w:val="both"/>
      </w:pPr>
      <w:r>
        <w:rPr>
          <w:rFonts w:ascii="Arial" w:cs="Arial" w:eastAsia="Arial" w:hAnsi="Arial"/>
          <w:b w:val="false"/>
          <w:bCs w:val="false"/>
          <w:i w:val="false"/>
          <w:iCs w:val="false"/>
          <w:color w:val="000000"/>
          <w:sz w:val="24"/>
          <w:szCs w:val="24"/>
        </w:rPr>
        <w:t xml:space="preserve">El ejemplo suministra el fundamento epistemológico de la adminiculación. Lo que derrota a la hipótesis alternativa no es la acumulación de elementos del mismo tipo, sino la aparición de elementos de tipo distinto. Tres acusaciones más de los mismos vecinos no habrían debilitado en absoluto la explicación por animadversión, mientras que la balanza sí lo hace. El artículo 16, párrafo 3, al ordenar considerar los demás elementos que obren en el expediente, presupone exactamente esa lógica: la adminiculación no es una suma de valores probatorios, sino un procedimiento de eliminación de explicaciones rivales. La diferencia entre sumar y eliminar explica por qué un conjunto heterogéneo puede sostener aquello que ninguno de sus elementos sostiene por separado, y por qué la homogeneidad del material debilita la inferencia aunque aumente su volumen.</w:t>
      </w:r>
    </w:p>
    <w:p>
      <w:pPr>
        <w:spacing w:after="0" w:before="0" w:line="360"/>
        <w:ind w:firstLine="708"/>
        <w:jc w:val="both"/>
      </w:pPr>
      <w:r>
        <w:rPr>
          <w:rFonts w:ascii="Arial" w:cs="Arial" w:eastAsia="Arial" w:hAnsi="Arial"/>
          <w:b w:val="false"/>
          <w:bCs w:val="false"/>
          <w:i w:val="false"/>
          <w:iCs w:val="false"/>
          <w:color w:val="000000"/>
          <w:sz w:val="24"/>
          <w:szCs w:val="24"/>
        </w:rPr>
        <w:t xml:space="preserve">El cuarto criterio interroga la pertinencia, pues no todos los hechos sirven para confirmar una hipótesis, sino solo los que guardan relación con el hecho descrito en ella. González Lagier (2005) precisa que un hecho no será pertinente cuando no esté correlacionado con la hipótesis ni por presunciones ni por máximas de experiencia adecuadas y bien fundadas (p. 85). El criterio remite, por tanto, a la corrección de la garantía, con lo que cierra el círculo abierto por la estructura de la inferencia. Sin garantía enunciada no puede determinarse la pertinencia de un elemento, y declarar impertinente una prueba sin explicitar la máxima aplicada produce una decisión que no admite control, porque el afectado no llega a saber qué correlación se consideró inexistente ni puede, en consecuencia, combatirla.</w:t>
      </w:r>
    </w:p>
    <w:p>
      <w:pPr>
        <w:spacing w:after="0" w:before="0" w:line="360"/>
        <w:ind w:firstLine="708"/>
        <w:jc w:val="both"/>
      </w:pPr>
      <w:r>
        <w:rPr>
          <w:rFonts w:ascii="Arial" w:cs="Arial" w:eastAsia="Arial" w:hAnsi="Arial"/>
          <w:b w:val="false"/>
          <w:bCs w:val="false"/>
          <w:i w:val="false"/>
          <w:iCs w:val="false"/>
          <w:color w:val="000000"/>
          <w:sz w:val="24"/>
          <w:szCs w:val="24"/>
        </w:rPr>
        <w:t xml:space="preserve">Dos criterios más recaen ya sobre la garantía misma. El primero pregunta si está suficientemente fundada. González Lagier (2005) recuerda que las máximas de experiencia son a su vez la conclusión de una inducción ampliativa, por lo que no son necesariamente verdaderas sino probables (p. 86). Su credibilidad racional depende de que esa inducción esté bien hecha, de modo que hay que examinar el fundamento cognoscitivo de las máximas y regularidades empleadas, único modo de excluir las generalizaciones apresuradas y los prejuicios (González Lagier, 2005, p. 86). No basta, además, con que la máxima aplicada esté bien fundada: debe también no haber máximas mejor fundadas que desautoricen el paso de los hechos probatorios a la hipótesis (González Lagier, 2005, p. 86). La exigencia obliga a considerar las regularidades que juegan en contra, y no solo las que favorecen la conclusión adoptada.</w:t>
      </w:r>
    </w:p>
    <w:p>
      <w:pPr>
        <w:spacing w:after="0" w:before="0" w:line="360"/>
        <w:ind w:firstLine="708"/>
        <w:jc w:val="both"/>
      </w:pPr>
      <w:r>
        <w:rPr>
          <w:rFonts w:ascii="Arial" w:cs="Arial" w:eastAsia="Arial" w:hAnsi="Arial"/>
          <w:b w:val="false"/>
          <w:bCs w:val="false"/>
          <w:i w:val="false"/>
          <w:iCs w:val="false"/>
          <w:color w:val="000000"/>
          <w:sz w:val="24"/>
          <w:szCs w:val="24"/>
        </w:rPr>
        <w:t xml:space="preserve">Ese criterio se acompaña de una advertencia sobre las reglas construidas para la ocasión. Si la regla se elaboró para explicar el caso concreto que el juez debe decidir, entonces no se basa en una inducción ampliativa bien fundada (González Lagier, 2005, p. 87). La máxima construida a la medida del caso resulta inservible, porque carece de la generalidad que es justamente lo que convierte a un enunciado en garantía. El autor precisa también el estatuto de las presunciones, que pueden verse como máximas de experiencia institucionalizadas y autoritativas y en esa medida deben apoyarse igualmente en una inducción sólida (González Lagier, 2005, p. 87). Una presunción jurisprudencial no queda exenta de fundamento por el hecho de provenir de un tribunal, aunque su carácter autoritativo limite el margen del juzgador para desplazarla.</w:t>
      </w:r>
    </w:p>
    <w:p>
      <w:pPr>
        <w:spacing w:after="0" w:before="0" w:line="360"/>
        <w:ind w:firstLine="708"/>
        <w:jc w:val="both"/>
      </w:pPr>
      <w:r>
        <w:rPr>
          <w:rFonts w:ascii="Arial" w:cs="Arial" w:eastAsia="Arial" w:hAnsi="Arial"/>
          <w:b w:val="false"/>
          <w:bCs w:val="false"/>
          <w:i w:val="false"/>
          <w:iCs w:val="false"/>
          <w:color w:val="000000"/>
          <w:sz w:val="24"/>
          <w:szCs w:val="24"/>
        </w:rPr>
        <w:t xml:space="preserve">El segundo criterio sobre la garantía pregunta por el grado de probabilidad causal que establece, pues existen máximas que correlacionan dos fenómenos con alta probabilidad y máximas que establecen esa correlación con una probabilidad sensiblemente menor. González Lagier (2005) formula la regla correspondiente: cuanto menor sea el grado de probabilidad causal expresado por la máxima de experiencia, menor será la probabilidad inferencial con la que se sigue la hipótesis final (pp. 87-88). La regla tiene aplicación inmediata en materia electoral. Afirmar que quien aparece en un impreso de propaganda obtuvo por ello más votos supone una máxima de probabilidad causal baja, y la conclusión hereda esa debilidad. Enunciar la máxima obliga a reconocer el límite de la inferencia; omitirla permite presentar como fuerte un razonamiento que no lo es, y el vicio opera en las dos direcciones, porque también permite descartar por débil lo que la máxima sostendría.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1.5.3. </w:t>
      </w:r>
      <w:r>
        <w:rPr>
          <w:rFonts w:ascii="Arial" w:cs="Arial" w:eastAsia="Arial" w:hAnsi="Arial"/>
          <w:i/>
          <w:iCs/>
          <w:color w:val="000000"/>
          <w:sz w:val="24"/>
          <w:szCs w:val="24"/>
        </w:rPr>
        <w:t xml:space="preserve">Criterios sobre la hipótesis y gradualidad de la solidez</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primer criterio sobre la hipótesis pregunta si ha sido refutada. González Lagier (2005) distingue dos formas de refutación (p. 88). Una hipótesis queda refutada de manera directa cuando su verdad resulta incompatible con otra afirmación que se ha dado por probada, y de manera indirecta cuando implica una afirmación que se demuestra falsa o poco probable. La exigencia opera con independencia del apoyo que la hipótesis haya recibido de los hechos probatorios, de modo que la confirmación no dispensa de comprobar la ausencia de refutación. Confirmación y ausencia de refutación son condiciones distintas, y la segunda no se sigue de la primera: una hipótesis muy apoyada puede quedar destruida por un solo hecho incompatible con ella.</w:t>
      </w:r>
    </w:p>
    <w:p>
      <w:pPr>
        <w:spacing w:after="0" w:before="0" w:line="360"/>
        <w:ind w:firstLine="708"/>
        <w:jc w:val="both"/>
      </w:pPr>
      <w:r>
        <w:rPr>
          <w:rFonts w:ascii="Arial" w:cs="Arial" w:eastAsia="Arial" w:hAnsi="Arial"/>
          <w:b w:val="false"/>
          <w:bCs w:val="false"/>
          <w:i w:val="false"/>
          <w:iCs w:val="false"/>
          <w:color w:val="000000"/>
          <w:sz w:val="24"/>
          <w:szCs w:val="24"/>
        </w:rPr>
        <w:t xml:space="preserve">El segundo criterio pregunta si se han confirmado las hipótesis derivadas, que refutan la principal cuando se demuestran falsas y aumentan su credibilidad cuando se confirman como verdaderas (González Lagier, 2005, p. 90). El tercero, y el más exigente, pregunta si se han eliminado las hipótesis alternativas: cuando pueden eliminarse todas las que compiten por explicar un hecho, salvo una, esa debe tomarse como verdadera (González Lagier, 2005, p. 90). El autor advierte de inmediato que se trata de un ideal rara vez alcanzable en un proceso judicial, donde lo usual es disponer de varias hipótesis y escoger la que resiste mejor los intentos de refutación (González Lagier, 2005, p. 90). La exigencia realista no consiste, por tanto, en la eliminación total de las alternativas, sino en la comparación razonada entre aquellas que subsisten tras el examen.</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ese tercer criterio deriva una regla de graduación de alcance general: la credibilidad de una hipótesis disminuye cuantas más hipótesis alternativas subsistan (González Lagier, 2005, pp. 90-91). La formulación convierte la refutación en un factor de grado y no en un requisito binario, de manera que no se trata de eliminar toda alternativa concebible sino de reducir el número de las que siguen en pie. La Suprema Corte alcanzó una conclusión equivalente al exigir que el juzgador tenga en cuenta todas las conclusiones posibles y razone por qué elige la que estima conveniente (Tesis 2004755, 2013). Doctrina y jurisprudencia coinciden en que la elección entre hipótesis debe justificarse y no simplemente declararse, lo que permite exigir ese razonamiento con apoyo en criterio vigente del sistema mexicano y no únicamente en doctrina extranjera.</w:t>
      </w:r>
    </w:p>
    <w:p>
      <w:pPr>
        <w:spacing w:after="0" w:before="0" w:line="360"/>
        <w:ind w:firstLine="708"/>
        <w:jc w:val="both"/>
      </w:pPr>
      <w:r>
        <w:rPr>
          <w:rFonts w:ascii="Arial" w:cs="Arial" w:eastAsia="Arial" w:hAnsi="Arial"/>
          <w:b w:val="false"/>
          <w:bCs w:val="false"/>
          <w:i w:val="false"/>
          <w:iCs w:val="false"/>
          <w:color w:val="000000"/>
          <w:sz w:val="24"/>
          <w:szCs w:val="24"/>
        </w:rPr>
        <w:t xml:space="preserve">Los dos criterios restantes operan como reglas de desempate. El cuarto es la coherencia, que presenta un aspecto interno de congruencia entre los enunciados que integran la hipótesis y otro externo de congruencia con el resto del conocimiento disponible (González Lagier, 2005, p. 91). El quinto es la simplicidad, según el cual las hipótesis más simples son las que explican más con un menor número de presuposiciones (González Lagier, 2005, p. 91). Ambos sirven únicamente para escoger entre hipótesis que cuentan con un grado de confirmación semejante, y su función es por tanto subsidiaria. Ninguno de los dos suple la falta de apoyo empírico, de modo que una hipótesis coherente y simple pero desprovista de confirmación sigue siendo una conjetura, por elegante que resulte su formulación.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La advertencia con que el autor introduce los once criterios resulta tan importante como los criterios mismos. La solidez de la inferencia probatoria es gradual en dos sentidos distintos (González Lagier, 2005, p. 80). En una inferencia dada pueden estar presentes más o menos criterios, y la ausencia de alguno no constituye por sí sola razón para rechazarla; casi todos los criterios pueden cumplirse, además, en mayor o menor medida (González Lagier, 2005, p. 80). Esa doble gradualidad impide convertir los once criterios en una lista de requisitos cuya falta invalide la inferencia. Los criterios describen un espectro y no un umbral, y confundirlos llevaría a un formalismo tan rígido como el sistema de prueba tasada que la libre valoración vino a superar.</w:t>
      </w:r>
    </w:p>
    <w:p>
      <w:pPr>
        <w:spacing w:after="0" w:before="0" w:line="360"/>
        <w:ind w:firstLine="708"/>
        <w:jc w:val="both"/>
      </w:pPr>
      <w:r>
        <w:rPr>
          <w:rFonts w:ascii="Arial" w:cs="Arial" w:eastAsia="Arial" w:hAnsi="Arial"/>
          <w:b w:val="false"/>
          <w:bCs w:val="false"/>
          <w:i w:val="false"/>
          <w:iCs w:val="false"/>
          <w:color w:val="000000"/>
          <w:sz w:val="24"/>
          <w:szCs w:val="24"/>
        </w:rPr>
        <w:t xml:space="preserve">La distinción entre espectro y umbral condiciona el uso legítimo de estos criterios. Una lista de requisitos sustituiría la libre valoración por una prueba tasada de nuevo cuño; una rejilla de exteriorización deja intacta la libertad valorativa y suprime únicamente su opacidad. El juzgador conserva íntegra la facultad de apreciar el material probatorio y pierde solo la de no explicar cómo lo apreció. Los criterios permiten decir, en definitiva, cuán sólida es una inferencia, pero no permiten decir cuán sólida debe ser, porque esa segunda pregunta ya no pertenece a la epistemología sino al derecho y se responde en atención a los valores en juego en cada tipo de proceso.</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1.6. </w:t>
      </w:r>
      <w:r>
        <w:rPr>
          <w:rFonts w:ascii="Arial" w:cs="Arial" w:eastAsia="Arial" w:hAnsi="Arial"/>
          <w:i/>
          <w:iCs/>
          <w:color w:val="000000"/>
          <w:sz w:val="24"/>
          <w:szCs w:val="24"/>
        </w:rPr>
        <w:t xml:space="preserve">El conjunto probatorio excede la suma de sus elementos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artículo 16, párrafo 3, de la Ley General del Sistema de Medios de Impugnación en Materia Electoral ordena atender a los demás elementos que obren en el expediente. Ordena también atender a la relación que esos elementos guardan entre sí, y ese segundo mandato presupone que el conjunto aporta algo que sus elementos aislados no aportan. El presupuesto tiene fundamento, aunque no del modo que el holismo narrativo sugiere, y precisar esa diferencia resulta indispensable para que la valoración relacional resista la objeción más seria que puede dirigírsele.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1.6.1. </w:t>
      </w:r>
      <w:r>
        <w:rPr>
          <w:rFonts w:ascii="Arial" w:cs="Arial" w:eastAsia="Arial" w:hAnsi="Arial"/>
          <w:i/>
          <w:iCs/>
          <w:color w:val="000000"/>
          <w:sz w:val="24"/>
          <w:szCs w:val="24"/>
        </w:rPr>
        <w:t xml:space="preserve">Las objeciones al tratamiento aislado de los elementos de prueba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Amaya (2015) reconstruye el debate entre atomismo y holismo en la teoría de la prueba y recoge tres objeciones dirigidas contra el primero (pp. 94-95). La primera sostiene que la prueba de todo caso controvertido se compone de elementos pertenecientes al menos a dos relatos contradictorios, uno falso y otro verdadero, que aparecen entremezclados. Solo al adoptar la decisión final cabe identificar cuáles de esos elementos pertenecen al relato verdadero y cuáles al falso. De ahí que resulte ilógico asignar un valor de verdad o de probabilidad a un elemento aislado antes de la decisión, que es precisamente lo que el atomismo exige (Amaya, 2015, p. 94). La objeción apunta a un problema de orden: el atomismo pretende resolver al principio lo que solo puede resolverse al final, cuando ya se conoce a qué relato pertenece cada pieza.</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objeción resulta la más pertinente para el derecho electoral mexicano. En la medida en que los elementos de prueba están enlazados entre sí formando un todo conectado, ningún elemento debe tratarse de manera aislada respecto de los demás, contra lo que el atomismo requiere (Amaya, 2015, pp. 94-95). La formulación describe con exactitud la operación que el artículo 16, párrafo 3, ordena cuando manda atender al recto raciocinio de la relación que los elementos guardan entre sí. La tercera objeción sostiene que el enfoque atomista socava el carácter fáctico de la prueba judicial, al convertir los hechos en proposiciones inferidas de la experiencia general, con lo que desatiende indebidamente las circunstancias del caso concreto (Amaya, 2015, p. 95). Las tres convergen en un mismo reproche: tratar cada elemento por separado destruye información que solo existe en la relación entre ellos.</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ese diagnóstico deriva una tesis positiva que interesa retener. Conforme a la versión del holismo que Amaya expone, no cabe extraer conclusiones fácticas a partir de elementos de prueba aislados, por notables que resulten. El juzgador debe ponderar la prueba y alcanzar una conclusión solo después de haber examinado el conjunto del material del caso (Amaya, 2015, p. 95). El enunciado tiene consecuencias prácticas inmediatas para el control de las sentencias, porque declarar que un elemento no acredita nada por sí solo es compatible con que el conjunto al que pertenece sí acredite algo. Confundir ambas afirmaciones produce un vicio característico y fácil de identificar: la sentencia que sostiene que los elementos aportados solo constituyen un indicio delata en el singular de esa fórmula la operación realizada, pues dos pruebas de origen distinto quedan reducidas a una sola unidad de valoración y con ello desaparece la relación que las une.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1.6.2. </w:t>
      </w:r>
      <w:r>
        <w:rPr>
          <w:rFonts w:ascii="Arial" w:cs="Arial" w:eastAsia="Arial" w:hAnsi="Arial"/>
          <w:i/>
          <w:iCs/>
          <w:color w:val="000000"/>
          <w:sz w:val="24"/>
          <w:szCs w:val="24"/>
        </w:rPr>
        <w:t xml:space="preserve">Los anclajes del derecho mexicano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objeción no es ajena a la tradición jurídica mexicana, ni reciente en ella. La Suprema Corte la formuló con notable economía hace más de medio siglo. Estableció que la prueba indiciaria resulta de la apreciación en su conjunto de los elementos probatorios que aparezcan en el proceso, y que esos elementos no deben considerarse aisladamente (Tesis 235868, 1974). Añadió que de su armonía lógica, natural y concatenamiento legal habrá de establecerse una verdad resultante, que conduzca de manera unívoca e inequívoca a la verdad buscada (Tesis 235868, 1974). La coincidencia con el planteamiento holista es notable, sobre todo por la distancia temporal y disciplinar que separa ambas formulaciones. Una tesis aislada de la Séptima Época y la teoría contemporánea de la prueba coinciden en rechazar el tratamiento fragmentario del material probatorio, de modo que el criterio mexicano no requiere actualización doctrinal: requiere aplicación.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La jurisprudencia electoral llegó al mismo punto por su propia vía. La Jurisprudencia 19/2008 sostiene que el proceso se concibe como un todo unitario e indivisible, integrado por la secuencia de actos que se desarrollan progresivamente. De ese carácter unitario deriva que la fuerza convictiva de los medios de prueba deba valorarse en relación con las pretensiones de todas las partes, y no solo del oferente. El criterio se enunció bajo el rótulo de la adquisición procesal, pero su alcance excede esa figura, porque afirma que el expediente constituye una unidad, que es exactamente la premisa que la segunda objeción al atomismo defiende. El sistema mexicano dispone, por tanto, de dos anclajes propios para exigir la valoración conjunta. A ellos se suma la Jurisprudencia 4/2014, que impone adminicular la prueba técnica con otro elemento que la perfeccione o corrobore, con lo que presupone que la relación entre elementos produce un valor del que carecen por separado.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1.6.3. </w:t>
      </w:r>
      <w:r>
        <w:rPr>
          <w:rFonts w:ascii="Arial" w:cs="Arial" w:eastAsia="Arial" w:hAnsi="Arial"/>
          <w:i/>
          <w:iCs/>
          <w:color w:val="000000"/>
          <w:sz w:val="24"/>
          <w:szCs w:val="24"/>
        </w:rPr>
        <w:t xml:space="preserve">Los riesgos del holismo y el dominio de cada modelo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exposición anterior sería tendenciosa si omitiera las objeciones que el holismo ha recibido. Amaya (2015) las recoge con detalle y conviene asumirlas en lugar de esquivarlas. La primera sostiene que las teorías coherentistas están seriamente subdesarrolladas, y que conceptos clave como plausibilidad y coherencia se emplean de manera imprecisa. La consecuencia es grave: las teorías holistas no proporcionan un criterio claro para escoger entre explicaciones alternativas de los hechos en competencia (Amaya, 2015, p. 125). Una teoría que no ofrece criterio de elección resulta inservible como fundamento de cualquier método de valoración, porque un método necesita precisamente eso. La objeción no es menor ni externa: proviene, según recoge Amaya, de autores simpatizantes del propio holismo.</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objeción advierte sobre los riesgos del enfoque que considera el caso como un todo. Los relatos pueden emplearse para introducir de contrabando consideraciones irrelevantes y para desviar la atención de las debilidades del argumento. Sirven también para apelar a la emoción antes que a la razón y para recurrir a prejuicios o estereotipos ocultos (Amaya, 2015, p. 125). La conclusión que Amaya recoge resume el problema con precisión: los relatos son sin duda necesarios, pero peligrosos. El riesgo tiene traducción electoral evidente, pues una narración coherente sobre una elección irregular puede resultar persuasiva sin que ninguno de sus elementos esté acreditado. Lo mismo cabe decir de la narración contraria, que presenta el proceso como impecable apoyándose en la sola regularidad formal de sus etapas. El peligro opera, por tanto, en ambas direcciones.</w:t>
      </w:r>
    </w:p>
    <w:p>
      <w:pPr>
        <w:spacing w:after="0" w:before="0" w:line="360"/>
        <w:ind w:firstLine="708"/>
        <w:jc w:val="both"/>
      </w:pPr>
      <w:r>
        <w:rPr>
          <w:rFonts w:ascii="Arial" w:cs="Arial" w:eastAsia="Arial" w:hAnsi="Arial"/>
          <w:b w:val="false"/>
          <w:bCs w:val="false"/>
          <w:i w:val="false"/>
          <w:iCs w:val="false"/>
          <w:color w:val="000000"/>
          <w:sz w:val="24"/>
          <w:szCs w:val="24"/>
        </w:rPr>
        <w:t xml:space="preserve">Taruffo figura entre quienes formulan esa advertencia. Amaya (2015) recoge que el autor previene contra los peligros de adoptar un enfoque holista, porque sugiere decidir con base en algo distinto de las pruebas (p. 125), de modo que las teorías holistas desatenderían problemas como la definición del hecho, la relevancia de la prueba y la carga probatoria. En su propia obra Taruffo (2013) resulta todavía más tajante, pues considera inatendible y desviante la perspectiva holística propuesta por algunos exponentes del narrativismo judicial (p. 59). La objeción no admite despacho rápido y obliga a precisar con cuidado qué se toma del holismo y qué se deja fuera.</w:t>
      </w:r>
    </w:p>
    <w:p>
      <w:pPr>
        <w:spacing w:after="0" w:before="0" w:line="360"/>
        <w:ind w:firstLine="708"/>
        <w:jc w:val="both"/>
      </w:pPr>
      <w:r>
        <w:rPr>
          <w:rFonts w:ascii="Arial" w:cs="Arial" w:eastAsia="Arial" w:hAnsi="Arial"/>
          <w:b w:val="false"/>
          <w:bCs w:val="false"/>
          <w:i w:val="false"/>
          <w:iCs w:val="false"/>
          <w:color w:val="000000"/>
          <w:sz w:val="24"/>
          <w:szCs w:val="24"/>
        </w:rPr>
        <w:t xml:space="preserve">La salida de la disyuntiva la ofrece, dentro de la propia exposición de Amaya, el enfoque conciliador de Tillers, cuyo propósito no consiste tanto en defender una versión del holismo como en reconciliar holismo y atomismo. Ninguno de los dos permite ofrecer un retrato fiel del razonamiento sobre hechos en el derecho (Amaya, 2015, p. 95). El enfoque atomista pasa por alto que el significado de la prueba se adhiere a veces al conjunto del material, y tanto el análisis atomista como las apreciaciones holistas desempeñan, en consecuencia, un papel importante en la inferencia jurídica (Amaya, 2015, p. 96). Ningún modelo por sí solo la describe de manera completa, de modo que un retrato de la inferencia racional exige recurrir a varias teorías de la prueba lógicamente dispares (Amaya, 2015, p. 96).</w:t>
      </w:r>
    </w:p>
    <w:p>
      <w:pPr>
        <w:spacing w:after="0" w:before="0" w:line="360"/>
        <w:ind w:firstLine="708"/>
        <w:jc w:val="both"/>
      </w:pPr>
      <w:r>
        <w:rPr>
          <w:rFonts w:ascii="Arial" w:cs="Arial" w:eastAsia="Arial" w:hAnsi="Arial"/>
          <w:b w:val="false"/>
          <w:bCs w:val="false"/>
          <w:i w:val="false"/>
          <w:iCs w:val="false"/>
          <w:color w:val="000000"/>
          <w:sz w:val="24"/>
          <w:szCs w:val="24"/>
        </w:rPr>
        <w:t xml:space="preserve">De ahí se sigue un desplazamiento de la pregunta. La cuestión correcta no consiste en determinar si un modelo de inferencia es o no correcto, sino en determinar cuál es el dominio propio de cada uno (Amaya, 2015, p. 97). Formulada así, la disputa entre atomismo y holismo deja de ser una elección entre doctrinas rivales y se convierte en un problema de asignación, consistente en determinar qué operación corresponde a cada fase del razonamiento probatorio. La reformulación permite conservar lo que el holismo aporta sin incurrir en los riesgos que sus críticos denuncian, y permite además no contradecir a quienes lo rechazan como método único de decisión, porque la objeción de esos autores recae sobre un uso del holismo que aquí tampoco se defiende.</w:t>
      </w:r>
    </w:p>
    <w:p>
      <w:pPr>
        <w:spacing w:after="0" w:before="0" w:line="360"/>
        <w:ind w:firstLine="708"/>
        <w:jc w:val="both"/>
      </w:pPr>
      <w:r>
        <w:rPr>
          <w:rFonts w:ascii="Arial" w:cs="Arial" w:eastAsia="Arial" w:hAnsi="Arial"/>
          <w:b w:val="false"/>
          <w:bCs w:val="false"/>
          <w:i w:val="false"/>
          <w:iCs w:val="false"/>
          <w:color w:val="000000"/>
          <w:sz w:val="24"/>
          <w:szCs w:val="24"/>
        </w:rPr>
        <w:t xml:space="preserve">La reconciliación se confirma al examinar lo que el propio Taruffo exige. Pese a rechazar la perspectiva holística, sostiene que debe establecerse el grado de confirmación que cada prueba atribuye al enunciado, y que a partir de ahí ha de determinarse el grado global o de conjunto de corroboración que ese enunciado recibe de todas las pruebas que lo atañen (Taruffo, 2013, p. 59). La exigencia de un grado de conjunto es, sin más, una exigencia de valoración relacional, por mucho que el autor la formule desde una perspectiva analítica. Lo que Taruffo rechaza no es atender al conjunto, sino sustituir el examen de cada elemento por la impresión global de coherencia narrativa. Su posición y la segunda objeción al atomismo resultan, así, compatibles entre sí, y ambas sostienen el mandato del artículo 16, párrafo 3.</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compatibilidad deriva la regla que gobierna la adminiculación. Se trata de una agregación analítica y no de una apreciación narrativa: exige valorar primero cada elemento y determinar después el grado de corroboración que el conjunto confiere a la hipótesis. La secuencia responde a la fórmula que Ferrer Beltrán expresa al exigir la valoración individual y en conjunto, y no autoriza a sustituir el examen de los elementos por la elección del relato más convincente. Con esa delimitación, el mandato del artículo 16, párrafo 3, queda a salvo de la objeción de Taruffo y conserva el fundamento epistemológico que le suministra la eliminación de hipótesis alternativas. El conjunto probatorio excede la suma de sus elementos porque cierra vías de escape, no porque componga un relato más agradable.</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1.7. </w:t>
      </w:r>
      <w:r>
        <w:rPr>
          <w:rFonts w:ascii="Arial" w:cs="Arial" w:eastAsia="Arial" w:hAnsi="Arial"/>
          <w:i/>
          <w:iCs/>
          <w:color w:val="000000"/>
          <w:sz w:val="24"/>
          <w:szCs w:val="24"/>
        </w:rPr>
        <w:t xml:space="preserve">Libre convicción como principio metodológico negativo; la sana crítica no es criterio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Tanto la Suprema Corte como la jurisprudencia electoral mexicana remiten a la «libre convicción» y a la «sana crítica» como fundamentos de la valoración. Ambas expresiones sugieren, a primera vista, que el juzgador goza de discreción amplia para decidir conforme a su conciencia. Ninguna de las dos significa eso. La «libre convicción» es un principio metodológico negativo que rechaza el apriorismo legal, pero no un criterio positivo de valoración, y la «sana crítica» nunca fue un criterio sustantivo sino una referencia a máximas de experiencia. La confusión entre el significado originario de ambas y sus usos posteriores está en el origen de un problema de controlabilidad de las sentencias.</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1.7.1. </w:t>
      </w:r>
      <w:r>
        <w:rPr>
          <w:rFonts w:ascii="Arial" w:cs="Arial" w:eastAsia="Arial" w:hAnsi="Arial"/>
          <w:i/>
          <w:iCs/>
          <w:color w:val="000000"/>
          <w:sz w:val="24"/>
          <w:szCs w:val="24"/>
        </w:rPr>
        <w:t xml:space="preserve">Principio negativo y criterio positivo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distinción entre uno y otro ha quedado opacada por el uso indiferenciado de ambas expresiones. Gascón (2010) la traza con precisión al examinar la historia de la libre convicción en el derecho procesal. El rechazo de la prueba legal fue un giro revolucionario, pues la prueba legal predeterminaba el valor de cada medio mediante reglas abstractas: el testigo presenciador, la confesión espontánea, el documento público, cada uno tenía un peso fijo establecido por la ley. La libre convicción fue la reacción contra ese sistema fetichista, y su propósito consiste simplemente en «el rechazo de las pruebas legales como suficientes para determinar la decisión» (Gascón, 2010, p. 142). Con esa precisión, la libre convicción no es un criterio positivo que diga cómo debe valorarse, sino un principio </w:t>
      </w:r>
      <w:r>
        <w:rPr>
          <w:rFonts w:ascii="Arial" w:cs="Arial" w:eastAsia="Arial" w:hAnsi="Arial"/>
          <w:b w:val="false"/>
          <w:bCs w:val="false"/>
          <w:i/>
          <w:iCs/>
          <w:color w:val="000000"/>
          <w:sz w:val="24"/>
          <w:szCs w:val="24"/>
        </w:rPr>
        <w:t xml:space="preserve">negativo</w:t>
      </w:r>
      <w:r>
        <w:rPr>
          <w:rFonts w:ascii="Arial" w:cs="Arial" w:eastAsia="Arial" w:hAnsi="Arial"/>
          <w:b w:val="false"/>
          <w:bCs w:val="false"/>
          <w:i w:val="false"/>
          <w:iCs w:val="false"/>
          <w:color w:val="000000"/>
          <w:sz w:val="24"/>
          <w:szCs w:val="24"/>
        </w:rPr>
        <w:t xml:space="preserve"> que deshace el camino contrario: prescribe que el juzgador </w:t>
      </w:r>
      <w:r>
        <w:rPr>
          <w:rFonts w:ascii="Arial" w:cs="Arial" w:eastAsia="Arial" w:hAnsi="Arial"/>
          <w:b w:val="false"/>
          <w:bCs w:val="false"/>
          <w:i/>
          <w:iCs/>
          <w:color w:val="000000"/>
          <w:sz w:val="24"/>
          <w:szCs w:val="24"/>
        </w:rPr>
        <w:t xml:space="preserve">no</w:t>
      </w:r>
      <w:r>
        <w:rPr>
          <w:rFonts w:ascii="Arial" w:cs="Arial" w:eastAsia="Arial" w:hAnsi="Arial"/>
          <w:b w:val="false"/>
          <w:bCs w:val="false"/>
          <w:i w:val="false"/>
          <w:iCs w:val="false"/>
          <w:color w:val="000000"/>
          <w:sz w:val="24"/>
          <w:szCs w:val="24"/>
        </w:rPr>
        <w:t xml:space="preserve"> está sujeto a tasaciones previas.</w:t>
      </w:r>
    </w:p>
    <w:p>
      <w:pPr>
        <w:spacing w:after="0" w:before="0" w:line="360"/>
        <w:ind w:firstLine="708"/>
        <w:jc w:val="both"/>
      </w:pPr>
      <w:r>
        <w:rPr>
          <w:rFonts w:ascii="Arial" w:cs="Arial" w:eastAsia="Arial" w:hAnsi="Arial"/>
          <w:b w:val="false"/>
          <w:bCs w:val="false"/>
          <w:i w:val="false"/>
          <w:iCs w:val="false"/>
          <w:color w:val="000000"/>
          <w:sz w:val="24"/>
          <w:szCs w:val="24"/>
        </w:rPr>
        <w:t xml:space="preserve">La diferencia tiene consecuencias prácticas decisivas, porque un principio negativo deja sin resolver la cuestión de cómo proceder una vez rechazado el apriorismo legal. Una vez que la ley no fija el valor de la prueba, el juzgador debe determinar ese valor mediante algún método. La libre convicción marca dónde no se puede estar —bajo la coacción de reglas legales— pero no marca dónde se debe estar. De ahí que Gascón afirme que «la libre valoración no puede interpretarse más que en su significado primigenio: un </w:t>
      </w:r>
      <w:r>
        <w:rPr>
          <w:rFonts w:ascii="Arial" w:cs="Arial" w:eastAsia="Arial" w:hAnsi="Arial"/>
          <w:b w:val="false"/>
          <w:bCs w:val="false"/>
          <w:i/>
          <w:iCs/>
          <w:color w:val="000000"/>
          <w:sz w:val="24"/>
          <w:szCs w:val="24"/>
        </w:rPr>
        <w:t xml:space="preserve">principio metodológico (negativo)</w:t>
      </w:r>
      <w:r>
        <w:rPr>
          <w:rFonts w:ascii="Arial" w:cs="Arial" w:eastAsia="Arial" w:hAnsi="Arial"/>
          <w:b w:val="false"/>
          <w:bCs w:val="false"/>
          <w:i w:val="false"/>
          <w:iCs w:val="false"/>
          <w:color w:val="000000"/>
          <w:sz w:val="24"/>
          <w:szCs w:val="24"/>
        </w:rPr>
        <w:t xml:space="preserve">. Pero un principio metodológico y sólo eso. No, por tanto, un </w:t>
      </w:r>
      <w:r>
        <w:rPr>
          <w:rFonts w:ascii="Arial" w:cs="Arial" w:eastAsia="Arial" w:hAnsi="Arial"/>
          <w:b w:val="false"/>
          <w:bCs w:val="false"/>
          <w:i/>
          <w:iCs/>
          <w:color w:val="000000"/>
          <w:sz w:val="24"/>
          <w:szCs w:val="24"/>
        </w:rPr>
        <w:t xml:space="preserve">criterio (positivo)</w:t>
      </w:r>
      <w:r>
        <w:rPr>
          <w:rFonts w:ascii="Arial" w:cs="Arial" w:eastAsia="Arial" w:hAnsi="Arial"/>
          <w:b w:val="false"/>
          <w:bCs w:val="false"/>
          <w:i w:val="false"/>
          <w:iCs w:val="false"/>
          <w:color w:val="000000"/>
          <w:sz w:val="24"/>
          <w:szCs w:val="24"/>
        </w:rPr>
        <w:t xml:space="preserve"> de valoración» (Gascón, 2010, p. 142). La línea que separa ambas cosas es la que separa lo permitido de lo prescrito: la libre convicción permite al juzgador desligarse de reglas aprióricas, pero no prescribe cómo decidir sin ellas. Confundirlas convierte un límite al formalismo en autorización para la arbitrariedad.</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1.7.2. </w:t>
      </w:r>
      <w:r>
        <w:rPr>
          <w:rFonts w:ascii="Arial" w:cs="Arial" w:eastAsia="Arial" w:hAnsi="Arial"/>
          <w:i/>
          <w:iCs/>
          <w:color w:val="000000"/>
          <w:sz w:val="24"/>
          <w:szCs w:val="24"/>
        </w:rPr>
        <w:t xml:space="preserve">La deriva subjetivista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uso posterior de la libre convicción se apartó de ese significado originario. En lugar de entenderse como rechazo del apriorismo legal, pasó a interpretarse como «valoración libre, sin sujeción a reglas de ningún tipo» (Gascón, 2010, p. 142). Con ese cambio de significado, la libre convicción dejó de ser una garantía epistemológica y se convirtió en una puerta abierta a la subjetividad descontrolada. La gravedad de la deriva no es apreciación aislada: Gascón (2010) recoge que Ferrajoli no duda en calificarla como «una de las páginas políticamente más amargas e intelectualmente más deprimentes de la historia de las instituciones penales» (p. 34). El juzgador recibía el encargo de «decidir según su conciencia» o según su «íntima convicción», pero sin instrucción acerca de cómo formar esa convicción racionalmente.</w:t>
      </w:r>
    </w:p>
    <w:p>
      <w:pPr>
        <w:spacing w:after="0" w:before="0" w:line="360"/>
        <w:ind w:firstLine="708"/>
        <w:jc w:val="both"/>
      </w:pPr>
      <w:r>
        <w:rPr>
          <w:rFonts w:ascii="Arial" w:cs="Arial" w:eastAsia="Arial" w:hAnsi="Arial"/>
          <w:b w:val="false"/>
          <w:bCs w:val="false"/>
          <w:i w:val="false"/>
          <w:iCs w:val="false"/>
          <w:color w:val="000000"/>
          <w:sz w:val="24"/>
          <w:szCs w:val="24"/>
        </w:rPr>
        <w:t xml:space="preserve">Nieva Fenoll (2015) describe el resultado con economía. Una vez rechazadas las reglas de la prueba legal, el juez «se deja solo, a fin de que haga lo que haya de hacer a su libre albedrío, lo que significa que su juicio estarán muchas veces imperfecto, o difícilmente motivable por estar con frecuencia basado en intuiciones derivadas de una experiencia no siempre bien aprehendida, a falta de otros datos en que apoyarse» (Nieva Fenoll, 2015, p. 90). La observación apunta al mismo problema que la distinción de Gascón: en ausencia de criterios positivos, el juzgador no queda liberado sino desorientado.</w:t>
      </w:r>
    </w:p>
    <w:p>
      <w:pPr>
        <w:spacing w:after="0" w:before="0" w:line="360"/>
        <w:ind w:firstLine="708"/>
        <w:jc w:val="both"/>
      </w:pPr>
      <w:r>
        <w:rPr>
          <w:rFonts w:ascii="Arial" w:cs="Arial" w:eastAsia="Arial" w:hAnsi="Arial"/>
          <w:b w:val="false"/>
          <w:bCs w:val="false"/>
          <w:i w:val="false"/>
          <w:iCs w:val="false"/>
          <w:color w:val="000000"/>
          <w:sz w:val="24"/>
          <w:szCs w:val="24"/>
        </w:rPr>
        <w:t xml:space="preserve">Lo ocurrido en la jurisprudencia penal angloamericana confirma que la deriva no es privativa de la tradición continental. Laudan (2005) registra que a través del siglo XX la «duda razonable» —que en su origen significó una medida epistémica precisa relacionada con la epistemología de Locke— fue deliberada y lentamente desplumada hasta quedar reducida a «un "careces de toda duda", esto es, a tener una alta confianza subjetiva» (Laudan, 2005, p. 99). La forma jurídica se mantuvo, pero el contenido se evaporó, y lo que quedó en su lugar fue precisamente lo que la libre convicción no era en su origen: la convicción íntima del juzgador, inaprensible, incomunicable, imposible de verificar. El estándar se vuelve así parasitario de su propia base, pues el jurado debe determinar si la culpabilidad se ha probado sin regla que le diga cuándo ha alcanzado esa convicción (Laudan, 2005, p. 106).</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convergencia entre ambas tradiciones es más profunda de lo que su distinto vocabulario sugiere. Nieva Fenoll (2015) observa que el subjetivismo es la base del sistema, aunque eso sea lo mismo que no decir nada, y concluye que «en realidad, las frases construidas por la doctrina alemana en nada se diferencian de los estándares de prueba anglosajones. No orientan a jurados, sino a jueces, pero su finalidad es exactamente la misma» (p. 92). Si todos los jueces declaran tener «convicción» pero ninguno especifica en qué consiste, entonces no existe criterio verificable de que todos apliquen el mismo. La apariencia de uniformidad oculta divergencias imposibles de detectar.</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1.7.3. </w:t>
      </w:r>
      <w:r>
        <w:rPr>
          <w:rFonts w:ascii="Arial" w:cs="Arial" w:eastAsia="Arial" w:hAnsi="Arial"/>
          <w:i/>
          <w:iCs/>
          <w:color w:val="000000"/>
          <w:sz w:val="24"/>
          <w:szCs w:val="24"/>
        </w:rPr>
        <w:t xml:space="preserve">La sana crítica y la exigencia de explicitación</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Algo parecido ocurre con la «sana crítica», aunque su historia sea distinta. La expresión, que remite a la «buena conciencia» medieval, aparece en fuentes españolas desde el siglo XIX como alternativa discreta al lenguaje de la «libre convicción». Nieva Fenoll (2015) examina su evolución y concluye que nunca fue un criterio sustantivo sino una referencia poco precisa a máximas de experiencia. El artículo 317 de la Ley de Enjuiciamiento Civil de 1855 disponía que los jueces valorarían las declaraciones testificales «según las reglas de la sana crítica», pero esa referencia «no aporta mucho en toda esta materia» (Nieva Fenoll, 2015, p. 88), porque no especifica qué reglas son las de la sana crítica ni cómo aplicarlas.</w:t>
      </w:r>
    </w:p>
    <w:p>
      <w:pPr>
        <w:spacing w:after="0" w:before="0" w:line="360"/>
        <w:ind w:firstLine="708"/>
        <w:jc w:val="both"/>
      </w:pPr>
      <w:r>
        <w:rPr>
          <w:rFonts w:ascii="Arial" w:cs="Arial" w:eastAsia="Arial" w:hAnsi="Arial"/>
          <w:b w:val="false"/>
          <w:bCs w:val="false"/>
          <w:i w:val="false"/>
          <w:iCs w:val="false"/>
          <w:color w:val="000000"/>
          <w:sz w:val="24"/>
          <w:szCs w:val="24"/>
        </w:rPr>
        <w:t xml:space="preserve">El problema no es que la expresión sea incorrecta, sino que es demasiado vaga. Nieva Fenoll señala que «De Vicente y Caravantes valoró la referencia legal a la sana crítica como una obligación del juez de apreciar, además de otras máximas de experiencia sociológicas, las facultades psicológicas de los testigos» (Nieva Fenoll, 2015, p. 89). La sana crítica se entendía, entonces, como la aplicación de máximas de experiencia psicológicas y sociológicas a la valoración de la prueba. Eso es todo cuanto fue y todo cuanto puede ser: no proporciona un método, ni siquiera una orientación clara, y solo apunta en la dirección correcta de que el juzgador use el juicio para aplicar máximas de experiencia. La práctica posterior la convirtió, sin embargo, en un sinónimo vagamente tranquilizador de «el juez decide como considera conveniente». La doctrina fue más consciente del problema de lo que esa práctica sugiere, pues Nieva Fenoll recoge que la doctrina española de los siglos XVII a XIX «fue bien consciente de este problema, aunque con motivaciones que ensobrecieron la etología del problema y, por tanto, su solución» (Nieva Fenoll, 2015, p. 89), porque temían que un criterio estricto menguase la autoridad del juez.</w:t>
      </w:r>
    </w:p>
    <w:p>
      <w:pPr>
        <w:spacing w:after="0" w:before="0" w:line="360"/>
        <w:ind w:firstLine="708"/>
        <w:jc w:val="both"/>
      </w:pPr>
      <w:r>
        <w:rPr>
          <w:rFonts w:ascii="Arial" w:cs="Arial" w:eastAsia="Arial" w:hAnsi="Arial"/>
          <w:b w:val="false"/>
          <w:bCs w:val="false"/>
          <w:i w:val="false"/>
          <w:iCs w:val="false"/>
          <w:color w:val="000000"/>
          <w:sz w:val="24"/>
          <w:szCs w:val="24"/>
        </w:rPr>
        <w:t xml:space="preserve">Una valoración que no puede describirse no puede discutirse, y una sentencia que no expone la valoración que realiza deja al lector sin forma de verificar si la decisión resultó de la aplicación de criterios o de pura arbitrariedad. El artículo 16, párrafo 1, de la Ley General del Sistema de Medios de Impugnación en Materia Electoral no se limita, por ello, a remitir a la libre convicción: conjuga tres estándares, al ordenar valorar conforme a las reglas de la lógica, de la sana crítica y de la experiencia. Ese triple anclaje importa, porque no es lo mismo remitir a uno solo. La lógica proporciona criterios verificables, pues una conclusión que contradice sus premisas es lógicamente falsa y eso puede demostrarse. Las máximas de experiencia pueden enunciarse y discutirse, aunque su aplicación en el caso concreto admita debate. La experiencia del juzgador, por último, es un factor inevitable que debe quedar supeditado a los dos primeros. El problema comienza cuando cualquiera de los tres se interpreta como sinónimo de convicción íntima y queda entonces exonerado de justificación.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La salida no consiste en obligar al juzgador a decidir de un modo determinado ni en negarle su experiencia y su juicio, sino en hacer que lo escriba: que comunique qué regla lógica aplicó, cuál fue la máxima de experiencia y por qué la consideró aplicable, y qué peso confirió a su propia experiencia frente a las pruebas que la contradicen. La libre convicción, como principio negativo, seguirá siendo tan libre como siempre. Dejará únicamente de ser convicción íntima para convertirse en convicción justificada, y eso —solo eso— es lo que la hace compatible con el Estado de derecho.</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1.8. </w:t>
      </w:r>
      <w:r>
        <w:rPr>
          <w:rFonts w:ascii="Arial" w:cs="Arial" w:eastAsia="Arial" w:hAnsi="Arial"/>
          <w:i/>
          <w:iCs/>
          <w:color w:val="000000"/>
          <w:sz w:val="24"/>
          <w:szCs w:val="24"/>
        </w:rPr>
        <w:t xml:space="preserve">Un estándar subjetivo no es un estándar</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Si la libre convicción es un principio negativo que rechaza la tasación legal, y si la sana crítica nunca fue un criterio sustantivo, queda por saber qué ocupa el lugar vacante. La respuesta usual es que queda la «convicción íntima» o la «confianza subjetiva» del juzgador. Esa respuesta no resuelve el problema: una convicción subjetiva no puede funcionar como estándar de prueba, porque le falta precisamente lo que todo estándar debe tener.</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1.8.1. </w:t>
      </w:r>
      <w:r>
        <w:rPr>
          <w:rFonts w:ascii="Arial" w:cs="Arial" w:eastAsia="Arial" w:hAnsi="Arial"/>
          <w:i/>
          <w:iCs/>
          <w:color w:val="000000"/>
          <w:sz w:val="24"/>
          <w:szCs w:val="24"/>
        </w:rPr>
        <w:t xml:space="preserve">Los tres atributos de un estándar</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Laudan (2005) comienza por lo elemental. Un estándar de prueba, para cumplir su función, debe proporcionar al juzgador una regla que le permita determinar cuándo ha alcanzado la certeza suficiente para decidir. Esa exigencia presupone tres cosas: una medida, algo que pueda comunicarse y algo que pueda verificarse (Laudan, 2005, p. 95). La «íntima convicción» carece de las tres. No es una medida porque la convicción personal es privada y variable de un juez a otro. No puede comunicarse porque consiste en un estado emocional o cognitivo interno que cada persona experimenta de forma distinta. Y no puede verificarse porque no hay criterio externo que permita a un tercero saber si la convicción de un juez es genuina, o si alcanza el nivel que el sistema presupone (Laudan, 2005, p. 95).</w:t>
      </w:r>
    </w:p>
    <w:p>
      <w:pPr>
        <w:spacing w:after="0" w:before="0" w:line="360"/>
        <w:ind w:firstLine="708"/>
        <w:jc w:val="both"/>
      </w:pPr>
      <w:r>
        <w:rPr>
          <w:rFonts w:ascii="Arial" w:cs="Arial" w:eastAsia="Arial" w:hAnsi="Arial"/>
          <w:b w:val="false"/>
          <w:bCs w:val="false"/>
          <w:i w:val="false"/>
          <w:iCs w:val="false"/>
          <w:color w:val="000000"/>
          <w:sz w:val="24"/>
          <w:szCs w:val="24"/>
        </w:rPr>
        <w:t xml:space="preserve">Frente a esa carencia, un estándar verdadero debe ser capaz de cumplir dos operaciones. La primera consiste en guiar al juzgador durante el proceso de deliberación, indicándole cuándo ha reunido prueba suficiente. La segunda consiste en permitir que terceros —las partes, los órganos de apelación, la opinión pública— verifiquen que el juzgador aplicó el estándar correctamente. Una convicción subjetiva no satisface ninguna de las dos. No puede guiar porque no existe instrucción que defina qué es una «convicción», ni cuándo se alcanza, ni cómo se distingue de un mero presentimiento. Y no puede verificarse porque el resultado —la sentencia que declara al acusado culpable o inocente— es el único dato disponible, y ese dato no revela si la convicción que la motiva es auténtica o si basta para justificar la decisión (Laudan, 2005, p. 95).</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1.8.2. </w:t>
      </w:r>
      <w:r>
        <w:rPr>
          <w:rFonts w:ascii="Arial" w:cs="Arial" w:eastAsia="Arial" w:hAnsi="Arial"/>
          <w:i/>
          <w:iCs/>
          <w:color w:val="000000"/>
          <w:sz w:val="24"/>
          <w:szCs w:val="24"/>
        </w:rPr>
        <w:t xml:space="preserve">La corrupción de la duda razonable y las dos vías convencionales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problema no es teórico. Laudan (2005) documenta cómo la historia del derecho procesal penal anglo-estadounidense registra precisamente ese proceso de degradación. El estándar oficial es la «duda razonable», expresión que en su origen significaba una medida epistemológica precisa, relacionada con la epistemología de Locke y el cálculo de probabilidades (Laudan, 2005, p. 99). A lo largo del siglo XX, sin embargo, fue deliberada y lentamente desplumada de su contenido epistemológico, hasta llegar a significar simplemente «tener una alta confianza subjetiva acerca de la culpabilidad» (Laudan, 2005, p. 99). La forma jurídica se mantuvo —los jueces siguen pronunciando las palabras «más allá de una duda razonable»—, pero el contenido se evaporó, y lo que quedó en su lugar fue la convicción íntima del juzgador.</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consecuencia es que el estándar se convirtió en parasitario de su propia base: el jurado debe determinar si la culpabilidad se ha probado, pero sin regla que le diga cuándo ha alcanzado esa convicción (Laudan, 2005, p. 106). En esas circunstancias, como el autor observa, «hoy en día, el punto de vista oficial de la Corte Suprema es que una condición necesaria y suficiente para condenar al acusado en un juicio penal es una creencia firme de la culpabilidad por parte del jurado» (Laudan, 2005, p. 99). Pero esa creencia nunca se especifica. Los jueces y juristas académicos no reciben instrucción sobre qué significa «creencia firme», ni sobre cómo distinguirla de una creencia débil, ni sobre cuál es el umbral que la separa de la duda.</w:t>
      </w:r>
    </w:p>
    <w:p>
      <w:pPr>
        <w:spacing w:after="0" w:before="0" w:line="360"/>
        <w:ind w:firstLine="708"/>
        <w:jc w:val="both"/>
      </w:pPr>
      <w:r>
        <w:rPr>
          <w:rFonts w:ascii="Arial" w:cs="Arial" w:eastAsia="Arial" w:hAnsi="Arial"/>
          <w:b w:val="false"/>
          <w:bCs w:val="false"/>
          <w:i w:val="false"/>
          <w:iCs w:val="false"/>
          <w:color w:val="000000"/>
          <w:sz w:val="24"/>
          <w:szCs w:val="24"/>
        </w:rPr>
        <w:t xml:space="preserve">Dos intentos históricos de definir un estándar de prueba en el derecho penal, uno cualitativo y otro cuantitativo, han pretendido llenar ese vacío. El primer camino requiere que el juzgador tenga una «certeza moral» o «convicción que va más allá de la duda razonable» de que el acusado cometió el delito (Laudan, 2005, p. 98). El segundo, de corte académico-bayesiano, propone en su lugar un nivel de probabilidad —generalmente entre el 90% y el 95%— que debe alcanzarse antes de condenar (Laudan, 2005, p. 98). Ninguno de los dos es satisfactorio, y conviene ver por qué falla cada uno.</w:t>
      </w:r>
    </w:p>
    <w:p>
      <w:pPr>
        <w:spacing w:after="0" w:before="0" w:line="360"/>
        <w:ind w:firstLine="708"/>
        <w:jc w:val="both"/>
      </w:pPr>
      <w:r>
        <w:rPr>
          <w:rFonts w:ascii="Arial" w:cs="Arial" w:eastAsia="Arial" w:hAnsi="Arial"/>
          <w:b w:val="false"/>
          <w:bCs w:val="false"/>
          <w:i w:val="false"/>
          <w:iCs w:val="false"/>
          <w:color w:val="000000"/>
          <w:sz w:val="24"/>
          <w:szCs w:val="24"/>
        </w:rPr>
        <w:t xml:space="preserve">En el primero, la dificultad radica en que la noción de «certeza moral» o «convicción» es ella misma subjetiva. Cuando Laudan pregunta qué significa que un jurado esté «completamente persuadido», la respuesta que recibe es que depende de la creencia privada de cada jurado. Dos jurados pueden estar igualmente seguros de la culpabilidad —uno asignando una probabilidad de 90%, otro de 95%— y ambos pueden declarar que tienen «confianza» en esa estimación, sin que exista modo de saber cuál de ellos aplicó el estándar correctamente. Si el estándar es la duda razonable, la pregunta se reduce a esto: «¿estás completamente persuadido de que él lo cometió?» Si, por el contrario, han sido abogados académicos quienes han establecido que el estándar es del 90%, la pregunta que debe hacerse es: «¿tu evaluación de la probabilidad de culpabilidad es mayor del 90%?» (Laudan, 2005, p. 104). Las dos preguntas son radicalmente distintas, y la respuesta depende de cuál sea la que se plantee.</w:t>
      </w:r>
    </w:p>
    <w:p>
      <w:pPr>
        <w:spacing w:after="0" w:before="0" w:line="360"/>
        <w:ind w:firstLine="708"/>
        <w:jc w:val="both"/>
      </w:pPr>
      <w:r>
        <w:rPr>
          <w:rFonts w:ascii="Arial" w:cs="Arial" w:eastAsia="Arial" w:hAnsi="Arial"/>
          <w:b w:val="false"/>
          <w:bCs w:val="false"/>
          <w:i w:val="false"/>
          <w:iCs w:val="false"/>
          <w:color w:val="000000"/>
          <w:sz w:val="24"/>
          <w:szCs w:val="24"/>
        </w:rPr>
        <w:t xml:space="preserve">El camino cuantitativo tropieza con un obstáculo diferente. Incluso si se estableciera de forma explícita que el estándar es una probabilidad de 95%, esa precisión no eliminaría la subjetividad de la estimación inicial. Laudan (2005) ilustra el punto con un ejemplo constructor. Si un juez comienza un caso asignando una probabilidad previa de inocencia de 95%, y después examina la evidencia, llega a una estimación final de probabilidad de culpabilidad que depende de sus creencias iniciales acerca de si el acusado es culpable o inocente. Si otro juez comienza el mismo caso con una presunción de inocencia de 50%, su estimación final será más alta. En ambos casos, el resultado dependerá «entre otras cosas, de las creencias subjetivas iniciales del jurado acerca de la culpabilidad e inocencia» (Laudan, 2005, p. 101). La precisión numérica oculta una multiplicidad de creencias subjetivas que operan bajo la superficie.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1.8.3. </w:t>
      </w:r>
      <w:r>
        <w:rPr>
          <w:rFonts w:ascii="Arial" w:cs="Arial" w:eastAsia="Arial" w:hAnsi="Arial"/>
          <w:i/>
          <w:iCs/>
          <w:color w:val="000000"/>
          <w:sz w:val="24"/>
          <w:szCs w:val="24"/>
        </w:rPr>
        <w:t xml:space="preserve">Uniformidad y distribución del error</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defecto que afecta a ambas vías es que hacen depender el estándar de datos que no pueden uniformarse. En un sistema donde el estándar de prueba es la convicción subjetiva del juzgador respecto de la culpabilidad, la determinación de cuándo se ha satisfecho «dependerá inevitablemente, entre otras cosas, de las creencias subjetivas iniciales del jurado acerca de la culpabilidad o inocencia» (Laudan, 2005, p. 101). Dos jueces enfrentados a exactamente la misma evidencia pueden aplicar lo que creen es el mismo estándar y llegar a conclusiones completamente opuestas, sin que exista criterio alguno para resolver el desacuerdo. El propio autor lo enuncia sin rodeos al presentar su trabajo: en un sistema con estándares subjetivos, las pruebas que pueden convencer a uno de la culpabilidad de otro no van a persuadir a un tercero de esa culpabilidad, de modo que no cabe esperar «ni uniformidad ni justicia si cada juez utiliza sus propios criterios» (Laudan, 2005, p. 95). La apariencia de uniformidad oculta divergencias imposibles de detectar.</w:t>
      </w:r>
    </w:p>
    <w:p>
      <w:pPr>
        <w:spacing w:after="0" w:before="0" w:line="360"/>
        <w:ind w:firstLine="708"/>
        <w:jc w:val="both"/>
      </w:pPr>
      <w:r>
        <w:rPr>
          <w:rFonts w:ascii="Arial" w:cs="Arial" w:eastAsia="Arial" w:hAnsi="Arial"/>
          <w:b w:val="false"/>
          <w:bCs w:val="false"/>
          <w:i w:val="false"/>
          <w:iCs w:val="false"/>
          <w:color w:val="000000"/>
          <w:sz w:val="24"/>
          <w:szCs w:val="24"/>
        </w:rPr>
        <w:t xml:space="preserve">Hay un nivel más profundo en el que la subjetividad incapacita al estándar. Laudan (2005) sostiene que el único mecanismo para distribuir errores en favor del acusado es un estándar no subjetivo de la prueba, y que si se sitúa ese estándar en la altura correcta capturará completamente las creencias compartidas acerca de la razón apropiada de absoluciones falsas a condenas falsas (p. 112). Una regla de prueba que funciona verdaderamente cumple, así, una tarea de ingeniería social: especifica de antemano cuál es la proporción de errores que la sociedad está dispuesta a tolerar y vincula después el comportamiento del juez a esa proporción.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Esa tarea solo es posible si el estándar es independiente de la psicología individual del juez. Cuando el estándar es la convicción íntima o la confianza subjetiva, el sistema renuncia a esa capacidad, y lo que queda es un estándar parasitario del nivel de confianza que el investigador tenga respecto de la culpabilidad del acusado (Laudan, 2005, p. 106). No hay forma de saber de antemano cuál será el resultado, porque depende de datos que no pueden controlarse: las creencias privadas de cada juez acerca de lo que es probable o seguro.</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conclusión operativa resulta directamente aplicable al problema mexicano. Si el estándar de prueba fuese formulado en términos de una probabilidad específica, sería casi seguro que muchos de los jurados que han decidido que el acusado cometió el delito estarían en apuros para determinar, de una manera que no sea meramente arbitraria, si su confianza en la culpabilidad satisfizo o no las demandas impuestas por ese estándar (Laudan, 2005, p. 103). La razón es que la confianza subjetiva no se mide: nadie sabe cuánto de confianza es «90%» en términos de la experiencia vivida. Si no puede especificarse, tampoco puede verificarse, y si no puede verificarse no es un estándar sino una excusa.</w:t>
      </w:r>
    </w:p>
    <w:p>
      <w:pPr>
        <w:spacing w:after="0" w:before="0" w:line="360"/>
        <w:ind w:firstLine="708"/>
        <w:jc w:val="both"/>
      </w:pPr>
      <w:r>
        <w:rPr>
          <w:rFonts w:ascii="Arial" w:cs="Arial" w:eastAsia="Arial" w:hAnsi="Arial"/>
          <w:b w:val="false"/>
          <w:bCs w:val="false"/>
          <w:i w:val="false"/>
          <w:iCs w:val="false"/>
          <w:color w:val="000000"/>
          <w:sz w:val="24"/>
          <w:szCs w:val="24"/>
        </w:rPr>
        <w:t xml:space="preserve">El punto crítico toca el núcleo de la controlabilidad judicial. Para que un estándar funcione debe comunicar algo más que una invitación a decidir conforme a la propia conciencia: debe decir, de forma precisa, cuándo se ha alcanzado la certeza suficiente. Mientras ese decir quede implícito o privatizado en la mente del juzgador, el derecho a impugnar queda convertido en derecho a adivinar. Las partes no saben qué tenían que probar, y los jueces de apelación no saben qué tenían que revisar.</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1.9. </w:t>
      </w:r>
      <w:r>
        <w:rPr>
          <w:rFonts w:ascii="Arial" w:cs="Arial" w:eastAsia="Arial" w:hAnsi="Arial"/>
          <w:i/>
          <w:iCs/>
          <w:color w:val="000000"/>
          <w:sz w:val="24"/>
          <w:szCs w:val="24"/>
        </w:rPr>
        <w:t xml:space="preserve">Motivación como control externo de la inferencia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Una inferencia con estructura descriptible, criterios de solidez enunciables y un conjunto probatorio que debe valorarse de forma relacional siguen siendo operaciones invisibles mientras nada obligue al juzgador a exteriorizarlas. La motivación es el mecanismo que las vuelve visibles, y no se trata de un requisito formal añadido al final de la sentencia sino de la condición que convierte la valoración en una actividad controlable.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1.9.1. </w:t>
      </w:r>
      <w:r>
        <w:rPr>
          <w:rFonts w:ascii="Arial" w:cs="Arial" w:eastAsia="Arial" w:hAnsi="Arial"/>
          <w:i/>
          <w:iCs/>
          <w:color w:val="000000"/>
          <w:sz w:val="24"/>
          <w:szCs w:val="24"/>
        </w:rPr>
        <w:t xml:space="preserve">La garantía de cierre y sus dos funciones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Conviene comenzar por el diagnóstico que justifica la exigencia. Andrés Ibáñez (1992) localiza con precisión el punto ciego de la función jurisdiccional: la </w:t>
      </w:r>
      <w:r>
        <w:rPr>
          <w:rFonts w:ascii="Arial" w:cs="Arial" w:eastAsia="Arial" w:hAnsi="Arial"/>
          <w:b w:val="false"/>
          <w:bCs w:val="false"/>
          <w:i/>
          <w:iCs/>
          <w:color w:val="000000"/>
          <w:sz w:val="24"/>
          <w:szCs w:val="24"/>
        </w:rPr>
        <w:t xml:space="preserve">quaestio facti</w:t>
      </w:r>
      <w:r>
        <w:rPr>
          <w:rFonts w:ascii="Arial" w:cs="Arial" w:eastAsia="Arial" w:hAnsi="Arial"/>
          <w:b w:val="false"/>
          <w:bCs w:val="false"/>
          <w:i w:val="false"/>
          <w:iCs w:val="false"/>
          <w:color w:val="000000"/>
          <w:sz w:val="24"/>
          <w:szCs w:val="24"/>
        </w:rPr>
        <w:t xml:space="preserve"> es el momento de ejercicio del poder judicial por antonomasia, porque es en la reconstrucción o en la elaboración de los hechos donde el juez es más soberano, más difícilmente controlable, y donde, por ende, puede ser más arbitrario (p. 261). Gascón (2010) llega al mismo lugar por su propia vía, pues el juicio de hecho es tan problemático o más que el juicio de derecho, y en él la discrecionalidad del juzgador es mayor que en la interpretación de las normas, pese a que esa discrecionalidad haya pasado por alto a la mayoría de los juristas (p. 174). El desequilibrio es notable: la zona donde el poder judicial es más libre es también aquella sobre la que la cultura jurídica ha producido menos controles.</w:t>
      </w:r>
    </w:p>
    <w:p>
      <w:pPr>
        <w:spacing w:after="0" w:before="0" w:line="360"/>
        <w:ind w:firstLine="708"/>
        <w:jc w:val="both"/>
      </w:pPr>
      <w:r>
        <w:rPr>
          <w:rFonts w:ascii="Arial" w:cs="Arial" w:eastAsia="Arial" w:hAnsi="Arial"/>
          <w:b w:val="false"/>
          <w:bCs w:val="false"/>
          <w:i w:val="false"/>
          <w:iCs w:val="false"/>
          <w:color w:val="000000"/>
          <w:sz w:val="24"/>
          <w:szCs w:val="24"/>
        </w:rPr>
        <w:t xml:space="preserve">Frente a esa zona, la motivación opera como el instrumento que impide que la libertad valorativa se convierta en arbitrio. Andrés Ibáñez (1992) recupera la fórmula de Calamandrei, para quien la motivación constituye el signo más importante y típico de la racionalización de la función judicial (p. 257), y precisa por qué funciona: el simple hecho de ampliar el campo de lo observable de la decisión, no sólo para los destinatarios directos sino al mismo tiempo e inevitablemente para terceros, comporta para el autor de aquélla la exigencia de un plus de justificación del acto y una mayor exposición de éste a la opinión (pp. 257-258). No es la sanción lo que disciplina, sino la exposición.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Gascón (2010) traduce esa idea al lenguaje del modelo cognoscitivista. Si valorar consiste en verificar enunciados fácticos, entonces «el principio valorativo de la libre convicción no tiene sentido si no se conecta a su vez con la exigencia de motivación, de explicitación de las razones que apoyan la verificación de esos enunciados, pues en otro caso la libre valoración se convertiría en valoración libre, discrecional, subjetiva y arbitraria» (p. 175). La distinción entre valoración libre y libre valoración no es un juego de palabras: marca la diferencia entre un sistema que confía en el juzgador porque puede revisarlo y uno que confía porque no puede. Si la motivación no es directamente una garantía epistemológica, sí lo es indirectamente, en la medida en que permite un control sobre ese irreductible espacio de discrecionalidad que es el ámbito de la libre valoración, y constituye por ello la «garantía de cierre del sistema cognoscitivista» (Gascón, 2010, p. 177).</w:t>
      </w:r>
    </w:p>
    <w:p>
      <w:pPr>
        <w:spacing w:after="0" w:before="0" w:line="360"/>
        <w:ind w:firstLine="708"/>
        <w:jc w:val="both"/>
      </w:pPr>
      <w:r>
        <w:rPr>
          <w:rFonts w:ascii="Arial" w:cs="Arial" w:eastAsia="Arial" w:hAnsi="Arial"/>
          <w:b w:val="false"/>
          <w:bCs w:val="false"/>
          <w:i w:val="false"/>
          <w:iCs w:val="false"/>
          <w:color w:val="000000"/>
          <w:sz w:val="24"/>
          <w:szCs w:val="24"/>
        </w:rPr>
        <w:t xml:space="preserve">Interesa fijar con exactitud qué aporta y qué no aporta esa garantía. La convicción subjetiva falla en tres frentes, pues no es medida, no puede comunicarse y no puede verificarse. La motivación resuelve los dos últimos y no resuelve el primero: obliga a comunicar y hace posible verificar, pero no dice cuánto basta. Una sentencia puede estar impecablemente motivada y aplicar, sin decirlo, un umbral distinto del que aplicó la sentencia anterior sobre el mismo tipo de hechos. Motivación y estándar son, por tanto, exigencias complementarias y no intercambiables, y confundirlas conduce al error de suponer que basta escribir más para decidir mejor.</w:t>
      </w:r>
    </w:p>
    <w:p>
      <w:pPr>
        <w:spacing w:after="0" w:before="0" w:line="360"/>
        <w:ind w:firstLine="708"/>
        <w:jc w:val="both"/>
      </w:pPr>
      <w:r>
        <w:rPr>
          <w:rFonts w:ascii="Arial" w:cs="Arial" w:eastAsia="Arial" w:hAnsi="Arial"/>
          <w:b w:val="false"/>
          <w:bCs w:val="false"/>
          <w:i w:val="false"/>
          <w:iCs w:val="false"/>
          <w:color w:val="000000"/>
          <w:sz w:val="24"/>
          <w:szCs w:val="24"/>
        </w:rPr>
        <w:t xml:space="preserve">Esa garantía se despliega en dos funciones que conviene distinguir. Gascón (2010) las expone como función extraprocesal —política, democrática, vinculada al control externo de la decisión— y función endoprocesal —técnico-jurídica, vinculada al control interno mediante los recursos— (p. 178). La primera consiste en mostrar el esfuerzo realizado por el juez en el juicio de hecho y posibilitar de ese modo un control público. La segunda facilita a los órganos de revisión un conocimiento más claro y detallado de las razones del fallo, y facilita también a la parte perjudicada su eventual impugnación, hasta el punto de que la motivación llega a ser, en la fórmula de Calamandrei que la autora recoge, el espejo revelador de los errores del juzgador (pp. 179-180).</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función no puede absorber a la primera. Andrés Ibáñez (1992) sostiene que la motivación como mecanismo de garantía, en un diseño procesal de raíz constitucional, «no puede limitar su funcionalidad al ámbito de las relaciones inter partes, asumiendo necesariamente una función extraprocesal» (p. 261), de la que deriva la apertura de un ámbito de relaciones cuyos sujetos son, por un lado, el tribunal y, por otro, la totalidad de los asociados, que se constituyen en destinatarios de la sentencia e interlocutores de aquél (p. 261). Taruffo (2013) ofrece la formulación más útil para la materia electoral: la constitucionalización del deber de motivar implica que a la tradicional función endoprocesal se agregue una función extraprocesal, de modo que «la motivación representa, en efecto, la garantía de la controlabilidad del ejercicio del poder judicial fuera del contexto procesal, y entonces por parte del </w:t>
      </w:r>
      <w:r>
        <w:rPr>
          <w:rFonts w:ascii="Arial" w:cs="Arial" w:eastAsia="Arial" w:hAnsi="Arial"/>
          <w:b w:val="false"/>
          <w:bCs w:val="false"/>
          <w:i/>
          <w:iCs/>
          <w:color w:val="000000"/>
          <w:sz w:val="24"/>
          <w:szCs w:val="24"/>
        </w:rPr>
        <w:t xml:space="preserve">quivis de populo</w:t>
      </w:r>
      <w:r>
        <w:rPr>
          <w:rFonts w:ascii="Arial" w:cs="Arial" w:eastAsia="Arial" w:hAnsi="Arial"/>
          <w:b w:val="false"/>
          <w:bCs w:val="false"/>
          <w:i w:val="false"/>
          <w:iCs w:val="false"/>
          <w:color w:val="000000"/>
          <w:sz w:val="24"/>
          <w:szCs w:val="24"/>
        </w:rPr>
        <w:t xml:space="preserve"> y de la opinión pública en general» (p. 104).</w:t>
      </w:r>
    </w:p>
    <w:p>
      <w:pPr>
        <w:spacing w:after="0" w:before="0" w:line="360"/>
        <w:ind w:firstLine="708"/>
        <w:jc w:val="both"/>
      </w:pPr>
      <w:r>
        <w:rPr>
          <w:rFonts w:ascii="Arial" w:cs="Arial" w:eastAsia="Arial" w:hAnsi="Arial"/>
          <w:b w:val="false"/>
          <w:bCs w:val="false"/>
          <w:i w:val="false"/>
          <w:iCs w:val="false"/>
          <w:color w:val="000000"/>
          <w:sz w:val="24"/>
          <w:szCs w:val="24"/>
        </w:rPr>
        <w:t xml:space="preserve">Contra la objeción habitual de que ese control externo rara vez se ejerce, el autor añade una precisión decisiva: «el significado profundo de las garantías está, en efecto, en la posibilidad de que el control sea puesto en práctica, no en el hecho de que sea efectuado concretamente en cada caso individual» (Taruffo, 2013, p. 104). La garantía no depende de que alguien la use, sino de que pueda usarse. La observación resulta especialmente pertinente en el contencioso electoral, donde una sentencia que resuelve sobre la validez de una elección no afecta solo a quien impugnó y a quien fue declarado electo, sino a un cuerpo electoral que no es parte y que, sin embargo, es destinatario del resultado. Si la única función reconocida a la motivación fuese facilitar el recurso, en una materia donde muchas decisiones son terminales el deber quedaría vaciado justamente allí donde más importa. Taruffo (2013) conecta expresamente ese punto con la forma de organización política, pues la idea de la motivación como instrumento de control externo está ligada a una concepción democrática del ejercicio del poder, mientras que la imposibilidad de control sobre el fundamento de la decisión corresponde a una concepción autoritaria (pp. 107-108).</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1.9.2. </w:t>
      </w:r>
      <w:r>
        <w:rPr>
          <w:rFonts w:ascii="Arial" w:cs="Arial" w:eastAsia="Arial" w:hAnsi="Arial"/>
          <w:i/>
          <w:iCs/>
          <w:color w:val="000000"/>
          <w:sz w:val="24"/>
          <w:szCs w:val="24"/>
        </w:rPr>
        <w:t xml:space="preserve">Motivación-actividad y motivación-documento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exigencia de motivar no opera solamente después de decidir: opera sobre el modo de decidir. Andrés Ibáñez (1992) lo expresa con claridad, pues la exigencia de trasladar a terceros los verdaderos motivos de la decisión, lejos de resolverse en una simple exteriorización formal de éstos, «retroactúa sobre la propia dinámica de formación de la motivación y de la misma resolución en todos sus planos; obligando a quien la adopta a operar, ya desde el principio, con unos parámetros de racionalidad expresa y de conciencia autocrítica mucho más exigentes» (p. 291). Y remata con una frase que condensa el argumento: «no es lo mismo resolver conforme a una corazonada, que hacerlo con criterios idóneos para ser comunicados» (p. 291). El autor recoge en ese punto la observación de Ubertis, según la cual quien sabe que tiene que motivar encuentra ya el campo de las soluciones eventuales restringido al de las opciones racionalmente justificables, y se vería constreñido a rechazar una determinada opción, quizá conforme a sus principios, cuando no fuese capaz de argumentarla favorablemente (p. 291).</w:t>
      </w:r>
    </w:p>
    <w:p>
      <w:pPr>
        <w:spacing w:after="0" w:before="0" w:line="360"/>
        <w:ind w:firstLine="708"/>
        <w:jc w:val="both"/>
      </w:pPr>
      <w:r>
        <w:rPr>
          <w:rFonts w:ascii="Arial" w:cs="Arial" w:eastAsia="Arial" w:hAnsi="Arial"/>
          <w:b w:val="false"/>
          <w:bCs w:val="false"/>
          <w:i w:val="false"/>
          <w:iCs w:val="false"/>
          <w:color w:val="000000"/>
          <w:sz w:val="24"/>
          <w:szCs w:val="24"/>
        </w:rPr>
        <w:t xml:space="preserve">Gascón (2010) desarrolla la misma idea como tercera función de la motivación, respecto del propio juez, quien a sabiendas de que tiene que motivar estaría en mejores condiciones de descubrir errores de su razonamiento que pudieran haberle pasado desapercibidos (p. 180). La autora recoge de Taruffo la formulación de que la conciencia de tener que motivar «condicione la formulación de la decisión sometiéndola a controles racionales y jurídicos», y describe el efecto con precisión: la exigencia retroactúa sobre el propio </w:t>
      </w:r>
      <w:r>
        <w:rPr>
          <w:rFonts w:ascii="Arial" w:cs="Arial" w:eastAsia="Arial" w:hAnsi="Arial"/>
          <w:b w:val="false"/>
          <w:bCs w:val="false"/>
          <w:i/>
          <w:iCs/>
          <w:color w:val="000000"/>
          <w:sz w:val="24"/>
          <w:szCs w:val="24"/>
        </w:rPr>
        <w:t xml:space="preserve">iter</w:t>
      </w:r>
      <w:r>
        <w:rPr>
          <w:rFonts w:ascii="Arial" w:cs="Arial" w:eastAsia="Arial" w:hAnsi="Arial"/>
          <w:b w:val="false"/>
          <w:bCs w:val="false"/>
          <w:i w:val="false"/>
          <w:iCs w:val="false"/>
          <w:color w:val="000000"/>
          <w:sz w:val="24"/>
          <w:szCs w:val="24"/>
        </w:rPr>
        <w:t xml:space="preserve"> de adopción de la decisión provocando la expulsión de los elementos de convicción no susceptibles de justificación y propiciando que la decisión se adopte conforme a criterios aptos para ser comunicados, «en detrimento de la "corazonada", que resultará más difícil de justificar» (p. 180). Taruffo (2013) lo confirma en su propia obra: el juez que sepa que tiene que motivar será inducido a razonar correctamente aun cuando está evaluando las pruebas y formulando la decisión (p. 106). Un juzgador que sabe que deberá enunciar la máxima de experiencia empleada tenderá a escoger una máxima defendible, y uno que sabe que deberá justificar por qué descartó una prueba de descargo tenderá a examinarla antes de descartarla. La motivación no es, por ello, la última operación del razonamiento probatorio, sino una condición de todas las anteriores.</w:t>
      </w:r>
    </w:p>
    <w:p>
      <w:pPr>
        <w:spacing w:after="0" w:before="0" w:line="360"/>
        <w:ind w:firstLine="708"/>
        <w:jc w:val="both"/>
      </w:pPr>
      <w:r>
        <w:rPr>
          <w:rFonts w:ascii="Arial" w:cs="Arial" w:eastAsia="Arial" w:hAnsi="Arial"/>
          <w:b w:val="false"/>
          <w:bCs w:val="false"/>
          <w:i w:val="false"/>
          <w:iCs w:val="false"/>
          <w:color w:val="000000"/>
          <w:sz w:val="24"/>
          <w:szCs w:val="24"/>
        </w:rPr>
        <w:t xml:space="preserve">Contra esa exigencia suele oponerse que equivale a pedir un imposible, porque nadie puede reproducir por escrito el proceso mental que lo condujo a una conclusión. La objeción se disuelve mediante una distinción que Gascón (2010) formula con economía. La motivación-actividad es «el procedimiento mental que ha conducido al juez a formular como verdadero un enunciado sobre los hechos del caso», y versa por tanto sobre el contexto de descubrimiento. La motivación-documento es «el conjunto de enunciados del discurso judicial (o el documento en el que se plasman) en los que se aportan las razones que permiten aceptar otros enunciados fácticos como verdaderos», y versa sobre el contexto de justificación (p. 184). Lo que el derecho exige, y lo único que puede exigir, es la segunda.</w:t>
      </w:r>
    </w:p>
    <w:p>
      <w:pPr>
        <w:spacing w:after="0" w:before="0" w:line="360"/>
        <w:ind w:firstLine="708"/>
        <w:jc w:val="both"/>
      </w:pPr>
      <w:r>
        <w:rPr>
          <w:rFonts w:ascii="Arial" w:cs="Arial" w:eastAsia="Arial" w:hAnsi="Arial"/>
          <w:b w:val="false"/>
          <w:bCs w:val="false"/>
          <w:i w:val="false"/>
          <w:iCs w:val="false"/>
          <w:color w:val="000000"/>
          <w:sz w:val="24"/>
          <w:szCs w:val="24"/>
        </w:rPr>
        <w:t xml:space="preserve">Taruffo (2013) formula la misma distinción en términos de razonamientos. Hay que discernir entre el razonamiento con el cual el juez llega a la decisión y el razonamiento con el cual la justifica. El primero tiene carácter heurístico, avanza según hipótesis verificadas o falsificadas y se articula en una secuencia de elecciones. La motivación, en cambio, consiste en un razonamiento justificativo que presupone la decisión y está orientado a mostrar que hay buenas razones y argumentos lógicamente correctos para considerarla válida y aceptable (p. 106). Pensar que la motivación es una grabación de lo que el juez pensó constituye, para el autor, una concepción errónea (p. 106).</w:t>
      </w:r>
    </w:p>
    <w:p>
      <w:pPr>
        <w:spacing w:after="0" w:before="0" w:line="360"/>
        <w:ind w:firstLine="708"/>
        <w:jc w:val="both"/>
      </w:pPr>
      <w:r>
        <w:rPr>
          <w:rFonts w:ascii="Arial" w:cs="Arial" w:eastAsia="Arial" w:hAnsi="Arial"/>
          <w:b w:val="false"/>
          <w:bCs w:val="false"/>
          <w:i w:val="false"/>
          <w:iCs w:val="false"/>
          <w:color w:val="000000"/>
          <w:sz w:val="24"/>
          <w:szCs w:val="24"/>
        </w:rPr>
        <w:t xml:space="preserve">La distinción no autoriza, con todo, el divorcio. Gascón (2010) rechaza por igual las dos posiciones extremas. La que separa tajantemente ambas motivaciones equivale a recabar justificación racional para aquello que ha podido descubrirse de cualquier manera, y convierte la motivación en el expediente de hipocresía formal que otorga un disfraz lógico a una decisión nacida de otros móviles. La que las identifica por completo incurre en la falacia descriptivista de entender la motivación como espejo del proceso decisorio (pp. 184-186). La fórmula de cierre es «ni absoluto divorcio ni total identificación», de modo que en un modelo cognoscitivista la motivación-documento ha de coincidir con la motivación-actividad eliminando de ella los elementos no susceptibles de justificación racional (pp. 186-187). De ahí la regla operativa: «no se motiva apelando a la "íntima convicción", pues ésta no justifica nada, sino apelando a buenas razones capaces de una comunicación intersubjetiva» (p. 186). Tampoco se motiva apelando al conocimiento privado del juzgador, porque «la motivación no puede resumirse en un "esto es así porque yo lo sé"» (Gascón, 2010, p. 182), precisión que importa en materia electoral, donde la invocación de la notoriedad de ciertos hechos es frecuente y no siempre se distingue lo que es de dominio público de lo que el juzgador simplemente sabe.</w:t>
      </w:r>
    </w:p>
    <w:p>
      <w:pPr>
        <w:spacing w:after="0" w:before="0" w:line="360"/>
        <w:ind w:firstLine="708"/>
        <w:jc w:val="both"/>
      </w:pPr>
      <w:r>
        <w:rPr>
          <w:rFonts w:ascii="Arial" w:cs="Arial" w:eastAsia="Arial" w:hAnsi="Arial"/>
          <w:b w:val="false"/>
          <w:bCs w:val="false"/>
          <w:i w:val="false"/>
          <w:iCs w:val="false"/>
          <w:color w:val="000000"/>
          <w:sz w:val="24"/>
          <w:szCs w:val="24"/>
        </w:rPr>
        <w:t xml:space="preserve">De la distinción se sigue, por último, un rendimiento que desactiva la objeción de que exigir motivación convierte al órgano revisor en una nueva instancia sobre los hechos. Gascón (2010) precisa que «el control sobre la motivación sólo enjuicia si las argumentaciones esgrimidas en favor de una decisión permiten sostener ésta, de manera que si la motivación no resulta adecuada no se le abre al órgano de control […] la vía para valorar él mismo la prueba —y por lo tanto adoptar una nueva decisión—, sino sólo la posibilidad de poner de manifiesto el vicio de motivación» (p. 187). Controlar la motivación no es revalorar: es verificar si lo escrito sostiene lo resuelto.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1.9.3. </w:t>
      </w:r>
      <w:r>
        <w:rPr>
          <w:rFonts w:ascii="Arial" w:cs="Arial" w:eastAsia="Arial" w:hAnsi="Arial"/>
          <w:i/>
          <w:iCs/>
          <w:color w:val="000000"/>
          <w:sz w:val="24"/>
          <w:szCs w:val="24"/>
        </w:rPr>
        <w:t xml:space="preserve">Completitud y contenido exigible</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Establecido qué se controla, queda por determinar sobre qué debe recaer la justificación. La respuesta doctrinal es unánime y exigente: sobre todo. Taruffo (2013) enuncia el principio de completitud. Si la motivación tiene que hacer posible el control de las razones por las cuales el juez ejerció de cierta manera sus poderes decisorios, entonces «la motivación debe justificar todas las elecciones que el juez realizó para llegar a la decisión final. Si algunas elecciones quedan faltas de justificación, de hecho, eso implica que el control sobre su fundamento racional no es posible» (p. 104). El principio se despliega en la distinción entre justificación interna —la conexión lógica entre premisas y conclusión— y justificación externa —la elección de las premisas de las que la decisión se origina— (p. 104; también Gascón, 2010, p. 172). A la justificación externa de la premisa fáctica atañen las razones por las que el juzgador reconstruyó de determinada manera los hechos, lo que implica proveer argumentos racionales relativos a cómo evaluó las pruebas y a las inferencias lógicas mediante las cuales llegó a sus conclusiones (Taruffo, 2013, p. 105).</w:t>
      </w:r>
    </w:p>
    <w:p>
      <w:pPr>
        <w:spacing w:after="0" w:before="0" w:line="360"/>
        <w:ind w:firstLine="708"/>
        <w:jc w:val="both"/>
      </w:pPr>
      <w:r>
        <w:rPr>
          <w:rFonts w:ascii="Arial" w:cs="Arial" w:eastAsia="Arial" w:hAnsi="Arial"/>
          <w:b w:val="false"/>
          <w:bCs w:val="false"/>
          <w:i w:val="false"/>
          <w:iCs w:val="false"/>
          <w:color w:val="000000"/>
          <w:sz w:val="24"/>
          <w:szCs w:val="24"/>
        </w:rPr>
        <w:t xml:space="preserve">De ahí derivan dos exigencias concretas. La primera recae sobre la valoración de cada elemento: el juez tiene que explicar por qué consideró confiable o no a un testigo, y «debe explicar con base en qué inferencias consideró que un indicio dado lleva a una determinada conclusión relativa a un hecho de la causa» (Taruffo, 2013, p. 105). La segunda recae sobre lo descartado. Es necesario que el juez explicite su motivación no sólo respecto de las pruebas que evaluó positivamente, sino también, y especialmente, respecto de aquellas que juzgó inatendibles, en especial si eran contrarias a la reconstrucción que él mismo elaboró. Admitir que motive sólo con base en las pruebas favorables implica el riesgo del </w:t>
      </w:r>
      <w:r>
        <w:rPr>
          <w:rFonts w:ascii="Arial" w:cs="Arial" w:eastAsia="Arial" w:hAnsi="Arial"/>
          <w:b w:val="false"/>
          <w:bCs w:val="false"/>
          <w:i/>
          <w:iCs/>
          <w:color w:val="000000"/>
          <w:sz w:val="24"/>
          <w:szCs w:val="24"/>
        </w:rPr>
        <w:t xml:space="preserve">confirmation bias</w:t>
      </w:r>
      <w:r>
        <w:rPr>
          <w:rFonts w:ascii="Arial" w:cs="Arial" w:eastAsia="Arial" w:hAnsi="Arial"/>
          <w:b w:val="false"/>
          <w:bCs w:val="false"/>
          <w:i w:val="false"/>
          <w:iCs w:val="false"/>
          <w:color w:val="000000"/>
          <w:sz w:val="24"/>
          <w:szCs w:val="24"/>
        </w:rPr>
        <w:t xml:space="preserve">, propio de quien, al querer confirmar una evaluación propia, selecciona las informaciones disponibles eligiendo sólo las favorables y descartando </w:t>
      </w:r>
      <w:r>
        <w:rPr>
          <w:rFonts w:ascii="Arial" w:cs="Arial" w:eastAsia="Arial" w:hAnsi="Arial"/>
          <w:b w:val="false"/>
          <w:bCs w:val="false"/>
          <w:i/>
          <w:iCs/>
          <w:color w:val="000000"/>
          <w:sz w:val="24"/>
          <w:szCs w:val="24"/>
        </w:rPr>
        <w:t xml:space="preserve">a priori</w:t>
      </w:r>
      <w:r>
        <w:rPr>
          <w:rFonts w:ascii="Arial" w:cs="Arial" w:eastAsia="Arial" w:hAnsi="Arial"/>
          <w:b w:val="false"/>
          <w:bCs w:val="false"/>
          <w:i w:val="false"/>
          <w:iCs w:val="false"/>
          <w:color w:val="000000"/>
          <w:sz w:val="24"/>
          <w:szCs w:val="24"/>
        </w:rPr>
        <w:t xml:space="preserve"> las contrarias (p. 105). Por eso «la evaluación negativa de las pruebas contrarias es indispensable para justificar el fundamento de la decisión» (pp. 105-106).</w:t>
      </w:r>
    </w:p>
    <w:p>
      <w:pPr>
        <w:spacing w:after="0" w:before="0" w:line="360"/>
        <w:ind w:firstLine="708"/>
        <w:jc w:val="both"/>
      </w:pPr>
      <w:r>
        <w:rPr>
          <w:rFonts w:ascii="Arial" w:cs="Arial" w:eastAsia="Arial" w:hAnsi="Arial"/>
          <w:b w:val="false"/>
          <w:bCs w:val="false"/>
          <w:i w:val="false"/>
          <w:iCs w:val="false"/>
          <w:color w:val="000000"/>
          <w:sz w:val="24"/>
          <w:szCs w:val="24"/>
        </w:rPr>
        <w:t xml:space="preserve">Gascón (2010) extiende la exigencia hacia los intentos de rebajarla. El deber de motivar alcanza a todas las pruebas, y aunque hay exenciones fundadas —los hechos notorios, los hechos admitidos en el proceso civil, las constataciones—, no todas las rebajas merecen el mismo juicio (pp. 180-183). La que la autora rechaza es precisamente la que la práctica forense aplica con más frecuencia: reservar la exigencia de motivación para la prueba indiciaria y aliviarla en la llamada prueba directa. El argumento coincide con el que describe la estructura de la inferencia: «La prueba directa tiene también naturaleza inductiva, y lo único que la separa de la […] prueba indirecta o indiciaria es el número de pasos inferenciales de que consta. Nada la exime, por lo tanto, de la exigencia de motivación» (p. 183). Andrés Ibáñez (1992) llega al mismo punto y advierte de lo que verdaderamente ocurre cuando se admite la llamada motivación implícita: «la renuncia no es, como parece querer sugerirse, (solo) a la expresión de la motivación, sino a la motivación misma» (p. 290).</w:t>
      </w:r>
    </w:p>
    <w:p>
      <w:pPr>
        <w:spacing w:after="0" w:before="0" w:line="360"/>
        <w:ind w:firstLine="708"/>
        <w:jc w:val="both"/>
      </w:pPr>
      <w:r>
        <w:rPr>
          <w:rFonts w:ascii="Arial" w:cs="Arial" w:eastAsia="Arial" w:hAnsi="Arial"/>
          <w:b w:val="false"/>
          <w:bCs w:val="false"/>
          <w:i w:val="false"/>
          <w:iCs w:val="false"/>
          <w:color w:val="000000"/>
          <w:sz w:val="24"/>
          <w:szCs w:val="24"/>
        </w:rPr>
        <w:t xml:space="preserve">Un supuesto exige precisión, porque toca de cerca el mandato de valoración conjunta. Gascón (2010) denuncia la figura jurisprudencial de la apreciación conjunta de la prueba, que en la práctica «no es, pues, al final, sino un subterfugio "formal" que hace pasar por discurso justificatorio lo que no lo es en absoluto; un expediente, en fin, que propicia y encubre la ausencia de motivación» (p. 177). La objeción podría parecer dirigida contra la valoración relacional que el artículo 16, párrafo 3, ordena, y no lo está. Lo que la autora denuncia es la declaración genérica de hechos probados que invoca el conjunto para no razonar ninguno de sus elementos. La agregación analítica valora primero cada elemento y determina después el grado de corroboración que el conjunto confiere a la hipótesis. La primera sustituye la motivación por una fórmula; la segunda la multiplica, porque obliga a justificar tanto los elementos como la relación que guardan entre sí.</w:t>
      </w:r>
    </w:p>
    <w:p>
      <w:pPr>
        <w:spacing w:after="0" w:before="0" w:line="360"/>
        <w:ind w:firstLine="708"/>
        <w:jc w:val="both"/>
      </w:pPr>
      <w:r>
        <w:rPr>
          <w:rFonts w:ascii="Arial" w:cs="Arial" w:eastAsia="Arial" w:hAnsi="Arial"/>
          <w:b w:val="false"/>
          <w:bCs w:val="false"/>
          <w:i w:val="false"/>
          <w:iCs w:val="false"/>
          <w:color w:val="000000"/>
          <w:sz w:val="24"/>
          <w:szCs w:val="24"/>
        </w:rPr>
        <w:t xml:space="preserve">Resta convertir lo anterior en contenido exigible. Gascón (2010) lo ofrece al examinar qué exige la motivación de una hipótesis fáctica, que es el tipo de enunciado con el que opera la prueba por indicios. Una hipótesis está justificada si no ha sido refutada y es confirmada por las pruebas disponibles más que cualquier otra, de modo que están presentes en esa justificación tres elementos: no refutación, confirmación y mayor confirmación que cualquier otra hipótesis sobre los mismos hechos (pp. 195-196). Cada elemento impone deberes precisos. Justificar que la hipótesis no ha sido refutada supone demostrar que no ha habido contrapruebas o que las eventuales contrapruebas han sido destruidas (p. 196). Justificar que está confirmada requiere tres operaciones: exponer y justificar las pruebas o indicios de los que se parte, exponer y justificar la ley general —máxima de experiencia— de la que se parte, y mostrar que esos indicios constituyen una instancia particular del antecedente de esa ley general (p. 196). A tal efecto no se trata sólo de la consideración de cada concreto indicio, sino también de la consideración de todos los indicios en su conjunto, y el grado de confirmación de una hipótesis depende, con Hempel, no sólo de la cantidad de datos favorables que la apoyen sino también de su variedad (pp. 196-197). Justificar, por fin, que la hipótesis está más confirmada que sus rivales exige explicar las razones por las que se eligió una y se abandonó la otra, y afecta incluso a la forma de estructurar el razonamiento en la sentencia, que «debe reflejar la confrontación de las hipótesis» (p. 197). En el proceso penal, donde la exigencia probatoria es mayor, la autora recoge de Ferrajoli que la condena sólo resulta adecuadamente justificada si, además de apoyar la hipótesis acusatoria con una pluralidad de confirmaciones no contradichas por ninguna contraprueba, está en condiciones de desmentir con adecuadas contrapruebas todas las contrahipótesis planteadas y planteables (p. 199).</w:t>
      </w:r>
    </w:p>
    <w:p>
      <w:pPr>
        <w:spacing w:after="0" w:before="0" w:line="360"/>
        <w:ind w:firstLine="708"/>
        <w:jc w:val="both"/>
      </w:pPr>
      <w:r>
        <w:rPr>
          <w:rFonts w:ascii="Arial" w:cs="Arial" w:eastAsia="Arial" w:hAnsi="Arial"/>
          <w:b w:val="false"/>
          <w:bCs w:val="false"/>
          <w:i w:val="false"/>
          <w:iCs w:val="false"/>
          <w:color w:val="000000"/>
          <w:sz w:val="24"/>
          <w:szCs w:val="24"/>
        </w:rPr>
        <w:t xml:space="preserve">Andrés Ibáñez (1992) formula la misma tríada desde la exposición del modelo inductivo y agrega dos reglas auxiliares de rendimiento inmediato. Para que la hipótesis pueda considerarse válida se precisa una pluralidad de confirmaciones, es preciso que resista las contrapruebas —una sola contraprueba eficaz basta para desvirtuarla— y tienen que resultar desvirtuadas todas las hipótesis alternativas (p. 284). A ello suma que cuanto mayor es la distancia y, por tanto, mayor el número de inferencias necesarias para derivar de los hechos probatorios el </w:t>
      </w:r>
      <w:r>
        <w:rPr>
          <w:rFonts w:ascii="Arial" w:cs="Arial" w:eastAsia="Arial" w:hAnsi="Arial"/>
          <w:b w:val="false"/>
          <w:bCs w:val="false"/>
          <w:i/>
          <w:iCs/>
          <w:color w:val="000000"/>
          <w:sz w:val="24"/>
          <w:szCs w:val="24"/>
        </w:rPr>
        <w:t xml:space="preserve">thema probandi</w:t>
      </w:r>
      <w:r>
        <w:rPr>
          <w:rFonts w:ascii="Arial" w:cs="Arial" w:eastAsia="Arial" w:hAnsi="Arial"/>
          <w:b w:val="false"/>
          <w:bCs w:val="false"/>
          <w:i w:val="false"/>
          <w:iCs w:val="false"/>
          <w:color w:val="000000"/>
          <w:sz w:val="24"/>
          <w:szCs w:val="24"/>
        </w:rPr>
        <w:t xml:space="preserve">, menor es el grado de probabilidad de la inducción probatoria, y que prueban más las pruebas que son más ricas en contenido empírico (p. 284). Sobre las máximas de experiencia precisa el rendimiento concreto de la exigencia: ordenar el razonamiento en forma justificativa obliga al juzgador a ordenar el material probatorio ya contrastado, a verificar la forma en que lo ha sido y a hacer explícitas las máximas de experiencia empleadas (p. 286).</w:t>
      </w:r>
    </w:p>
    <w:p>
      <w:pPr>
        <w:spacing w:after="0" w:before="0" w:line="360"/>
        <w:ind w:firstLine="708"/>
        <w:jc w:val="both"/>
      </w:pPr>
      <w:r>
        <w:rPr>
          <w:rFonts w:ascii="Arial" w:cs="Arial" w:eastAsia="Arial" w:hAnsi="Arial"/>
          <w:b w:val="false"/>
          <w:bCs w:val="false"/>
          <w:i w:val="false"/>
          <w:iCs w:val="false"/>
          <w:color w:val="000000"/>
          <w:sz w:val="24"/>
          <w:szCs w:val="24"/>
        </w:rPr>
        <w:t xml:space="preserve">Falta el problema del órgano que controla. Andrés Ibáñez (1992) desmonta la coartada que con más frecuencia se opone a la revisión del juicio de hecho. La inmediación «es, qué duda cabe, una garantía, pero sólo de carácter instrumental, preordenada a hacer posible a partir del contacto directo, una valoración racional de los actos probatorios, que pueda a su vez ser racionalmente enjuiciada por terceros» (p. 297). Cuando se la usa como barrera para vetar el acceso al examen del curso valorativo del tribunal, «se convierte en una injustificable coartada, primero para propiciar que el juez oculte sus razones; y, después, para negar legitimidad a cualquier tentativa de fiscalizarlas», con lo que acaba operando como paradójica garantía de discrecionalidad judicial incontrolada (p. 297). La salida consiste en distinguir el juicio sobre el hecho del juicio sobre el juicio, distinción que el autor toma de Ferrajoli y que permite admitir el control lógico sobre la adecuación de la motivación en materia de hecho, esto es, sobre la carencia de confirmaciones o sobre la presencia o no experimentación de contrapruebas (pp. 296-298).</w:t>
      </w:r>
    </w:p>
    <w:p>
      <w:pPr>
        <w:spacing w:after="0" w:before="0" w:line="360"/>
        <w:ind w:firstLine="708"/>
        <w:jc w:val="both"/>
      </w:pPr>
      <w:r>
        <w:rPr>
          <w:rFonts w:ascii="Arial" w:cs="Arial" w:eastAsia="Arial" w:hAnsi="Arial"/>
          <w:b w:val="false"/>
          <w:bCs w:val="false"/>
          <w:i w:val="false"/>
          <w:iCs w:val="false"/>
          <w:color w:val="000000"/>
          <w:sz w:val="24"/>
          <w:szCs w:val="24"/>
        </w:rPr>
        <w:t xml:space="preserve">Una formulación jurisprudencial que el autor transcribe merece registro, porque su vocabulario coincide de manera casi literal con el del derecho mexicano. Una resolución del Tribunal Supremo español de 1989 declaró controlable un «segundo nivel de valoración judicial», relativo a las deducciones e inducciones que el tribunal realiza a partir de los hechos percibidos directamente, y razonó que esas inferencias pueden controlarse «precisamente porque no dependen sustancialmente de la inmediación, sino de la corrección del razonamiento que se debe fundar en las reglas de la lógica, en los principios de la experiencia y, en su caso, en conocimientos científicos» (p. 298). El artículo 16, párrafo 1, de la Ley General del Sistema de Medios de Impugnación en Materia Electoral ordena valorar conforme a las reglas de la lógica, la sana crítica y la experiencia. Si esos son los patrones que la ley impone, esos mismos son los patrones respecto de los cuales la valoración puede ser revisada: el mandato legal de valorar de cierto modo es, al mismo tiempo, el título para controlar que se haya valorado de ese modo.</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consecuencia final la enuncia el propio Andrés Ibáñez (1992). El defecto de motivación produce indefensión y encarna una forma de ejercicio arbitrario de un poder público, y ello no sólo en el caso de motivación incorrecta, sino también en el de pura y simple falta de expresión de la motivación (p. 299). Taruffo (2013) cierra el círculo desde el otro extremo: «a la </w:t>
      </w:r>
      <w:r>
        <w:rPr>
          <w:rFonts w:ascii="Arial" w:cs="Arial" w:eastAsia="Arial" w:hAnsi="Arial"/>
          <w:b w:val="false"/>
          <w:bCs w:val="false"/>
          <w:i/>
          <w:iCs/>
          <w:color w:val="000000"/>
          <w:sz w:val="24"/>
          <w:szCs w:val="24"/>
        </w:rPr>
        <w:t xml:space="preserve">intime conviction</w:t>
      </w:r>
      <w:r>
        <w:rPr>
          <w:rFonts w:ascii="Arial" w:cs="Arial" w:eastAsia="Arial" w:hAnsi="Arial"/>
          <w:b w:val="false"/>
          <w:bCs w:val="false"/>
          <w:i w:val="false"/>
          <w:iCs w:val="false"/>
          <w:color w:val="000000"/>
          <w:sz w:val="24"/>
          <w:szCs w:val="24"/>
        </w:rPr>
        <w:t xml:space="preserve"> sólo puede corresponderle una falta de motivación o una motivación ficticia» (p. 107). Las dos afirmaciones describen los dos polos de un mismo continuo. En un extremo, la sentencia que motiva mal; en el otro, la que no motiva. Y entre ambas, la que clausura el análisis antes de tener que motivar, porque declara inoperante el agravio y con ello se ahorra decir cuánta prueba habría bastado.</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1.10. </w:t>
      </w:r>
      <w:r>
        <w:rPr>
          <w:rFonts w:ascii="Arial" w:cs="Arial" w:eastAsia="Arial" w:hAnsi="Arial"/>
          <w:i/>
          <w:iCs/>
          <w:color w:val="000000"/>
          <w:sz w:val="24"/>
          <w:szCs w:val="24"/>
        </w:rPr>
        <w:t xml:space="preserve">Recapitulación: nueve categorías operativas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recorrido por las categorías de la epistemología jurídica no perseguía una exposición panorámica, sino la construcción de un instrumento. Su resultado se condensa en nueve enunciados, cada uno acompañado de la pregunta de control que genera. Ese formato responde a una exigencia interna del planteamiento: una categoría que no se traduce en una pregunta verificable no sirve para controlar nada, y sería incoherente reprochar a los tribunales la vaguedad de sus criterios empleando criterios igualmente vagos.</w:t>
      </w:r>
    </w:p>
    <w:p>
      <w:pPr>
        <w:spacing w:after="0" w:before="0" w:line="360"/>
        <w:ind w:firstLine="708"/>
        <w:jc w:val="both"/>
      </w:pPr>
      <w:r>
        <w:rPr>
          <w:rFonts w:ascii="Arial" w:cs="Arial" w:eastAsia="Arial" w:hAnsi="Arial"/>
          <w:b w:val="false"/>
          <w:bCs w:val="false"/>
          <w:i w:val="false"/>
          <w:iCs w:val="false"/>
          <w:color w:val="000000"/>
          <w:sz w:val="24"/>
          <w:szCs w:val="24"/>
        </w:rPr>
        <w:t xml:space="preserve">Conviene advertir el estatuto de lo que sigue. Las nueve categorías no son una doctrina ajena importada en bloque. Siete reproducen tesis sostenidas por los autores del corpus y una octava —la sexta— resulta de una operación de deslinde entre posiciones enfrentadas. La novena, que ordena las anteriores en forma de rejilla, es propia y de ella se responde. Ninguna de las nueve determina el resultado de un caso; todas determinan qué debe constar en una sentencia para que el resultado pueda discutirse.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1.10.1. </w:t>
      </w:r>
      <w:r>
        <w:rPr>
          <w:rFonts w:ascii="Arial" w:cs="Arial" w:eastAsia="Arial" w:hAnsi="Arial"/>
          <w:i/>
          <w:iCs/>
          <w:color w:val="000000"/>
          <w:sz w:val="24"/>
          <w:szCs w:val="24"/>
        </w:rPr>
        <w:t xml:space="preserve">Las nueve categorías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iCs/>
          <w:color w:val="000000"/>
          <w:sz w:val="24"/>
          <w:szCs w:val="24"/>
        </w:rPr>
        <w:t xml:space="preserve">Primera. Falibilidad controlable.</w:t>
      </w:r>
      <w:r>
        <w:rPr>
          <w:rFonts w:ascii="Arial" w:cs="Arial" w:eastAsia="Arial" w:hAnsi="Arial"/>
          <w:b w:val="false"/>
          <w:bCs w:val="false"/>
          <w:i w:val="false"/>
          <w:iCs w:val="false"/>
          <w:color w:val="000000"/>
          <w:sz w:val="24"/>
          <w:szCs w:val="24"/>
        </w:rPr>
        <w:t xml:space="preserve"> La fijación judicial de los hechos es una operación de conocimiento, susceptible de acierto y de error, y por ello sujeta a garantías epistemológicas. Sostener lo contrario, desde el realismo ingenuo o desde el escepticismo, conduce por caminos opuestos al mismo corolario: un juez infalible y, por tanto, incontrolable. La racionalidad probatoria no es un rasgo definitorio de la función de juzgar sino una conquista histórica, y lo conquistado puede perderse sin que ninguna norma se derogue.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¿la sentencia trata su declaración de hechos como el resultado de una averiguación que pudo salir mal, o como un acto que se agota en su propia enunciación?</w:t>
      </w:r>
    </w:p>
    <w:p>
      <w:pPr>
        <w:spacing w:after="0" w:before="0" w:line="360"/>
        <w:ind w:firstLine="708"/>
        <w:jc w:val="both"/>
      </w:pPr>
      <w:r>
        <w:rPr>
          <w:rFonts w:ascii="Arial" w:cs="Arial" w:eastAsia="Arial" w:hAnsi="Arial"/>
          <w:b w:val="false"/>
          <w:bCs w:val="false"/>
          <w:i/>
          <w:iCs/>
          <w:color w:val="000000"/>
          <w:sz w:val="24"/>
          <w:szCs w:val="24"/>
        </w:rPr>
        <w:t xml:space="preserve">Segunda. Función epistémica y regla de juicio.</w:t>
      </w:r>
      <w:r>
        <w:rPr>
          <w:rFonts w:ascii="Arial" w:cs="Arial" w:eastAsia="Arial" w:hAnsi="Arial"/>
          <w:b w:val="false"/>
          <w:bCs w:val="false"/>
          <w:i w:val="false"/>
          <w:iCs w:val="false"/>
          <w:color w:val="000000"/>
          <w:sz w:val="24"/>
          <w:szCs w:val="24"/>
        </w:rPr>
        <w:t xml:space="preserve"> La averiguación de la verdad es condición necesaria —aunque no suficiente— de la justicia de la decisión, y la prueba es el instrumento epistémico exclusivo dentro del proceso. Cuando el material no alcanza, el juzgador dispone de una salida legítima y nombrable: declararlo y resolver conforme a la carga de la prueba. Lo que no resulta admisible es omitir la valoración y omitir a la vez la invocación de esa regla de juicio.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¿la sentencia valoró el material, o cumplió las formas del rito sin ejecutar la operación de conocimiento que las justifica? Y si lo declaró insuficiente, ¿dijo conforme a qué regla resolvía entonces?</w:t>
      </w:r>
    </w:p>
    <w:p>
      <w:pPr>
        <w:spacing w:after="0" w:before="0" w:line="360"/>
        <w:ind w:firstLine="708"/>
        <w:jc w:val="both"/>
      </w:pPr>
      <w:r>
        <w:rPr>
          <w:rFonts w:ascii="Arial" w:cs="Arial" w:eastAsia="Arial" w:hAnsi="Arial"/>
          <w:b w:val="false"/>
          <w:bCs w:val="false"/>
          <w:i/>
          <w:iCs/>
          <w:color w:val="000000"/>
          <w:sz w:val="24"/>
          <w:szCs w:val="24"/>
        </w:rPr>
        <w:t xml:space="preserve">Tercera. Los tres momentos.</w:t>
      </w:r>
      <w:r>
        <w:rPr>
          <w:rFonts w:ascii="Arial" w:cs="Arial" w:eastAsia="Arial" w:hAnsi="Arial"/>
          <w:b w:val="false"/>
          <w:bCs w:val="false"/>
          <w:i w:val="false"/>
          <w:iCs w:val="false"/>
          <w:color w:val="000000"/>
          <w:sz w:val="24"/>
          <w:szCs w:val="24"/>
        </w:rPr>
        <w:t xml:space="preserve"> La actividad probatoria se descompone en conformación del conjunto de elementos de juicio, valoración de esos elementos y adopción de la decisión. Los tres son lógicamente distintos y sucesivos, aunque en la práctica se presenten entrelazados, y cada uno se rige por criterios diferentes. Describir mal el conjunto es un defecto del primer momento; no relacionar los elementos lo es del segundo; concluir que no basta sin decir cuánto habría bastado lo es del tercero. Los tres suelen presentarse juntos bajo una misma fórmula de rechazo.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¿a qué momento pertenece cada defecto que la sentencia presenta, y se están confundiendo entre sí?</w:t>
      </w:r>
    </w:p>
    <w:p>
      <w:pPr>
        <w:spacing w:after="0" w:before="0" w:line="360"/>
        <w:ind w:firstLine="708"/>
        <w:jc w:val="both"/>
      </w:pPr>
      <w:r>
        <w:rPr>
          <w:rFonts w:ascii="Arial" w:cs="Arial" w:eastAsia="Arial" w:hAnsi="Arial"/>
          <w:b w:val="false"/>
          <w:bCs w:val="false"/>
          <w:i/>
          <w:iCs/>
          <w:color w:val="000000"/>
          <w:sz w:val="24"/>
          <w:szCs w:val="24"/>
        </w:rPr>
        <w:t xml:space="preserve">Cuarta. Estructura de la inferencia.</w:t>
      </w:r>
      <w:r>
        <w:rPr>
          <w:rFonts w:ascii="Arial" w:cs="Arial" w:eastAsia="Arial" w:hAnsi="Arial"/>
          <w:b w:val="false"/>
          <w:bCs w:val="false"/>
          <w:i w:val="false"/>
          <w:iCs w:val="false"/>
          <w:color w:val="000000"/>
          <w:sz w:val="24"/>
          <w:szCs w:val="24"/>
        </w:rPr>
        <w:t xml:space="preserve"> Toda inferencia probatoria se compone de razones —los hechos probatorios—, una pretensión —la hipótesis a probar—, una garantía que explica por qué aquéllas apoyan a ésta, y un respaldo que sostiene la garantía. La operación rara vez consta de un solo paso: encadena inferencias, y cada eslabón reproduce la misma estructura y puede fallar por su cuenta. La falta de cada elemento produce un vicio distinto, lo que permite localizar el error en lugar de descalificar el razonamiento en bloque.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ante cada conclusión fáctica, ¿cuáles fueron las razones, cuál la garantía y cuál el respaldo, y cuántos eslabones median entre el hecho probatorio y el hecho probado?</w:t>
      </w:r>
    </w:p>
    <w:p>
      <w:pPr>
        <w:spacing w:after="0" w:before="0" w:line="360"/>
        <w:ind w:firstLine="708"/>
        <w:jc w:val="both"/>
      </w:pPr>
      <w:r>
        <w:rPr>
          <w:rFonts w:ascii="Arial" w:cs="Arial" w:eastAsia="Arial" w:hAnsi="Arial"/>
          <w:b w:val="false"/>
          <w:bCs w:val="false"/>
          <w:i/>
          <w:iCs/>
          <w:color w:val="000000"/>
          <w:sz w:val="24"/>
          <w:szCs w:val="24"/>
        </w:rPr>
        <w:t xml:space="preserve">Quinta. Criterios graduales de solidez.</w:t>
      </w:r>
      <w:r>
        <w:rPr>
          <w:rFonts w:ascii="Arial" w:cs="Arial" w:eastAsia="Arial" w:hAnsi="Arial"/>
          <w:b w:val="false"/>
          <w:bCs w:val="false"/>
          <w:i w:val="false"/>
          <w:iCs w:val="false"/>
          <w:color w:val="000000"/>
          <w:sz w:val="24"/>
          <w:szCs w:val="24"/>
        </w:rPr>
        <w:t xml:space="preserve"> La solidez de la inferencia admite criterios verificables desde fuera de la sentencia, ordenados según el elemento al que se refieren: fiabilidad, suficiencia, variedad y pertinencia de los hechos probatorios; fundamento y grado de probabilidad causal de la garantía; no refutación, confirmación de las hipótesis derivadas, eliminación de las alternativas, coherencia y simplicidad de la hipótesis. La solidez es gradual en dos sentidos, porque pueden concurrir más o menos criterios y cada uno puede satisfacerse en mayor o menor medida. De esa doble gradualidad depende que la rejilla no degenere en una prueba tasada de nuevo cuño.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¿examinó la sentencia la fiabilidad de cada fuente antes de pronunciarse sobre su valor, y utilizó la variedad del material para cerrar explicaciones rivales o se limitó a contar elementos?</w:t>
      </w:r>
    </w:p>
    <w:p>
      <w:pPr>
        <w:spacing w:after="0" w:before="0" w:line="360"/>
        <w:ind w:firstLine="708"/>
        <w:jc w:val="both"/>
      </w:pPr>
      <w:r>
        <w:rPr>
          <w:rFonts w:ascii="Arial" w:cs="Arial" w:eastAsia="Arial" w:hAnsi="Arial"/>
          <w:b w:val="false"/>
          <w:bCs w:val="false"/>
          <w:i/>
          <w:iCs/>
          <w:color w:val="000000"/>
          <w:sz w:val="24"/>
          <w:szCs w:val="24"/>
        </w:rPr>
        <w:t xml:space="preserve">Sexta. Agregación analítica del conjunto.</w:t>
      </w:r>
      <w:r>
        <w:rPr>
          <w:rFonts w:ascii="Arial" w:cs="Arial" w:eastAsia="Arial" w:hAnsi="Arial"/>
          <w:b w:val="false"/>
          <w:bCs w:val="false"/>
          <w:i w:val="false"/>
          <w:iCs w:val="false"/>
          <w:color w:val="000000"/>
          <w:sz w:val="24"/>
          <w:szCs w:val="24"/>
        </w:rPr>
        <w:t xml:space="preserve"> El conjunto probatorio aporta algo que sus elementos aislados no aportan, pero no por la vía que el holismo narrativo sugiere. Lo que el conjunto hace es cerrar vías de escape: elementos de origen distinto eliminan hipótesis alternativas que elementos homogéneos, por numerosos que sean, dejarían en pie. De ahí la fórmula que gobierna la adminiculación: valorar primero cada elemento y determinar después el grado de corroboración que el conjunto confiere a la hipótesis. La categoría se construyó deslindándola de dos usos que la desnaturalizan: la apreciación global que sustituye el examen de los elementos por la elección del relato más convincente, y la fórmula de la valoración conjunta empleada para no razonar ninguno de ellos, que Gascón (2010) describe como un expediente que propicia y encubre la ausencia de motivación (p. 177).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¿valoró la sentencia individualmente y en conjunto, o redujo a una sola unidad de valoración elementos de origen independiente?</w:t>
      </w:r>
    </w:p>
    <w:p>
      <w:pPr>
        <w:spacing w:after="0" w:before="0" w:line="360"/>
        <w:ind w:firstLine="708"/>
        <w:jc w:val="both"/>
      </w:pPr>
      <w:r>
        <w:rPr>
          <w:rFonts w:ascii="Arial" w:cs="Arial" w:eastAsia="Arial" w:hAnsi="Arial"/>
          <w:b w:val="false"/>
          <w:bCs w:val="false"/>
          <w:i/>
          <w:iCs/>
          <w:color w:val="000000"/>
          <w:sz w:val="24"/>
          <w:szCs w:val="24"/>
        </w:rPr>
        <w:t xml:space="preserve">Séptima. La libre convicción es un principio negativo.</w:t>
      </w:r>
      <w:r>
        <w:rPr>
          <w:rFonts w:ascii="Arial" w:cs="Arial" w:eastAsia="Arial" w:hAnsi="Arial"/>
          <w:b w:val="false"/>
          <w:bCs w:val="false"/>
          <w:i w:val="false"/>
          <w:iCs w:val="false"/>
          <w:color w:val="000000"/>
          <w:sz w:val="24"/>
          <w:szCs w:val="24"/>
        </w:rPr>
        <w:t xml:space="preserve"> La libre convicción consiste en el rechazo de las pruebas legales como suficientes para determinar la decisión, y en eso se agota. Es un principio metodológico negativo, no un criterio positivo que diga cómo debe valorarse; y la sana crítica nunca fue un criterio sustantivo, sino una remisión a máximas de experiencia que siguen debiendo enunciarse. Invocar cualquiera de las dos como fundamento de una valoración equivale a nombrar el espacio donde la justificación debía estar.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¿la sentencia invoca la libre convicción, la sana crítica o la experiencia como si fueran criterios, sin enunciar ninguno?</w:t>
      </w:r>
    </w:p>
    <w:p>
      <w:pPr>
        <w:spacing w:after="0" w:before="0" w:line="360"/>
        <w:ind w:firstLine="708"/>
        <w:jc w:val="both"/>
      </w:pPr>
      <w:r>
        <w:rPr>
          <w:rFonts w:ascii="Arial" w:cs="Arial" w:eastAsia="Arial" w:hAnsi="Arial"/>
          <w:b w:val="false"/>
          <w:bCs w:val="false"/>
          <w:i/>
          <w:iCs/>
          <w:color w:val="000000"/>
          <w:sz w:val="24"/>
          <w:szCs w:val="24"/>
        </w:rPr>
        <w:t xml:space="preserve">Octava. Un estándar subjetivo no es un estándar.</w:t>
      </w:r>
      <w:r>
        <w:rPr>
          <w:rFonts w:ascii="Arial" w:cs="Arial" w:eastAsia="Arial" w:hAnsi="Arial"/>
          <w:b w:val="false"/>
          <w:bCs w:val="false"/>
          <w:i w:val="false"/>
          <w:iCs w:val="false"/>
          <w:color w:val="000000"/>
          <w:sz w:val="24"/>
          <w:szCs w:val="24"/>
        </w:rPr>
        <w:t xml:space="preserve"> Un estándar de prueba, para serlo, necesita tres atributos: ser una medida, poder comunicarse y poder verificarse. La convicción íntima carece de los tres. Su empleo produce, además, un efecto asimétrico, pues el mismo material puede bastar para tener por acreditada una afirmación y no bastar para la contraria, sin que exista criterio alguno para resolver el desacuerdo. El umbral debe, por ello, enunciarse antes de valorar y ser el mismo para acreditar la regularidad y la irregularidad.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¿enunció la sentencia el umbral que aplicó, y es ese umbral el mismo que empleó para tener por acreditados los hechos favorables a la autoridad?</w:t>
      </w:r>
    </w:p>
    <w:p>
      <w:pPr>
        <w:spacing w:after="0" w:before="0" w:line="360"/>
        <w:ind w:firstLine="708"/>
        <w:jc w:val="both"/>
      </w:pPr>
      <w:r>
        <w:rPr>
          <w:rFonts w:ascii="Arial" w:cs="Arial" w:eastAsia="Arial" w:hAnsi="Arial"/>
          <w:b w:val="false"/>
          <w:bCs w:val="false"/>
          <w:i/>
          <w:iCs/>
          <w:color w:val="000000"/>
          <w:sz w:val="24"/>
          <w:szCs w:val="24"/>
        </w:rPr>
        <w:t xml:space="preserve">Novena. Motivación completa como condición del control.</w:t>
      </w:r>
      <w:r>
        <w:rPr>
          <w:rFonts w:ascii="Arial" w:cs="Arial" w:eastAsia="Arial" w:hAnsi="Arial"/>
          <w:b w:val="false"/>
          <w:bCs w:val="false"/>
          <w:i w:val="false"/>
          <w:iCs w:val="false"/>
          <w:color w:val="000000"/>
          <w:sz w:val="24"/>
          <w:szCs w:val="24"/>
        </w:rPr>
        <w:t xml:space="preserve"> La motivación es la garantía de cierre del sistema: no es una garantía epistemológica directa, pero permite controlar el espacio de discrecionalidad que la libre valoración abre. Debe abarcar todas las elecciones del juzgador, incluida la valoración negativa de las pruebas contrarias, y no admite rebaja para la llamada prueba directa. Lo que se controla no es el proceso mental del juzgador sino el documento que lo justifica, de modo que el control no autoriza a revalorar sino a verificar si lo escrito sostiene lo resuelto. Y la exigencia retroactúa: quien sabe que deberá justificar opera desde el principio con parámetros más exigentes.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¿justificó la sentencia lo que descartó, y permite su texto el juicio sobre el juicio, o exige al lector reconstruir por su cuenta el razonamiento que no consta?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1.10.2. </w:t>
      </w:r>
      <w:r>
        <w:rPr>
          <w:rFonts w:ascii="Arial" w:cs="Arial" w:eastAsia="Arial" w:hAnsi="Arial"/>
          <w:i/>
          <w:iCs/>
          <w:color w:val="000000"/>
          <w:sz w:val="24"/>
          <w:szCs w:val="24"/>
        </w:rPr>
        <w:t xml:space="preserve">Alcance y límites de la rejilla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Las nueve categorías se convierten en instrumento de análisis a través de sus preguntas de control, que admiten codificación como presente, ausente o parcial sobre cualquier resolución. Seis de ellas interrogan operaciones identificables en el texto de una sentencia: el inventario del material, la acreditación autónoma del hecho fuente, la enunciación expresa de la máxima de experiencia, el uso de los cuatro operadores del artículo 16, párrafo 3 —los demás elementos que obren en el expediente, las afirmaciones de las partes, la verdad conocida y el recto raciocinio de la relación que guardan entre sí—, la contrastación con hipótesis rivales y la enunciación del umbral aplicado. Las categorías primera, segunda y novena operan de modo transversal: la primera y la segunda determinan si hubo valoración, y la novena, si lo que hubo quedó en condiciones de ser verificado. Son las que permiten distinguir dos situaciones que un análisis puramente cuantitativo confundiría: una valoración defectuosa, que se corrige mejorando el razonamiento, y una valoración omitida, que no se corrige en absoluto.</w:t>
      </w:r>
    </w:p>
    <w:p>
      <w:pPr>
        <w:spacing w:after="0" w:before="0" w:line="360"/>
        <w:ind w:firstLine="708"/>
        <w:jc w:val="both"/>
      </w:pPr>
      <w:r>
        <w:rPr>
          <w:rFonts w:ascii="Arial" w:cs="Arial" w:eastAsia="Arial" w:hAnsi="Arial"/>
          <w:b w:val="false"/>
          <w:bCs w:val="false"/>
          <w:i w:val="false"/>
          <w:iCs w:val="false"/>
          <w:color w:val="000000"/>
          <w:sz w:val="24"/>
          <w:szCs w:val="24"/>
        </w:rPr>
        <w:t xml:space="preserve">Cuatro limitaciones deben quedar registradas. La primera concierne al alcance de lo construido: la rejilla permite decir cuán sólida es una inferencia, no cuán sólida debe ser. Esa segunda pregunta ya no pertenece a la epistemología sino al derecho, y se resuelve en atención a los valores en juego en cada tipo de proceso.</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concierne al origen del material. Las categorías provienen de una doctrina construida con la mirada puesta en el proceso penal y en el civil, y el régimen de garantías propio del primero —donde rige la presunción de inocencia y existe una asimetría deliberada entre los tipos de error— no se traslada sin más a la materia electoral. Lo que se toma es algo más básico y no dependiente de la materia: la tesis de que la fijación judicial de los hechos es una operación de conocimiento y admite, por tanto, criterios de corrección verificables. El traslado de categorías construidas sobre precedentes penales exige justificación propia allí donde llegue a invocarse.</w:t>
      </w:r>
    </w:p>
    <w:p>
      <w:pPr>
        <w:spacing w:after="0" w:before="0" w:line="360"/>
        <w:ind w:firstLine="708"/>
        <w:jc w:val="both"/>
      </w:pPr>
      <w:r>
        <w:rPr>
          <w:rFonts w:ascii="Arial" w:cs="Arial" w:eastAsia="Arial" w:hAnsi="Arial"/>
          <w:b w:val="false"/>
          <w:bCs w:val="false"/>
          <w:i w:val="false"/>
          <w:iCs w:val="false"/>
          <w:color w:val="000000"/>
          <w:sz w:val="24"/>
          <w:szCs w:val="24"/>
        </w:rPr>
        <w:t xml:space="preserve">La tercera es un riesgo que el propio instrumento genera. Un modelo de justificación no es la justificación, y confundirlos supone incurrir en la falacia de quien toma el deber ser por el ser. Cualquier rejilla de valoración corre ese peligro, porque puede degradarse hasta convertirse en una plantilla que legitime formalmente decisiones que no ejecutaron ninguna de sus operaciones. La única defensa consiste en exigir que cada una conste de manera verificable en el texto de la sentencia, y no basta con invocarla en abstracto.</w:t>
      </w:r>
    </w:p>
    <w:p>
      <w:pPr>
        <w:spacing w:after="0" w:before="0" w:line="360"/>
        <w:ind w:firstLine="708"/>
        <w:jc w:val="both"/>
      </w:pPr>
      <w:r>
        <w:rPr>
          <w:rFonts w:ascii="Arial" w:cs="Arial" w:eastAsia="Arial" w:hAnsi="Arial"/>
          <w:b w:val="false"/>
          <w:bCs w:val="false"/>
          <w:i w:val="false"/>
          <w:iCs w:val="false"/>
          <w:color w:val="000000"/>
          <w:sz w:val="24"/>
          <w:szCs w:val="24"/>
        </w:rPr>
        <w:t xml:space="preserve">La cuarta delimita el tipo de trabajo realizado. Cuanto antecede es reconstrucción conceptual y no análisis empírico. Afirma que estas nueve categorías permiten leer críticamente una sentencia; no afirma todavía nada sobre lo que las sentencias contienen. Esa comprobación exige aplicar la rejilla al corpus mediante una codificación reproducible, que determine en qué medida la valoración relacional ordenada por el artículo 16, párrafo 3, llegó a practicarse, cuándo alcanzó su mayor desarrollo y en qué momento dejó de aplicarse sin que ningún criterio fuera formalmente abandonado.</w:t>
      </w:r>
    </w:p>
    <w:sectPr>
      <w:footerReference w:type="default" r:id="rId8"/>
      <w:pgSz w:w="12240" w:h="15840" w:orient="portrait"/>
      <w:pgMar w:top="1417" w:right="1701"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000000"/>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000000"/>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2026-08-09T02:33:08.949Z</dcterms:created>
  <dcterms:modified xsi:type="dcterms:W3CDTF">2026-08-09T02:33:08.950Z</dcterms:modified>
</cp:coreProperties>
</file>

<file path=docProps/custom.xml><?xml version="1.0" encoding="utf-8"?>
<Properties xmlns="http://schemas.openxmlformats.org/officeDocument/2006/custom-properties" xmlns:vt="http://schemas.openxmlformats.org/officeDocument/2006/docPropsVTypes"/>
</file>