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color w:val="000000"/>
          <w:sz w:val="24"/>
          <w:szCs w:val="24"/>
        </w:rPr>
        <w:t xml:space="preserve">El déficit de estándares de valoración probatoria en la justicia electoral mexicana:</w:t>
      </w:r>
    </w:p>
    <w:p>
      <w:pPr>
        <w:spacing w:line="360"/>
        <w:jc w:val="center"/>
      </w:pPr>
      <w:r>
        <w:rPr>
          <w:rFonts w:ascii="Arial" w:cs="Arial" w:eastAsia="Arial" w:hAnsi="Arial"/>
          <w:b/>
          <w:bCs/>
          <w:color w:val="000000"/>
          <w:sz w:val="24"/>
          <w:szCs w:val="24"/>
        </w:rPr>
        <w:t xml:space="preserve">protocolo de adminiculación indiciaria y umbral de suficiencia verificables</w:t>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spacing w:line="360"/>
        <w:jc w:val="center"/>
      </w:pPr>
      <w:r>
        <w:rPr>
          <w:rFonts w:ascii="Arial" w:cs="Arial" w:eastAsia="Arial" w:hAnsi="Arial"/>
          <w:color w:val="000000"/>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color w:val="000000"/>
          <w:sz w:val="24"/>
          <w:szCs w:val="24"/>
        </w:rPr>
        <w:t xml:space="preserve">Índice</w:t>
      </w:r>
    </w:p>
    <w:p>
      <w:pPr>
        <w:keepNext w:val="false"/>
        <w:spacing w:after="0" w:before="0" w:line="360"/>
      </w:pPr>
      <w:r>
        <w:rPr>
          <w:rFonts w:ascii="Arial" w:cs="Arial" w:eastAsia="Arial" w:hAnsi="Arial"/>
          <w:color w:val="000000"/>
          <w:sz w:val="24"/>
          <w:szCs w:val="24"/>
        </w:rPr>
        <w:t xml:space="preserve"/>
      </w:r>
    </w:p>
    <w:p>
      <w:pPr>
        <w:tabs>
          <w:tab w:val="right" w:pos="8838" w:leader="dot"/>
        </w:tabs>
        <w:spacing w:after="0" w:before="0" w:line="360"/>
        <w:ind w:left="0" w:right="0"/>
      </w:pPr>
      <w:r>
        <w:rPr>
          <w:rFonts w:ascii="Arial" w:cs="Arial" w:eastAsia="Arial" w:hAnsi="Arial"/>
          <w:color w:val="000000"/>
          <w:sz w:val="22"/>
          <w:szCs w:val="22"/>
        </w:rPr>
        <w:t xml:space="preserve">Capítulo 1. Categorías de epistemología jurídica para la prueba por indicios	</w:t>
      </w:r>
      <w:r>
        <w:rPr>
          <w:rFonts w:ascii="Arial" w:cs="Arial" w:eastAsia="Arial" w:hAnsi="Arial"/>
          <w:color w:val="000000"/>
          <w:sz w:val="22"/>
          <w:szCs w:val="22"/>
        </w:rPr>
        <w:t xml:space="preserve">1</w:t>
      </w:r>
    </w:p>
    <w:p>
      <w:pPr>
        <w:tabs>
          <w:tab w:val="right" w:pos="8838" w:leader="dot"/>
        </w:tabs>
        <w:spacing w:after="0" w:before="0" w:line="360"/>
        <w:ind w:left="283" w:right="0"/>
      </w:pPr>
      <w:r>
        <w:rPr>
          <w:rFonts w:ascii="Arial" w:cs="Arial" w:eastAsia="Arial" w:hAnsi="Arial"/>
          <w:color w:val="000000"/>
          <w:sz w:val="22"/>
          <w:szCs w:val="22"/>
        </w:rPr>
        <w:t xml:space="preserve">1.1. La decisión sobre los hechos es una operación de conocimiento sujeta a control racional	</w:t>
      </w:r>
      <w:r>
        <w:rPr>
          <w:rFonts w:ascii="Arial" w:cs="Arial" w:eastAsia="Arial" w:hAnsi="Arial"/>
          <w:color w:val="000000"/>
          <w:sz w:val="22"/>
          <w:szCs w:val="22"/>
        </w:rPr>
        <w:t xml:space="preserve">1</w:t>
      </w:r>
    </w:p>
    <w:p>
      <w:pPr>
        <w:tabs>
          <w:tab w:val="right" w:pos="8838" w:leader="dot"/>
        </w:tabs>
        <w:spacing w:after="0" w:before="0" w:line="360"/>
        <w:ind w:left="567" w:right="0"/>
      </w:pPr>
      <w:r>
        <w:rPr>
          <w:rFonts w:ascii="Arial" w:cs="Arial" w:eastAsia="Arial" w:hAnsi="Arial"/>
          <w:color w:val="000000"/>
          <w:sz w:val="22"/>
          <w:szCs w:val="22"/>
        </w:rPr>
        <w:t xml:space="preserve">1.1.1. La conquista histórica de la racionalidad probatoria	</w:t>
      </w:r>
      <w:r>
        <w:rPr>
          <w:rFonts w:ascii="Arial" w:cs="Arial" w:eastAsia="Arial" w:hAnsi="Arial"/>
          <w:color w:val="000000"/>
          <w:sz w:val="22"/>
          <w:szCs w:val="22"/>
        </w:rPr>
        <w:t xml:space="preserve">2</w:t>
      </w:r>
    </w:p>
    <w:p>
      <w:pPr>
        <w:tabs>
          <w:tab w:val="right" w:pos="8838" w:leader="dot"/>
        </w:tabs>
        <w:spacing w:after="0" w:before="0" w:line="360"/>
        <w:ind w:left="567" w:right="0"/>
      </w:pPr>
      <w:r>
        <w:rPr>
          <w:rFonts w:ascii="Arial" w:cs="Arial" w:eastAsia="Arial" w:hAnsi="Arial"/>
          <w:color w:val="000000"/>
          <w:sz w:val="22"/>
          <w:szCs w:val="22"/>
        </w:rPr>
        <w:t xml:space="preserve">1.1.2. Realismo moderado y modelo cognoscitivista	</w:t>
      </w:r>
      <w:r>
        <w:rPr>
          <w:rFonts w:ascii="Arial" w:cs="Arial" w:eastAsia="Arial" w:hAnsi="Arial"/>
          <w:color w:val="000000"/>
          <w:sz w:val="22"/>
          <w:szCs w:val="22"/>
        </w:rPr>
        <w:t xml:space="preserve">3</w:t>
      </w:r>
    </w:p>
    <w:p>
      <w:pPr>
        <w:tabs>
          <w:tab w:val="right" w:pos="8838" w:leader="dot"/>
        </w:tabs>
        <w:spacing w:after="0" w:before="0" w:line="360"/>
        <w:ind w:left="567" w:right="0"/>
      </w:pPr>
      <w:r>
        <w:rPr>
          <w:rFonts w:ascii="Arial" w:cs="Arial" w:eastAsia="Arial" w:hAnsi="Arial"/>
          <w:color w:val="000000"/>
          <w:sz w:val="22"/>
          <w:szCs w:val="22"/>
        </w:rPr>
        <w:t xml:space="preserve">1.1.3. Los dos proyectos de la epistemología jurídica	</w:t>
      </w:r>
      <w:r>
        <w:rPr>
          <w:rFonts w:ascii="Arial" w:cs="Arial" w:eastAsia="Arial" w:hAnsi="Arial"/>
          <w:color w:val="000000"/>
          <w:sz w:val="22"/>
          <w:szCs w:val="22"/>
        </w:rPr>
        <w:t xml:space="preserve">6</w:t>
      </w:r>
    </w:p>
    <w:p>
      <w:pPr>
        <w:tabs>
          <w:tab w:val="right" w:pos="8838" w:leader="dot"/>
        </w:tabs>
        <w:spacing w:after="0" w:before="0" w:line="360"/>
        <w:ind w:left="283" w:right="0"/>
      </w:pPr>
      <w:r>
        <w:rPr>
          <w:rFonts w:ascii="Arial" w:cs="Arial" w:eastAsia="Arial" w:hAnsi="Arial"/>
          <w:color w:val="000000"/>
          <w:sz w:val="22"/>
          <w:szCs w:val="22"/>
        </w:rPr>
        <w:t xml:space="preserve">1.2. La averiguación de la verdad es la función epistémica del proceso	</w:t>
      </w:r>
      <w:r>
        <w:rPr>
          <w:rFonts w:ascii="Arial" w:cs="Arial" w:eastAsia="Arial" w:hAnsi="Arial"/>
          <w:color w:val="000000"/>
          <w:sz w:val="22"/>
          <w:szCs w:val="22"/>
        </w:rPr>
        <w:t xml:space="preserve">7</w:t>
      </w:r>
    </w:p>
    <w:p>
      <w:pPr>
        <w:tabs>
          <w:tab w:val="right" w:pos="8838" w:leader="dot"/>
        </w:tabs>
        <w:spacing w:after="0" w:before="0" w:line="360"/>
        <w:ind w:left="567" w:right="0"/>
      </w:pPr>
      <w:r>
        <w:rPr>
          <w:rFonts w:ascii="Arial" w:cs="Arial" w:eastAsia="Arial" w:hAnsi="Arial"/>
          <w:color w:val="000000"/>
          <w:sz w:val="22"/>
          <w:szCs w:val="22"/>
        </w:rPr>
        <w:t xml:space="preserve">1.2.1. Verdad y justicia de la decisión	</w:t>
      </w:r>
      <w:r>
        <w:rPr>
          <w:rFonts w:ascii="Arial" w:cs="Arial" w:eastAsia="Arial" w:hAnsi="Arial"/>
          <w:color w:val="000000"/>
          <w:sz w:val="22"/>
          <w:szCs w:val="22"/>
        </w:rPr>
        <w:t xml:space="preserve">7</w:t>
      </w:r>
    </w:p>
    <w:p>
      <w:pPr>
        <w:tabs>
          <w:tab w:val="right" w:pos="8838" w:leader="dot"/>
        </w:tabs>
        <w:spacing w:after="0" w:before="0" w:line="360"/>
        <w:ind w:left="567" w:right="0"/>
      </w:pPr>
      <w:r>
        <w:rPr>
          <w:rFonts w:ascii="Arial" w:cs="Arial" w:eastAsia="Arial" w:hAnsi="Arial"/>
          <w:color w:val="000000"/>
          <w:sz w:val="22"/>
          <w:szCs w:val="22"/>
        </w:rPr>
        <w:t xml:space="preserve">1.2.2. Las concepciones ritual y retórica	</w:t>
      </w:r>
      <w:r>
        <w:rPr>
          <w:rFonts w:ascii="Arial" w:cs="Arial" w:eastAsia="Arial" w:hAnsi="Arial"/>
          <w:color w:val="000000"/>
          <w:sz w:val="22"/>
          <w:szCs w:val="22"/>
        </w:rPr>
        <w:t xml:space="preserve">9</w:t>
      </w:r>
    </w:p>
    <w:p>
      <w:pPr>
        <w:tabs>
          <w:tab w:val="right" w:pos="8838" w:leader="dot"/>
        </w:tabs>
        <w:spacing w:after="0" w:before="0" w:line="360"/>
        <w:ind w:left="567" w:right="0"/>
      </w:pPr>
      <w:r>
        <w:rPr>
          <w:rFonts w:ascii="Arial" w:cs="Arial" w:eastAsia="Arial" w:hAnsi="Arial"/>
          <w:color w:val="000000"/>
          <w:sz w:val="22"/>
          <w:szCs w:val="22"/>
        </w:rPr>
        <w:t xml:space="preserve">1.2.3. La relatividad de la verdad procesal	</w:t>
      </w:r>
      <w:r>
        <w:rPr>
          <w:rFonts w:ascii="Arial" w:cs="Arial" w:eastAsia="Arial" w:hAnsi="Arial"/>
          <w:color w:val="000000"/>
          <w:sz w:val="22"/>
          <w:szCs w:val="22"/>
        </w:rPr>
        <w:t xml:space="preserve">10</w:t>
      </w:r>
    </w:p>
    <w:p>
      <w:pPr>
        <w:tabs>
          <w:tab w:val="right" w:pos="8838" w:leader="dot"/>
        </w:tabs>
        <w:spacing w:after="0" w:before="0" w:line="360"/>
        <w:ind w:left="283" w:right="0"/>
      </w:pPr>
      <w:r>
        <w:rPr>
          <w:rFonts w:ascii="Arial" w:cs="Arial" w:eastAsia="Arial" w:hAnsi="Arial"/>
          <w:color w:val="000000"/>
          <w:sz w:val="22"/>
          <w:szCs w:val="22"/>
        </w:rPr>
        <w:t xml:space="preserve">1.3. La actividad probatoria se descompone en tres momentos	</w:t>
      </w:r>
      <w:r>
        <w:rPr>
          <w:rFonts w:ascii="Arial" w:cs="Arial" w:eastAsia="Arial" w:hAnsi="Arial"/>
          <w:color w:val="000000"/>
          <w:sz w:val="22"/>
          <w:szCs w:val="22"/>
        </w:rPr>
        <w:t xml:space="preserve">12</w:t>
      </w:r>
    </w:p>
    <w:p>
      <w:pPr>
        <w:tabs>
          <w:tab w:val="right" w:pos="8838" w:leader="dot"/>
        </w:tabs>
        <w:spacing w:after="0" w:before="0" w:line="360"/>
        <w:ind w:left="567" w:right="0"/>
      </w:pPr>
      <w:r>
        <w:rPr>
          <w:rFonts w:ascii="Arial" w:cs="Arial" w:eastAsia="Arial" w:hAnsi="Arial"/>
          <w:color w:val="000000"/>
          <w:sz w:val="22"/>
          <w:szCs w:val="22"/>
        </w:rPr>
        <w:t xml:space="preserve">1.3.1. La conformación del conjunto de elementos de juicio	</w:t>
      </w:r>
      <w:r>
        <w:rPr>
          <w:rFonts w:ascii="Arial" w:cs="Arial" w:eastAsia="Arial" w:hAnsi="Arial"/>
          <w:color w:val="000000"/>
          <w:sz w:val="22"/>
          <w:szCs w:val="22"/>
        </w:rPr>
        <w:t xml:space="preserve">12</w:t>
      </w:r>
    </w:p>
    <w:p>
      <w:pPr>
        <w:tabs>
          <w:tab w:val="right" w:pos="8838" w:leader="dot"/>
        </w:tabs>
        <w:spacing w:after="0" w:before="0" w:line="360"/>
        <w:ind w:left="567" w:right="0"/>
      </w:pPr>
      <w:r>
        <w:rPr>
          <w:rFonts w:ascii="Arial" w:cs="Arial" w:eastAsia="Arial" w:hAnsi="Arial"/>
          <w:color w:val="000000"/>
          <w:sz w:val="22"/>
          <w:szCs w:val="22"/>
        </w:rPr>
        <w:t xml:space="preserve">1.3.2. La valoración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1.3.3. La decisión y el estándar de prueba	</w:t>
      </w:r>
      <w:r>
        <w:rPr>
          <w:rFonts w:ascii="Arial" w:cs="Arial" w:eastAsia="Arial" w:hAnsi="Arial"/>
          <w:color w:val="000000"/>
          <w:sz w:val="22"/>
          <w:szCs w:val="22"/>
        </w:rPr>
        <w:t xml:space="preserve">15</w:t>
      </w:r>
    </w:p>
    <w:p>
      <w:pPr>
        <w:tabs>
          <w:tab w:val="right" w:pos="8838" w:leader="dot"/>
        </w:tabs>
        <w:spacing w:after="0" w:before="0" w:line="360"/>
        <w:ind w:left="283" w:right="0"/>
      </w:pPr>
      <w:r>
        <w:rPr>
          <w:rFonts w:ascii="Arial" w:cs="Arial" w:eastAsia="Arial" w:hAnsi="Arial"/>
          <w:color w:val="000000"/>
          <w:sz w:val="22"/>
          <w:szCs w:val="22"/>
        </w:rPr>
        <w:t xml:space="preserve">1.4. La inferencia probatoria tiene una estructura identificable	</w:t>
      </w:r>
      <w:r>
        <w:rPr>
          <w:rFonts w:ascii="Arial" w:cs="Arial" w:eastAsia="Arial" w:hAnsi="Arial"/>
          <w:color w:val="000000"/>
          <w:sz w:val="22"/>
          <w:szCs w:val="22"/>
        </w:rPr>
        <w:t xml:space="preserve">16</w:t>
      </w:r>
    </w:p>
    <w:p>
      <w:pPr>
        <w:tabs>
          <w:tab w:val="right" w:pos="8838" w:leader="dot"/>
        </w:tabs>
        <w:spacing w:after="0" w:before="0" w:line="360"/>
        <w:ind w:left="567" w:right="0"/>
      </w:pPr>
      <w:r>
        <w:rPr>
          <w:rFonts w:ascii="Arial" w:cs="Arial" w:eastAsia="Arial" w:hAnsi="Arial"/>
          <w:color w:val="000000"/>
          <w:sz w:val="22"/>
          <w:szCs w:val="22"/>
        </w:rPr>
        <w:t xml:space="preserve">1.4.1. Las dos fases y la cadena de inferencias	</w:t>
      </w:r>
      <w:r>
        <w:rPr>
          <w:rFonts w:ascii="Arial" w:cs="Arial" w:eastAsia="Arial" w:hAnsi="Arial"/>
          <w:color w:val="000000"/>
          <w:sz w:val="22"/>
          <w:szCs w:val="22"/>
        </w:rPr>
        <w:t xml:space="preserve">17</w:t>
      </w:r>
    </w:p>
    <w:p>
      <w:pPr>
        <w:tabs>
          <w:tab w:val="right" w:pos="8838" w:leader="dot"/>
        </w:tabs>
        <w:spacing w:after="0" w:before="0" w:line="360"/>
        <w:ind w:left="567" w:right="0"/>
      </w:pPr>
      <w:r>
        <w:rPr>
          <w:rFonts w:ascii="Arial" w:cs="Arial" w:eastAsia="Arial" w:hAnsi="Arial"/>
          <w:color w:val="000000"/>
          <w:sz w:val="22"/>
          <w:szCs w:val="22"/>
        </w:rPr>
        <w:t xml:space="preserve">1.4.2. Razones, garantía y respaldo	</w:t>
      </w:r>
      <w:r>
        <w:rPr>
          <w:rFonts w:ascii="Arial" w:cs="Arial" w:eastAsia="Arial" w:hAnsi="Arial"/>
          <w:color w:val="000000"/>
          <w:sz w:val="22"/>
          <w:szCs w:val="22"/>
        </w:rPr>
        <w:t xml:space="preserve">18</w:t>
      </w:r>
    </w:p>
    <w:p>
      <w:pPr>
        <w:tabs>
          <w:tab w:val="right" w:pos="8838" w:leader="dot"/>
        </w:tabs>
        <w:spacing w:after="0" w:before="0" w:line="360"/>
        <w:ind w:left="567" w:right="0"/>
      </w:pPr>
      <w:r>
        <w:rPr>
          <w:rFonts w:ascii="Arial" w:cs="Arial" w:eastAsia="Arial" w:hAnsi="Arial"/>
          <w:color w:val="000000"/>
          <w:sz w:val="22"/>
          <w:szCs w:val="22"/>
        </w:rPr>
        <w:t xml:space="preserve">1.4.3. Las fuentes de la garantía	</w:t>
      </w:r>
      <w:r>
        <w:rPr>
          <w:rFonts w:ascii="Arial" w:cs="Arial" w:eastAsia="Arial" w:hAnsi="Arial"/>
          <w:color w:val="000000"/>
          <w:sz w:val="22"/>
          <w:szCs w:val="22"/>
        </w:rPr>
        <w:t xml:space="preserve">19</w:t>
      </w:r>
    </w:p>
    <w:p>
      <w:pPr>
        <w:tabs>
          <w:tab w:val="right" w:pos="8838" w:leader="dot"/>
        </w:tabs>
        <w:spacing w:after="0" w:before="0" w:line="360"/>
        <w:ind w:left="283" w:right="0"/>
      </w:pPr>
      <w:r>
        <w:rPr>
          <w:rFonts w:ascii="Arial" w:cs="Arial" w:eastAsia="Arial" w:hAnsi="Arial"/>
          <w:color w:val="000000"/>
          <w:sz w:val="22"/>
          <w:szCs w:val="22"/>
        </w:rPr>
        <w:t xml:space="preserve">1.5. La solidez de la inferencia admite criterios de control	</w:t>
      </w:r>
      <w:r>
        <w:rPr>
          <w:rFonts w:ascii="Arial" w:cs="Arial" w:eastAsia="Arial" w:hAnsi="Arial"/>
          <w:color w:val="000000"/>
          <w:sz w:val="22"/>
          <w:szCs w:val="22"/>
        </w:rPr>
        <w:t xml:space="preserve">21</w:t>
      </w:r>
    </w:p>
    <w:p>
      <w:pPr>
        <w:tabs>
          <w:tab w:val="right" w:pos="8838" w:leader="dot"/>
        </w:tabs>
        <w:spacing w:after="0" w:before="0" w:line="360"/>
        <w:ind w:left="567" w:right="0"/>
      </w:pPr>
      <w:r>
        <w:rPr>
          <w:rFonts w:ascii="Arial" w:cs="Arial" w:eastAsia="Arial" w:hAnsi="Arial"/>
          <w:color w:val="000000"/>
          <w:sz w:val="22"/>
          <w:szCs w:val="22"/>
        </w:rPr>
        <w:t xml:space="preserve">1.5.1. La vaguedad de la sana crítica	</w:t>
      </w:r>
      <w:r>
        <w:rPr>
          <w:rFonts w:ascii="Arial" w:cs="Arial" w:eastAsia="Arial" w:hAnsi="Arial"/>
          <w:color w:val="000000"/>
          <w:sz w:val="22"/>
          <w:szCs w:val="22"/>
        </w:rPr>
        <w:t xml:space="preserve">21</w:t>
      </w:r>
    </w:p>
    <w:p>
      <w:pPr>
        <w:tabs>
          <w:tab w:val="right" w:pos="8838" w:leader="dot"/>
        </w:tabs>
        <w:spacing w:after="0" w:before="0" w:line="360"/>
        <w:ind w:left="567" w:right="0"/>
      </w:pPr>
      <w:r>
        <w:rPr>
          <w:rFonts w:ascii="Arial" w:cs="Arial" w:eastAsia="Arial" w:hAnsi="Arial"/>
          <w:color w:val="000000"/>
          <w:sz w:val="22"/>
          <w:szCs w:val="22"/>
        </w:rPr>
        <w:t xml:space="preserve">1.5.2. Criterios sobre los hechos probatorios y sobre la garantía	</w:t>
      </w:r>
      <w:r>
        <w:rPr>
          <w:rFonts w:ascii="Arial" w:cs="Arial" w:eastAsia="Arial" w:hAnsi="Arial"/>
          <w:color w:val="000000"/>
          <w:sz w:val="22"/>
          <w:szCs w:val="22"/>
        </w:rPr>
        <w:t xml:space="preserve">22</w:t>
      </w:r>
    </w:p>
    <w:p>
      <w:pPr>
        <w:tabs>
          <w:tab w:val="right" w:pos="8838" w:leader="dot"/>
        </w:tabs>
        <w:spacing w:after="0" w:before="0" w:line="360"/>
        <w:ind w:left="567" w:right="0"/>
      </w:pPr>
      <w:r>
        <w:rPr>
          <w:rFonts w:ascii="Arial" w:cs="Arial" w:eastAsia="Arial" w:hAnsi="Arial"/>
          <w:color w:val="000000"/>
          <w:sz w:val="22"/>
          <w:szCs w:val="22"/>
        </w:rPr>
        <w:t xml:space="preserve">1.5.3. Criterios sobre la hipótesis y gradualidad de la solidez	</w:t>
      </w:r>
      <w:r>
        <w:rPr>
          <w:rFonts w:ascii="Arial" w:cs="Arial" w:eastAsia="Arial" w:hAnsi="Arial"/>
          <w:color w:val="000000"/>
          <w:sz w:val="22"/>
          <w:szCs w:val="22"/>
        </w:rPr>
        <w:t xml:space="preserve">25</w:t>
      </w:r>
    </w:p>
    <w:p>
      <w:pPr>
        <w:tabs>
          <w:tab w:val="right" w:pos="8838" w:leader="dot"/>
        </w:tabs>
        <w:spacing w:after="0" w:before="0" w:line="360"/>
        <w:ind w:left="283" w:right="0"/>
      </w:pPr>
      <w:r>
        <w:rPr>
          <w:rFonts w:ascii="Arial" w:cs="Arial" w:eastAsia="Arial" w:hAnsi="Arial"/>
          <w:color w:val="000000"/>
          <w:sz w:val="22"/>
          <w:szCs w:val="22"/>
        </w:rPr>
        <w:t xml:space="preserve">1.6. El conjunto probatorio excede la suma de sus elementos	</w:t>
      </w:r>
      <w:r>
        <w:rPr>
          <w:rFonts w:ascii="Arial" w:cs="Arial" w:eastAsia="Arial" w:hAnsi="Arial"/>
          <w:color w:val="000000"/>
          <w:sz w:val="22"/>
          <w:szCs w:val="22"/>
        </w:rPr>
        <w:t xml:space="preserve">26</w:t>
      </w:r>
    </w:p>
    <w:p>
      <w:pPr>
        <w:tabs>
          <w:tab w:val="right" w:pos="8838" w:leader="dot"/>
        </w:tabs>
        <w:spacing w:after="0" w:before="0" w:line="360"/>
        <w:ind w:left="567" w:right="0"/>
      </w:pPr>
      <w:r>
        <w:rPr>
          <w:rFonts w:ascii="Arial" w:cs="Arial" w:eastAsia="Arial" w:hAnsi="Arial"/>
          <w:color w:val="000000"/>
          <w:sz w:val="22"/>
          <w:szCs w:val="22"/>
        </w:rPr>
        <w:t xml:space="preserve">1.6.1. Las objeciones al tratamiento aislado de los elementos de prueba	</w:t>
      </w:r>
      <w:r>
        <w:rPr>
          <w:rFonts w:ascii="Arial" w:cs="Arial" w:eastAsia="Arial" w:hAnsi="Arial"/>
          <w:color w:val="000000"/>
          <w:sz w:val="22"/>
          <w:szCs w:val="22"/>
        </w:rPr>
        <w:t xml:space="preserve">27</w:t>
      </w:r>
    </w:p>
    <w:p>
      <w:pPr>
        <w:tabs>
          <w:tab w:val="right" w:pos="8838" w:leader="dot"/>
        </w:tabs>
        <w:spacing w:after="0" w:before="0" w:line="360"/>
        <w:ind w:left="567" w:right="0"/>
      </w:pPr>
      <w:r>
        <w:rPr>
          <w:rFonts w:ascii="Arial" w:cs="Arial" w:eastAsia="Arial" w:hAnsi="Arial"/>
          <w:color w:val="000000"/>
          <w:sz w:val="22"/>
          <w:szCs w:val="22"/>
        </w:rPr>
        <w:t xml:space="preserve">1.6.2. Los anclajes del derecho mexicano	</w:t>
      </w:r>
      <w:r>
        <w:rPr>
          <w:rFonts w:ascii="Arial" w:cs="Arial" w:eastAsia="Arial" w:hAnsi="Arial"/>
          <w:color w:val="000000"/>
          <w:sz w:val="22"/>
          <w:szCs w:val="22"/>
        </w:rPr>
        <w:t xml:space="preserve">28</w:t>
      </w:r>
    </w:p>
    <w:p>
      <w:pPr>
        <w:tabs>
          <w:tab w:val="right" w:pos="8838" w:leader="dot"/>
        </w:tabs>
        <w:spacing w:after="0" w:before="0" w:line="360"/>
        <w:ind w:left="567" w:right="0"/>
      </w:pPr>
      <w:r>
        <w:rPr>
          <w:rFonts w:ascii="Arial" w:cs="Arial" w:eastAsia="Arial" w:hAnsi="Arial"/>
          <w:color w:val="000000"/>
          <w:sz w:val="22"/>
          <w:szCs w:val="22"/>
        </w:rPr>
        <w:t xml:space="preserve">1.6.3. Los riesgos del holismo y el dominio de cada modelo	</w:t>
      </w:r>
      <w:r>
        <w:rPr>
          <w:rFonts w:ascii="Arial" w:cs="Arial" w:eastAsia="Arial" w:hAnsi="Arial"/>
          <w:color w:val="000000"/>
          <w:sz w:val="22"/>
          <w:szCs w:val="22"/>
        </w:rPr>
        <w:t xml:space="preserve">29</w:t>
      </w:r>
    </w:p>
    <w:p>
      <w:pPr>
        <w:tabs>
          <w:tab w:val="right" w:pos="8838" w:leader="dot"/>
        </w:tabs>
        <w:spacing w:after="0" w:before="0" w:line="360"/>
        <w:ind w:left="283" w:right="0"/>
      </w:pPr>
      <w:r>
        <w:rPr>
          <w:rFonts w:ascii="Arial" w:cs="Arial" w:eastAsia="Arial" w:hAnsi="Arial"/>
          <w:color w:val="000000"/>
          <w:sz w:val="22"/>
          <w:szCs w:val="22"/>
        </w:rPr>
        <w:t xml:space="preserve">1.7. Libre convicción como principio metodológico negativo; la sana crítica no es criterio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1.7.1. Principio negativo y criterio positivo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1.7.2. La deriva subjetivista	</w:t>
      </w:r>
      <w:r>
        <w:rPr>
          <w:rFonts w:ascii="Arial" w:cs="Arial" w:eastAsia="Arial" w:hAnsi="Arial"/>
          <w:color w:val="000000"/>
          <w:sz w:val="22"/>
          <w:szCs w:val="22"/>
        </w:rPr>
        <w:t xml:space="preserve">32</w:t>
      </w:r>
    </w:p>
    <w:p>
      <w:pPr>
        <w:tabs>
          <w:tab w:val="right" w:pos="8838" w:leader="dot"/>
        </w:tabs>
        <w:spacing w:after="0" w:before="0" w:line="360"/>
        <w:ind w:left="567" w:right="0"/>
      </w:pPr>
      <w:r>
        <w:rPr>
          <w:rFonts w:ascii="Arial" w:cs="Arial" w:eastAsia="Arial" w:hAnsi="Arial"/>
          <w:color w:val="000000"/>
          <w:sz w:val="22"/>
          <w:szCs w:val="22"/>
        </w:rPr>
        <w:t xml:space="preserve">1.7.3. La sana crítica y la exigencia de explicitación	</w:t>
      </w:r>
      <w:r>
        <w:rPr>
          <w:rFonts w:ascii="Arial" w:cs="Arial" w:eastAsia="Arial" w:hAnsi="Arial"/>
          <w:color w:val="000000"/>
          <w:sz w:val="22"/>
          <w:szCs w:val="22"/>
        </w:rPr>
        <w:t xml:space="preserve">33</w:t>
      </w:r>
    </w:p>
    <w:p>
      <w:pPr>
        <w:tabs>
          <w:tab w:val="right" w:pos="8838" w:leader="dot"/>
        </w:tabs>
        <w:spacing w:after="0" w:before="0" w:line="360"/>
        <w:ind w:left="283" w:right="0"/>
      </w:pPr>
      <w:r>
        <w:rPr>
          <w:rFonts w:ascii="Arial" w:cs="Arial" w:eastAsia="Arial" w:hAnsi="Arial"/>
          <w:color w:val="000000"/>
          <w:sz w:val="22"/>
          <w:szCs w:val="22"/>
        </w:rPr>
        <w:t xml:space="preserve">1.8. Un estándar subjetivo no es un estándar	</w:t>
      </w:r>
      <w:r>
        <w:rPr>
          <w:rFonts w:ascii="Arial" w:cs="Arial" w:eastAsia="Arial" w:hAnsi="Arial"/>
          <w:color w:val="000000"/>
          <w:sz w:val="22"/>
          <w:szCs w:val="22"/>
        </w:rPr>
        <w:t xml:space="preserve">34</w:t>
      </w:r>
    </w:p>
    <w:p>
      <w:pPr>
        <w:tabs>
          <w:tab w:val="right" w:pos="8838" w:leader="dot"/>
        </w:tabs>
        <w:spacing w:after="0" w:before="0" w:line="360"/>
        <w:ind w:left="567" w:right="0"/>
      </w:pPr>
      <w:r>
        <w:rPr>
          <w:rFonts w:ascii="Arial" w:cs="Arial" w:eastAsia="Arial" w:hAnsi="Arial"/>
          <w:color w:val="000000"/>
          <w:sz w:val="22"/>
          <w:szCs w:val="22"/>
        </w:rPr>
        <w:t xml:space="preserve">1.8.1. Los tres atributos de un estándar	</w:t>
      </w:r>
      <w:r>
        <w:rPr>
          <w:rFonts w:ascii="Arial" w:cs="Arial" w:eastAsia="Arial" w:hAnsi="Arial"/>
          <w:color w:val="000000"/>
          <w:sz w:val="22"/>
          <w:szCs w:val="22"/>
        </w:rPr>
        <w:t xml:space="preserve">35</w:t>
      </w:r>
    </w:p>
    <w:p>
      <w:pPr>
        <w:tabs>
          <w:tab w:val="right" w:pos="8838" w:leader="dot"/>
        </w:tabs>
        <w:spacing w:after="0" w:before="0" w:line="360"/>
        <w:ind w:left="567" w:right="0"/>
      </w:pPr>
      <w:r>
        <w:rPr>
          <w:rFonts w:ascii="Arial" w:cs="Arial" w:eastAsia="Arial" w:hAnsi="Arial"/>
          <w:color w:val="000000"/>
          <w:sz w:val="22"/>
          <w:szCs w:val="22"/>
        </w:rPr>
        <w:t xml:space="preserve">1.8.2. La corrupción de la duda razonable y las dos vías convencionales	</w:t>
      </w:r>
      <w:r>
        <w:rPr>
          <w:rFonts w:ascii="Arial" w:cs="Arial" w:eastAsia="Arial" w:hAnsi="Arial"/>
          <w:color w:val="000000"/>
          <w:sz w:val="22"/>
          <w:szCs w:val="22"/>
        </w:rPr>
        <w:t xml:space="preserve">35</w:t>
      </w:r>
    </w:p>
    <w:p>
      <w:pPr>
        <w:tabs>
          <w:tab w:val="right" w:pos="8838" w:leader="dot"/>
        </w:tabs>
        <w:spacing w:after="0" w:before="0" w:line="360"/>
        <w:ind w:left="567" w:right="0"/>
      </w:pPr>
      <w:r>
        <w:rPr>
          <w:rFonts w:ascii="Arial" w:cs="Arial" w:eastAsia="Arial" w:hAnsi="Arial"/>
          <w:color w:val="000000"/>
          <w:sz w:val="22"/>
          <w:szCs w:val="22"/>
        </w:rPr>
        <w:t xml:space="preserve">1.8.3. Uniformidad y distribución del error	</w:t>
      </w:r>
      <w:r>
        <w:rPr>
          <w:rFonts w:ascii="Arial" w:cs="Arial" w:eastAsia="Arial" w:hAnsi="Arial"/>
          <w:color w:val="000000"/>
          <w:sz w:val="22"/>
          <w:szCs w:val="22"/>
        </w:rPr>
        <w:t xml:space="preserve">37</w:t>
      </w:r>
    </w:p>
    <w:p>
      <w:pPr>
        <w:tabs>
          <w:tab w:val="right" w:pos="8838" w:leader="dot"/>
        </w:tabs>
        <w:spacing w:after="0" w:before="0" w:line="360"/>
        <w:ind w:left="283" w:right="0"/>
      </w:pPr>
      <w:r>
        <w:rPr>
          <w:rFonts w:ascii="Arial" w:cs="Arial" w:eastAsia="Arial" w:hAnsi="Arial"/>
          <w:color w:val="000000"/>
          <w:sz w:val="22"/>
          <w:szCs w:val="22"/>
        </w:rPr>
        <w:t xml:space="preserve">1.9. Motivación como control externo de la inferencia	</w:t>
      </w:r>
      <w:r>
        <w:rPr>
          <w:rFonts w:ascii="Arial" w:cs="Arial" w:eastAsia="Arial" w:hAnsi="Arial"/>
          <w:color w:val="000000"/>
          <w:sz w:val="22"/>
          <w:szCs w:val="22"/>
        </w:rPr>
        <w:t xml:space="preserve">38</w:t>
      </w:r>
    </w:p>
    <w:p>
      <w:pPr>
        <w:tabs>
          <w:tab w:val="right" w:pos="8838" w:leader="dot"/>
        </w:tabs>
        <w:spacing w:after="0" w:before="0" w:line="360"/>
        <w:ind w:left="567" w:right="0"/>
      </w:pPr>
      <w:r>
        <w:rPr>
          <w:rFonts w:ascii="Arial" w:cs="Arial" w:eastAsia="Arial" w:hAnsi="Arial"/>
          <w:color w:val="000000"/>
          <w:sz w:val="22"/>
          <w:szCs w:val="22"/>
        </w:rPr>
        <w:t xml:space="preserve">1.9.1. La garantía de cierre y sus dos funciones	</w:t>
      </w:r>
      <w:r>
        <w:rPr>
          <w:rFonts w:ascii="Arial" w:cs="Arial" w:eastAsia="Arial" w:hAnsi="Arial"/>
          <w:color w:val="000000"/>
          <w:sz w:val="22"/>
          <w:szCs w:val="22"/>
        </w:rPr>
        <w:t xml:space="preserve">38</w:t>
      </w:r>
    </w:p>
    <w:p>
      <w:pPr>
        <w:tabs>
          <w:tab w:val="right" w:pos="8838" w:leader="dot"/>
        </w:tabs>
        <w:spacing w:after="0" w:before="0" w:line="360"/>
        <w:ind w:left="567" w:right="0"/>
      </w:pPr>
      <w:r>
        <w:rPr>
          <w:rFonts w:ascii="Arial" w:cs="Arial" w:eastAsia="Arial" w:hAnsi="Arial"/>
          <w:color w:val="000000"/>
          <w:sz w:val="22"/>
          <w:szCs w:val="22"/>
        </w:rPr>
        <w:t xml:space="preserve">1.9.2. Motivación-actividad y motivación-documento	</w:t>
      </w:r>
      <w:r>
        <w:rPr>
          <w:rFonts w:ascii="Arial" w:cs="Arial" w:eastAsia="Arial" w:hAnsi="Arial"/>
          <w:color w:val="000000"/>
          <w:sz w:val="22"/>
          <w:szCs w:val="22"/>
        </w:rPr>
        <w:t xml:space="preserve">40</w:t>
      </w:r>
    </w:p>
    <w:p>
      <w:pPr>
        <w:tabs>
          <w:tab w:val="right" w:pos="8838" w:leader="dot"/>
        </w:tabs>
        <w:spacing w:after="0" w:before="0" w:line="360"/>
        <w:ind w:left="567" w:right="0"/>
      </w:pPr>
      <w:r>
        <w:rPr>
          <w:rFonts w:ascii="Arial" w:cs="Arial" w:eastAsia="Arial" w:hAnsi="Arial"/>
          <w:color w:val="000000"/>
          <w:sz w:val="22"/>
          <w:szCs w:val="22"/>
        </w:rPr>
        <w:t xml:space="preserve">1.9.3. Completitud y contenido exigible	</w:t>
      </w:r>
      <w:r>
        <w:rPr>
          <w:rFonts w:ascii="Arial" w:cs="Arial" w:eastAsia="Arial" w:hAnsi="Arial"/>
          <w:color w:val="000000"/>
          <w:sz w:val="22"/>
          <w:szCs w:val="22"/>
        </w:rPr>
        <w:t xml:space="preserve">42</w:t>
      </w:r>
    </w:p>
    <w:p>
      <w:pPr>
        <w:tabs>
          <w:tab w:val="right" w:pos="8838" w:leader="dot"/>
        </w:tabs>
        <w:spacing w:after="0" w:before="0" w:line="360"/>
        <w:ind w:left="283" w:right="0"/>
      </w:pPr>
      <w:r>
        <w:rPr>
          <w:rFonts w:ascii="Arial" w:cs="Arial" w:eastAsia="Arial" w:hAnsi="Arial"/>
          <w:color w:val="000000"/>
          <w:sz w:val="22"/>
          <w:szCs w:val="22"/>
        </w:rPr>
        <w:t xml:space="preserve">1.10. Recapitulación: nueve categorías operativas	</w:t>
      </w:r>
      <w:r>
        <w:rPr>
          <w:rFonts w:ascii="Arial" w:cs="Arial" w:eastAsia="Arial" w:hAnsi="Arial"/>
          <w:color w:val="000000"/>
          <w:sz w:val="22"/>
          <w:szCs w:val="22"/>
        </w:rPr>
        <w:t xml:space="preserve">44</w:t>
      </w:r>
    </w:p>
    <w:p>
      <w:pPr>
        <w:tabs>
          <w:tab w:val="right" w:pos="8838" w:leader="dot"/>
        </w:tabs>
        <w:spacing w:after="0" w:before="0" w:line="360"/>
        <w:ind w:left="567" w:right="0"/>
      </w:pPr>
      <w:r>
        <w:rPr>
          <w:rFonts w:ascii="Arial" w:cs="Arial" w:eastAsia="Arial" w:hAnsi="Arial"/>
          <w:color w:val="000000"/>
          <w:sz w:val="22"/>
          <w:szCs w:val="22"/>
        </w:rPr>
        <w:t xml:space="preserve">1.10.1. Las nueve categorías	</w:t>
      </w:r>
      <w:r>
        <w:rPr>
          <w:rFonts w:ascii="Arial" w:cs="Arial" w:eastAsia="Arial" w:hAnsi="Arial"/>
          <w:color w:val="000000"/>
          <w:sz w:val="22"/>
          <w:szCs w:val="22"/>
        </w:rPr>
        <w:t xml:space="preserve">45</w:t>
      </w:r>
    </w:p>
    <w:p>
      <w:pPr>
        <w:tabs>
          <w:tab w:val="right" w:pos="8838" w:leader="dot"/>
        </w:tabs>
        <w:spacing w:after="0" w:before="0" w:line="360"/>
        <w:ind w:left="567" w:right="0"/>
      </w:pPr>
      <w:r>
        <w:rPr>
          <w:rFonts w:ascii="Arial" w:cs="Arial" w:eastAsia="Arial" w:hAnsi="Arial"/>
          <w:color w:val="000000"/>
          <w:sz w:val="22"/>
          <w:szCs w:val="22"/>
        </w:rPr>
        <w:t xml:space="preserve">1.10.2. Alcance y límites de la rejilla	</w:t>
      </w:r>
      <w:r>
        <w:rPr>
          <w:rFonts w:ascii="Arial" w:cs="Arial" w:eastAsia="Arial" w:hAnsi="Arial"/>
          <w:color w:val="000000"/>
          <w:sz w:val="22"/>
          <w:szCs w:val="22"/>
        </w:rPr>
        <w:t xml:space="preserve">47</w:t>
      </w:r>
    </w:p>
    <w:p>
      <w:pPr>
        <w:sectPr>
          <w:footerReference w:type="default" r:id="rId7"/>
          <w:pgSz w:w="12240" w:h="15840" w:orient="portrait"/>
          <w:pgMar w:top="1417" w:right="1701" w:bottom="1417" w:left="1701" w:header="708" w:footer="708" w:gutter="0"/>
          <w:pgNumType w:start="1" w:fmt="lowerRoman"/>
          <w:docGrid w:linePitch="360"/>
        </w:sectPr>
      </w:pP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1"/>
        <w:keepNext/>
        <w:spacing w:after="0" w:before="0" w:line="360"/>
        <w:jc w:val="center"/>
      </w:pPr>
      <w:r>
        <w:rPr>
          <w:rFonts w:ascii="Arial" w:cs="Arial" w:eastAsia="Arial" w:hAnsi="Arial"/>
          <w:b/>
          <w:bCs/>
          <w:color w:val="000000"/>
          <w:sz w:val="24"/>
          <w:szCs w:val="24"/>
        </w:rPr>
        <w:t xml:space="preserve">Capítulo 1</w:t>
      </w:r>
    </w:p>
    <w:p>
      <w:pPr>
        <w:keepNext/>
        <w:spacing w:after="0" w:before="0" w:line="360"/>
        <w:jc w:val="center"/>
      </w:pPr>
      <w:r>
        <w:rPr>
          <w:rFonts w:ascii="Arial" w:cs="Arial" w:eastAsia="Arial" w:hAnsi="Arial"/>
          <w:b/>
          <w:bCs/>
          <w:color w:val="000000"/>
          <w:sz w:val="24"/>
          <w:szCs w:val="24"/>
        </w:rPr>
        <w:t xml:space="preserve">Categorías de epistemología jurídica para la prueba por indicios</w:t>
      </w:r>
    </w:p>
    <w:p>
      <w:pPr>
        <w:keepNext/>
        <w:spacing w:after="0" w:before="0" w:line="360"/>
      </w:pPr>
      <w:r>
        <w:rPr>
          <w:rFonts w:ascii="Arial" w:cs="Arial" w:eastAsia="Arial" w:hAnsi="Arial"/>
          <w:color w:val="000000"/>
          <w:sz w:val="24"/>
          <w:szCs w:val="24"/>
        </w:rPr>
        <w:t xml:space="preserve"/>
      </w:r>
    </w:p>
    <w:p>
      <w:pPr>
        <w:spacing w:after="0" w:before="0" w:line="360"/>
        <w:ind w:left="567" w:right="567"/>
        <w:jc w:val="both"/>
      </w:pPr>
      <w:r>
        <w:rPr>
          <w:rFonts w:ascii="Arial" w:cs="Arial" w:eastAsia="Arial" w:hAnsi="Arial"/>
          <w:smallCaps/>
          <w:color w:val="000000"/>
          <w:sz w:val="22"/>
          <w:szCs w:val="22"/>
        </w:rPr>
        <w:t xml:space="preserve">Sumario: </w:t>
      </w:r>
      <w:r>
        <w:rPr>
          <w:rFonts w:ascii="Arial" w:cs="Arial" w:eastAsia="Arial" w:hAnsi="Arial"/>
          <w:color w:val="000000"/>
          <w:sz w:val="22"/>
          <w:szCs w:val="22"/>
        </w:rPr>
        <w:t xml:space="preserve">1.1. </w:t>
      </w:r>
      <w:r>
        <w:rPr>
          <w:rFonts w:ascii="Arial" w:cs="Arial" w:eastAsia="Arial" w:hAnsi="Arial"/>
          <w:i/>
          <w:iCs/>
          <w:color w:val="000000"/>
          <w:sz w:val="22"/>
          <w:szCs w:val="22"/>
        </w:rPr>
        <w:t xml:space="preserve">La decisión sobre los hechos es una operación de conocimiento sujeta a control racional. </w:t>
      </w:r>
      <w:r>
        <w:rPr>
          <w:rFonts w:ascii="Arial" w:cs="Arial" w:eastAsia="Arial" w:hAnsi="Arial"/>
          <w:color w:val="000000"/>
          <w:sz w:val="22"/>
          <w:szCs w:val="22"/>
        </w:rPr>
        <w:t xml:space="preserve">1.2. </w:t>
      </w:r>
      <w:r>
        <w:rPr>
          <w:rFonts w:ascii="Arial" w:cs="Arial" w:eastAsia="Arial" w:hAnsi="Arial"/>
          <w:i/>
          <w:iCs/>
          <w:color w:val="000000"/>
          <w:sz w:val="22"/>
          <w:szCs w:val="22"/>
        </w:rPr>
        <w:t xml:space="preserve">La averiguación de la verdad es la función epistémica del proceso. </w:t>
      </w:r>
      <w:r>
        <w:rPr>
          <w:rFonts w:ascii="Arial" w:cs="Arial" w:eastAsia="Arial" w:hAnsi="Arial"/>
          <w:color w:val="000000"/>
          <w:sz w:val="22"/>
          <w:szCs w:val="22"/>
        </w:rPr>
        <w:t xml:space="preserve">1.3. </w:t>
      </w:r>
      <w:r>
        <w:rPr>
          <w:rFonts w:ascii="Arial" w:cs="Arial" w:eastAsia="Arial" w:hAnsi="Arial"/>
          <w:i/>
          <w:iCs/>
          <w:color w:val="000000"/>
          <w:sz w:val="22"/>
          <w:szCs w:val="22"/>
        </w:rPr>
        <w:t xml:space="preserve">La actividad probatoria se descompone en tres momentos. </w:t>
      </w:r>
      <w:r>
        <w:rPr>
          <w:rFonts w:ascii="Arial" w:cs="Arial" w:eastAsia="Arial" w:hAnsi="Arial"/>
          <w:color w:val="000000"/>
          <w:sz w:val="22"/>
          <w:szCs w:val="22"/>
        </w:rPr>
        <w:t xml:space="preserve">1.4. </w:t>
      </w:r>
      <w:r>
        <w:rPr>
          <w:rFonts w:ascii="Arial" w:cs="Arial" w:eastAsia="Arial" w:hAnsi="Arial"/>
          <w:i/>
          <w:iCs/>
          <w:color w:val="000000"/>
          <w:sz w:val="22"/>
          <w:szCs w:val="22"/>
        </w:rPr>
        <w:t xml:space="preserve">La inferencia probatoria tiene una estructura identificable. </w:t>
      </w:r>
      <w:r>
        <w:rPr>
          <w:rFonts w:ascii="Arial" w:cs="Arial" w:eastAsia="Arial" w:hAnsi="Arial"/>
          <w:color w:val="000000"/>
          <w:sz w:val="22"/>
          <w:szCs w:val="22"/>
        </w:rPr>
        <w:t xml:space="preserve">1.5. </w:t>
      </w:r>
      <w:r>
        <w:rPr>
          <w:rFonts w:ascii="Arial" w:cs="Arial" w:eastAsia="Arial" w:hAnsi="Arial"/>
          <w:i/>
          <w:iCs/>
          <w:color w:val="000000"/>
          <w:sz w:val="22"/>
          <w:szCs w:val="22"/>
        </w:rPr>
        <w:t xml:space="preserve">La solidez de la inferencia admite criterios de control. </w:t>
      </w:r>
      <w:r>
        <w:rPr>
          <w:rFonts w:ascii="Arial" w:cs="Arial" w:eastAsia="Arial" w:hAnsi="Arial"/>
          <w:color w:val="000000"/>
          <w:sz w:val="22"/>
          <w:szCs w:val="22"/>
        </w:rPr>
        <w:t xml:space="preserve">1.6. </w:t>
      </w:r>
      <w:r>
        <w:rPr>
          <w:rFonts w:ascii="Arial" w:cs="Arial" w:eastAsia="Arial" w:hAnsi="Arial"/>
          <w:i/>
          <w:iCs/>
          <w:color w:val="000000"/>
          <w:sz w:val="22"/>
          <w:szCs w:val="22"/>
        </w:rPr>
        <w:t xml:space="preserve">El conjunto probatorio excede la suma de sus elementos. </w:t>
      </w:r>
      <w:r>
        <w:rPr>
          <w:rFonts w:ascii="Arial" w:cs="Arial" w:eastAsia="Arial" w:hAnsi="Arial"/>
          <w:color w:val="000000"/>
          <w:sz w:val="22"/>
          <w:szCs w:val="22"/>
        </w:rPr>
        <w:t xml:space="preserve">1.7. </w:t>
      </w:r>
      <w:r>
        <w:rPr>
          <w:rFonts w:ascii="Arial" w:cs="Arial" w:eastAsia="Arial" w:hAnsi="Arial"/>
          <w:i/>
          <w:iCs/>
          <w:color w:val="000000"/>
          <w:sz w:val="22"/>
          <w:szCs w:val="22"/>
        </w:rPr>
        <w:t xml:space="preserve">La libre convicción no es un criterio de valoración. </w:t>
      </w:r>
      <w:r>
        <w:rPr>
          <w:rFonts w:ascii="Arial" w:cs="Arial" w:eastAsia="Arial" w:hAnsi="Arial"/>
          <w:color w:val="000000"/>
          <w:sz w:val="22"/>
          <w:szCs w:val="22"/>
        </w:rPr>
        <w:t xml:space="preserve">1.8. </w:t>
      </w:r>
      <w:r>
        <w:rPr>
          <w:rFonts w:ascii="Arial" w:cs="Arial" w:eastAsia="Arial" w:hAnsi="Arial"/>
          <w:i/>
          <w:iCs/>
          <w:color w:val="000000"/>
          <w:sz w:val="22"/>
          <w:szCs w:val="22"/>
        </w:rPr>
        <w:t xml:space="preserve">Un estándar subjetivo no cumple la función de un estándar. </w:t>
      </w:r>
      <w:r>
        <w:rPr>
          <w:rFonts w:ascii="Arial" w:cs="Arial" w:eastAsia="Arial" w:hAnsi="Arial"/>
          <w:color w:val="000000"/>
          <w:sz w:val="22"/>
          <w:szCs w:val="22"/>
        </w:rPr>
        <w:t xml:space="preserve">1.9. </w:t>
      </w:r>
      <w:r>
        <w:rPr>
          <w:rFonts w:ascii="Arial" w:cs="Arial" w:eastAsia="Arial" w:hAnsi="Arial"/>
          <w:i/>
          <w:iCs/>
          <w:color w:val="000000"/>
          <w:sz w:val="22"/>
          <w:szCs w:val="22"/>
        </w:rPr>
        <w:t xml:space="preserve">La motivación convierte la decisión en objeto de control externo. </w:t>
      </w:r>
      <w:r>
        <w:rPr>
          <w:rFonts w:ascii="Arial" w:cs="Arial" w:eastAsia="Arial" w:hAnsi="Arial"/>
          <w:color w:val="000000"/>
          <w:sz w:val="22"/>
          <w:szCs w:val="22"/>
        </w:rPr>
        <w:t xml:space="preserve">1.10. </w:t>
      </w:r>
      <w:r>
        <w:rPr>
          <w:rFonts w:ascii="Arial" w:cs="Arial" w:eastAsia="Arial" w:hAnsi="Arial"/>
          <w:i/>
          <w:iCs/>
          <w:color w:val="000000"/>
          <w:sz w:val="22"/>
          <w:szCs w:val="22"/>
        </w:rPr>
        <w:t xml:space="preserve">Recapitulación. </w:t>
      </w:r>
    </w:p>
    <w:p>
      <w:pPr>
        <w:keepNext/>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 </w:t>
      </w:r>
      <w:r>
        <w:rPr>
          <w:rFonts w:ascii="Arial" w:cs="Arial" w:eastAsia="Arial" w:hAnsi="Arial"/>
          <w:i/>
          <w:iCs/>
          <w:color w:val="000000"/>
          <w:sz w:val="24"/>
          <w:szCs w:val="24"/>
        </w:rPr>
        <w:t xml:space="preserve">La decisión sobre los hechos es una operación de conocimiento sujeta a control racional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Todo litigio se decide sobre hechos. Antes de aplicar norma alguna, el juzgador debe establecer qué ocurrió, y de esa determinación depende cuanto venga después: la calificación jurídica, la consecuencia prevista y el sentido del fallo. La operación parece sencilla y no lo es. El juez no presenció los acontecimientos sobre los que resuelve y llega a ellos por vía indirecta, a través de documentos, imágenes y declaraciones de fiabilidad desigual, aportados además por quienes tienen interés en el resultado. En materia electoral esa distancia se acentúa. Los hechos que suelen alegarse —la entrega de propaganda, la presión sobre el electorado, la intervención de servidores públicos durante la jornada— ocurren de forma dispersa, en miles de puntos simultáneos, sin registro oficial y ante testigos que rara vez son neutrales.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tradición jurídica ha dedicado a esa operación mucho menos esfuerzo que a la interpretación de las normas. Sobre cómo debe entenderse un precepto existen escuelas, métodos y una densa jurisprudencia de control. Sobre cómo debe establecerse un hecho, el derecho ofrece poco más que remisiones genéricas a la lógica, a la sana crítica y a la experiencia, fórmulas que nombran el problema sin resolverlo. La asimetría resulta llamativa si se repara en que el margen de apreciación del juzgador es mayor al fijar los hechos que al interpretar la ley, y en que la mayoría de los litigios se gana o se pierde en el terreno fáctico. Donde más poder se ejerce es donde menos controles se han construido.</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desproporción nace una pregunta previa a cualquier método de valoración. La valoración de la prueba admite control racional o queda entregada a la conciencia del juzgador, y entre esas dos posibilidades no existe término medio. La primera alternativa supone que la fijación judicial de los hechos constituye una operación de conocimiento, susceptible de acierto y de error y sujeta por ello a criterios de corrección. La segunda la convierte en un acto de voluntad que se agota en su propia enunciación. Tres razones sostienen la primera.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1.1.1. </w:t>
      </w:r>
      <w:r>
        <w:rPr>
          <w:rFonts w:ascii="Arial" w:cs="Arial" w:eastAsia="Arial" w:hAnsi="Arial"/>
          <w:i/>
          <w:iCs/>
          <w:color w:val="000000"/>
          <w:sz w:val="24"/>
          <w:szCs w:val="24"/>
        </w:rPr>
        <w:t xml:space="preserve">La conquista histórica de la racionalidad probatoria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tradición jurídica trató durante siglos el conocimiento de los hechos como una cuestión pacífica. El lema de esa tradición es exacto: «Los hechos son los hechos y no necesitan ser argumentados». La confianza descansaba en la evidencia de los hechos, y lo evidente no reclama justificación alguna. Esa seguridad, sin embargo, nunca estuvo presente en todos los modelos judiciales.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w:t>
      </w:r>
    </w:p>
    <w:p>
      <w:pPr>
        <w:spacing w:after="0" w:before="0" w:line="360"/>
        <w:ind w:firstLine="708"/>
        <w:jc w:val="both"/>
      </w:pPr>
      <w:r>
        <w:rPr>
          <w:rFonts w:ascii="Arial" w:cs="Arial" w:eastAsia="Arial" w:hAnsi="Arial"/>
          <w:b w:val="false"/>
          <w:bCs w:val="false"/>
          <w:i w:val="false"/>
          <w:iCs w:val="false"/>
          <w:color w:val="000000"/>
          <w:sz w:val="24"/>
          <w:szCs w:val="24"/>
        </w:rPr>
        <w:t xml:space="preserve">Durante un largo periodo la construcción de la premisa fáctica se apoyó en ritos y procedimientos mágicos donde no cabía apelación alguna a la razón. Esa etapa constituye una experiencia mística de búsqueda de la verdad: a veces se trató de la búsqueda de una decisión aleatoria o de un dictamen sobrenatural, antes que de un método con apariencias de racionalidad. El caso característico es la ordalía, entendida en sentido amplio como duelo judicial, ordalía y juicio de Dios (Gascón Abellán, 2010, p. 12).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w:t>
      </w:r>
    </w:p>
    <w:p>
      <w:pPr>
        <w:spacing w:after="0" w:before="0" w:line="360"/>
        <w:ind w:firstLine="708"/>
        <w:jc w:val="both"/>
      </w:pPr>
      <w:r>
        <w:rPr>
          <w:rFonts w:ascii="Arial" w:cs="Arial" w:eastAsia="Arial" w:hAnsi="Arial"/>
          <w:b w:val="false"/>
          <w:bCs w:val="false"/>
          <w:i w:val="false"/>
          <w:iCs w:val="false"/>
          <w:color w:val="000000"/>
          <w:sz w:val="24"/>
          <w:szCs w:val="24"/>
        </w:rPr>
        <w:t xml:space="preserve">Contra lo que suele suponerse, el tránsito hacia la prueba legal tasada mejoró la apariencia de racionalidad sin alterar la estructura del problema. La prueba de ordalía y la prueba legal constituyen supuestos de prueba formal, porque ambas excluyen la libre valoración del juez. Una y otra la sustituyen por un juicio infalible y superior. La fijación de los hechos en todo sistema tasado adopta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reconstrucción se sigue la consecuencia que aquí interesa. La comprensión de la actividad judicial como operación racional constituye una cualidad asociada a determinada cultura jurídica, y no un rasgo conceptual o definitorio de aquélla (Gascón Abellán, 2010, p. 13). La racionalidad probatoria se conquistó a lo largo de siglos y, por lo mismo, puede perderse sin que ninguna norma se derogue. Una práctica valorativa puede dejar de aplicarse sin que ningún criterio resulte abandonado de manera expresa, porque lo que la sostiene no es un precepto aislado sino una cultura jurídica que puede desvanecerse.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1.1.2. </w:t>
      </w:r>
      <w:r>
        <w:rPr>
          <w:rFonts w:ascii="Arial" w:cs="Arial" w:eastAsia="Arial" w:hAnsi="Arial"/>
          <w:i/>
          <w:iCs/>
          <w:color w:val="000000"/>
          <w:sz w:val="24"/>
          <w:szCs w:val="24"/>
        </w:rPr>
        <w:t xml:space="preserve">Realismo moderado y modelo cognoscitivista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La tradición del </w:t>
      </w:r>
      <w:r>
        <w:rPr>
          <w:rFonts w:ascii="Arial" w:cs="Arial" w:eastAsia="Arial" w:hAnsi="Arial"/>
          <w:b w:val="false"/>
          <w:bCs w:val="false"/>
          <w:i/>
          <w:iCs/>
          <w:color w:val="000000"/>
          <w:sz w:val="24"/>
          <w:szCs w:val="24"/>
        </w:rPr>
        <w:t xml:space="preserve">common law</w:t>
      </w:r>
      <w:r>
        <w:rPr>
          <w:rFonts w:ascii="Arial" w:cs="Arial" w:eastAsia="Arial" w:hAnsi="Arial"/>
          <w:b w:val="false"/>
          <w:bCs w:val="false"/>
          <w:i w:val="false"/>
          <w:iCs w:val="false"/>
          <w:color w:val="000000"/>
          <w:sz w:val="24"/>
          <w:szCs w:val="24"/>
        </w:rPr>
        <w:t xml:space="preserve"> las canceló desde el extremo contrario, al sostener que no hay más verdad que la procesalmente declarada.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entre esos dos conceptos es posible e incluso necesaria si se quiere dar cuenta del carácter autorizado, pero falible, de la declaración de hechos de la sentencia (Gascón Abellán, 2010, p. 41). Que la decisión ponga fin a la controversia no convierte en verdadero el enunciado que la sostiene. Mantener la distinción obliga a reconocer que la sentencia puede equivocarse; cancelarla convierte el error judicial en una categoría conceptualmente imposible. Un sistema que no puede pensar su propio error tampoco puede diseñar garantías contra él, ni admitir que una parte demuestre haberlo padecido, que es precisamente lo que un recurso pretende. La falibilidad de la sentencia no es una concesión al escepticismo: es la condición de que exista algo que revisar.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en elegir entre realismo ingenuo y escepticismo. Existe una tercera vía que adopta un paradigma epistemológico que toma en serio las tesis postpositivistas sobre la carga teórica de la observación, sin renunciar por ello a un cierto realismo (Gascón Abellán, 2010, p. 42). El juicio de hecho se concibe como una elección entre reconstrucciones posibles de los hechos de la causa. Resulta racional escoger la hipótesis confirmada en un nivel mayor al de la hipótesis contraria; cuando concurren varias hipótesis sobre el mismo hecho, el criterio racional consiste en elegir la que aparece sustentada por un grado de corroboración probatoria relativamente mayor al de todas las demás (Taruffo, 2013, p. 62).</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entre verdad y prueba pone de manifiesto la necesidad de establecer garantías epistemológicas para que la declaración de hechos se aproxime lo más posible a la verdad (Gascón Abellán, 2010, p. 41). Un tribunal que se declara infalible no necesita esas garantías, porque por hipótesis nunca yerra; un tribunal que niega la posibilidad de conocer tampoco las necesita, porque no hay nada que garantizar. Solo el realismo moderado las vuelve exigibles, y ahí reside su rendimiento: no es una posición intermedia adoptada por prudencia, sino la única desde la cual cabe reclamar un control.</w:t>
      </w:r>
    </w:p>
    <w:p>
      <w:pPr>
        <w:spacing w:after="0" w:before="0" w:line="360"/>
        <w:ind w:firstLine="708"/>
        <w:jc w:val="both"/>
      </w:pPr>
      <w:r>
        <w:rPr>
          <w:rFonts w:ascii="Arial" w:cs="Arial" w:eastAsia="Arial" w:hAnsi="Arial"/>
          <w:b w:val="false"/>
          <w:bCs w:val="false"/>
          <w:i w:val="false"/>
          <w:iCs w:val="false"/>
          <w:color w:val="000000"/>
          <w:sz w:val="24"/>
          <w:szCs w:val="24"/>
        </w:rPr>
        <w:t xml:space="preserve">Ese realismo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color w:val="000000"/>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color w:val="000000"/>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y la ventaja,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El juez carece de acceso directo a los hechos y solo conoce enunciados sobre ellos, cuya verdad debe acreditarse. La verdad de tales enunciados se obtiene casi siempre por vía inductiva. La averiguación se desarrolla a través de cauces institucionales que muchas veces estorban ese objetivo. Las tres dificultades se acumulan cuando la prueba es indirecta, y reforzar al máximo las garantías de verdad del proceso supone una exigencia de motivación (Gascón Abellán, 2010, p. 50).</w:t>
      </w:r>
    </w:p>
    <w:p>
      <w:pPr>
        <w:spacing w:after="0" w:before="0" w:line="360"/>
        <w:ind w:firstLine="708"/>
        <w:jc w:val="both"/>
      </w:pPr>
      <w:r>
        <w:rPr>
          <w:rFonts w:ascii="Arial" w:cs="Arial" w:eastAsia="Arial" w:hAnsi="Arial"/>
          <w:b w:val="false"/>
          <w:bCs w:val="false"/>
          <w:i w:val="false"/>
          <w:iCs w:val="false"/>
          <w:color w:val="000000"/>
          <w:sz w:val="24"/>
          <w:szCs w:val="24"/>
        </w:rPr>
        <w:t xml:space="preserve">El juzgador electoral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resulta condición de que exista material sobre el cual razonar. Un tribunal que no fija el hecho fuente no dispone de premisas, sino de afirmaciones.</w:t>
      </w:r>
    </w:p>
    <w:p>
      <w:pPr>
        <w:spacing w:after="0" w:before="0" w:line="360"/>
        <w:ind w:firstLine="708"/>
        <w:jc w:val="both"/>
      </w:pPr>
      <w:r>
        <w:rPr>
          <w:rFonts w:ascii="Arial" w:cs="Arial" w:eastAsia="Arial" w:hAnsi="Arial"/>
          <w:b w:val="false"/>
          <w:bCs w:val="false"/>
          <w:i w:val="false"/>
          <w:iCs w:val="false"/>
          <w:color w:val="000000"/>
          <w:sz w:val="24"/>
          <w:szCs w:val="24"/>
        </w:rPr>
        <w:t xml:space="preserve">Como esquema teórico, el modelo permite describir de manera simplificada realidades que en la práctica son complejas, y como parámetro permite medir esas mismas realidades (Gascón Abellán, 2010, p. 47). Lo buscado es un modelo epistemológico teórico y útil, cuya utilidad consiste en examinar los procedimientos reales y en realizar una crítica epistémica sobre ellos, comparándolos con los principios derivados del modelo y proponiendo la reforma de los aspectos que se separen de él. Describir y proponer son operaciones distintas, y mantenerlas separadas evita que la crítica se confunda con el diagnóstico.</w:t>
      </w:r>
    </w:p>
    <w:p>
      <w:pPr>
        <w:spacing w:after="0" w:before="0" w:line="360"/>
        <w:ind w:firstLine="708"/>
        <w:jc w:val="both"/>
      </w:pPr>
      <w:r>
        <w:rPr>
          <w:rFonts w:ascii="Arial" w:cs="Arial" w:eastAsia="Arial" w:hAnsi="Arial"/>
          <w:b w:val="false"/>
          <w:bCs w:val="false"/>
          <w:i w:val="false"/>
          <w:iCs w:val="false"/>
          <w:color w:val="000000"/>
          <w:sz w:val="24"/>
          <w:szCs w:val="24"/>
        </w:rPr>
        <w:t xml:space="preserve">Un modelo de descubrimiento no puede confundirse con el descubrimiento mismo, ni un modelo de justificación con la justificación. Confundirlos supone incurrir en la falacia de tomar el deber ser por el ser (Gascón Abellán, 2010, p. 48). El riesgo consiste en presentar la práctica real «como si» transcurriera conforme al modelo. Cualquier protocolo de valoración corre ese peligro, porque puede degradarse hasta convertirse en una plantilla que legitime formalmente decisiones que no ejecutaron ninguno de sus pasos. La diferencia entre ejecutar un método y nombrarlo exige que cada operación conste de manera verificable en el texto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1.1.3. </w:t>
      </w:r>
      <w:r>
        <w:rPr>
          <w:rFonts w:ascii="Arial" w:cs="Arial" w:eastAsia="Arial" w:hAnsi="Arial"/>
          <w:i/>
          <w:iCs/>
          <w:color w:val="000000"/>
          <w:sz w:val="24"/>
          <w:szCs w:val="24"/>
        </w:rPr>
        <w:t xml:space="preserve">Los dos proyectos de la epistemología jurídica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disciplina que estudia estas cuestiones recibió un nombre y un programa precisos. Un sistema de justicia penal es primordialmente un motor epistémico: un dispositivo para descubrir la verdad a partir de lo que a menudo comienza con una mezcla confusa de pistas e indicios (Laudan, 2013, p. 23).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color w:val="000000"/>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color w:val="000000"/>
          <w:sz w:val="24"/>
          <w:szCs w:val="24"/>
        </w:rPr>
        <w:t xml:space="preserve">La epistemología jurídica apenas existe como área reconocida de reflexión, pese a la aceptación casi universal de que el proceso busca averiguar la verdad (Laudan, 2013,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El desplazamiento pertinente no consiste en discutir qué pruebas pueden ofrecerse ni cómo deben desahogarse, sino qué debe hacer el juzgador con las que ya obran en el expediente. La diferencia de objeto no es menor, porque un diagnóstico situado en el tratamiento del material probatorio no exige modificar el catálogo legal de medios, que permanece intacto en cuanto se refiere a su ofrecimiento y a su desahogo.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proyectos admiten una variante importante. El proyecto normativo no consiste necesariamente en proponer cambios a las reglas existentes. Puede consistir en explicitar el contenido de reglas que ya rigen, cuando el diagnóstico no identifica una regla defectuosa sino una regla nunca desarrollada. Esa variante resulta menos ambiciosa pero gana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color w:val="000000"/>
          <w:sz w:val="24"/>
          <w:szCs w:val="24"/>
        </w:rPr>
        <w:t xml:space="preserve">Una precisión final delimita el alcance de las categorías reunidas. Gascón Abellán y Laudan construyen sus modelos con la mirada puesta en el proceso penal, donde rige la presunción de inocencia y existe una asimetría deliberada entre los tipos de error (Laudan, 2013, p. 22). Ese régimen de garantías no se traslada sin más al derecho electoral. Lo que de ambos autores se toma es algo distinto y más básico: la tesis de que la fijación judicial de los hechos constituye una operación de conocimiento y admite criterios de corrección verificables. Esa tesis no depende de la materia en que se aplique.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1.2. </w:t>
      </w:r>
      <w:r>
        <w:rPr>
          <w:rFonts w:ascii="Arial" w:cs="Arial" w:eastAsia="Arial" w:hAnsi="Arial"/>
          <w:i/>
          <w:iCs/>
          <w:color w:val="000000"/>
          <w:sz w:val="24"/>
          <w:szCs w:val="24"/>
        </w:rPr>
        <w:t xml:space="preserve">La averiguación de la verdad es la función epistémica del proceso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Buena parte de la teoría procesal contemporánea niega que la averiguación de la verdad sea una finalidad del proceso, o la subordina a la resolución del conflicto y a la legitimación social de la decisión. La tesis contraria puede sostenerse con precisión y conviene enunciarla desde ahora: la averiguación de la verdad no es un ideal externo que el proceso persigue cuando puede, sino la condición que permite al derecho funcionar. De ella se siguen dos consecuencias. La prueba es el único instrumento epistémico admisible dentro del proceso. Y la verdad alcanzable resulta relativa a la cantidad y la calidad de las pruebas disponibles, lo que la vuelve graduable y, por tanto, mensurable.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1.2.1. </w:t>
      </w:r>
      <w:r>
        <w:rPr>
          <w:rFonts w:ascii="Arial" w:cs="Arial" w:eastAsia="Arial" w:hAnsi="Arial"/>
          <w:i/>
          <w:iCs/>
          <w:color w:val="000000"/>
          <w:sz w:val="24"/>
          <w:szCs w:val="24"/>
        </w:rPr>
        <w:t xml:space="preserve">Verdad y justicia de la decisión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aborda el problema desde las condiciones de éxito de la institución probatoria. El punto de partida es la función directiva del derecho. El legislador dicta normas para que sus destinatarios realicen o se abstengan de realizar determinadas conductas, y añade la amenaza de una sanción para quien no cumpla. Los sistemas jurídicos desarrollados prevén, por eso, órganos cuya función principal consiste en determinar la ocurrencia de los hechos a los que el derecho vincula consecuencias y en imponerlas a los sujetos previstos (Ferrer Beltrán, 2007, p. 29). La cadena completa depende de un eslabón fáctico, y si ese eslabón falla, fallan todos los que penden de él, por impecable que sea la técnica jurídica del resto de la resolución.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prueba esa dependencia mediante un experimento mental. Supone que la sanción se atribuya aleatoriamente, de modo que los órganos de adjudicación sorteen cada mes quién debe ser sancionado y cuántas sanciones se impondrán. En ese escenario no existe vinculación alguna entre la conducta de cada miembro de la sociedad y la probabilidad de ser sancionado. Nadie tiene entonces razón para comportarse conforme a las normas jurídicas. El experimento aísla con nitidez lo que aporta la averiguación de la verdad: sin ella, la norma deja de motivar, porque su consecuencia se desprende de algo distinto de la conducta que la norma describe. La conclusión es que la prueba tiene la función de comprobar la producción de los hechos condicionantes a los que el derecho vincula consecuencias jurídicas. El éxito de la institución probatoria se produce cuando las proposiciones sobre los hechos que se declaran probadas son verdaderas (Ferrer Beltrán, 2007, pp. 30-31).</w:t>
      </w:r>
    </w:p>
    <w:p>
      <w:pPr>
        <w:spacing w:after="0" w:before="0" w:line="360"/>
        <w:ind w:firstLine="708"/>
        <w:jc w:val="both"/>
      </w:pPr>
      <w:r>
        <w:rPr>
          <w:rFonts w:ascii="Arial" w:cs="Arial" w:eastAsia="Arial" w:hAnsi="Arial"/>
          <w:b w:val="false"/>
          <w:bCs w:val="false"/>
          <w:i w:val="false"/>
          <w:iCs w:val="false"/>
          <w:color w:val="000000"/>
          <w:sz w:val="24"/>
          <w:szCs w:val="24"/>
        </w:rPr>
        <w:t xml:space="preserve">Que la averiguación de la verdad sea el objetivo institucional de la prueba no significa que sea el único objetivo del proceso. La regulación jurídica de la prueba impone, en muchos casos, excepciones a las reglas de la epistemología general, y esas excepciones protegen otros valores que comparten tutela jurídica con la averiguación de la verdad (Ferrer Beltrán, 2007, p. 31). El derecho electoral ofrece ejemplos inmediatos, empezando por los plazos perentorios que la definitividad de las etapas impone. La existencia de esas excepciones no debilita la tesis: la refuerza, porque solo se concibe como excepción aquello que se aparta de una regla vigente.</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formula la misma tesis desde el lado de la justicia de la decisión, en términos que no admiten equívoco. Sostiene que en el proceso los hechos determinan la interpretación y la aplicación del derecho, porque la averiguación de la verdad de los hechos es condición necesaria para la justicia de la decisión (p. 13). El argumento es sencillo y difícil de refutar. Ninguna decisión puede considerarse justa si se basa en una averiguación falsa o errónea de los hechos relevantes. La aplicación correcta de la norma presupone que haya ocurrido el hecho que ella misma identifica como condición (Taruffo, 2013, p. 13). El autor lo resume en una fórmula memorable: ninguna norma se aplica correctamente a hechos falsos o equivocados.</w:t>
      </w:r>
    </w:p>
    <w:p>
      <w:pPr>
        <w:spacing w:after="0" w:before="0" w:line="360"/>
        <w:ind w:firstLine="708"/>
        <w:jc w:val="both"/>
      </w:pPr>
      <w:r>
        <w:rPr>
          <w:rFonts w:ascii="Arial" w:cs="Arial" w:eastAsia="Arial" w:hAnsi="Arial"/>
          <w:b w:val="false"/>
          <w:bCs w:val="false"/>
          <w:i w:val="false"/>
          <w:iCs w:val="false"/>
          <w:color w:val="000000"/>
          <w:sz w:val="24"/>
          <w:szCs w:val="24"/>
        </w:rPr>
        <w:t xml:space="preserve">La averiguación de la verdad constituye solo una de las condiciones de justicia de la decisión, que además presupone un proceso desarrollado de manera correcta y legítima y una norma interpretada correctamente. Se trata de una condición de por sí no suficiente, pero necesaria en todo caso. Que los hechos no se establezcan de manera verdadera basta para que la decisión sea injusta, aunque el proceso se haya desarrollado con toda corrección y la norma se haya interpretado con validez (Taruffo, 2013, p. 14). Ninguna de las tres condiciones es suficiente por separado, y las tres resultan necesarias en su conjunto. Quien pasa por alto la distinción entre condición necesaria y condición suficiente puede concluir, erróneamente, que basta con tramitar bien el proceso para decidir con justicia.</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concepción se alzan objeciones que el autor identifica y descarta. Menciona las filosofías que niegan la posibilidad de conocer la realidad externa al sujeto, entre ellas el relativismo radical según el cual cada quien tiene su verdad y nadie se equivoca. Menciona también las concepciones que orientan el proceso solo a resolver controversias, de las que se sigue que la averiguación de la verdad no figura entre sus finalidades. A los sostenedores de esas posiciones los denomina </w:t>
      </w:r>
      <w:r>
        <w:rPr>
          <w:rFonts w:ascii="Arial" w:cs="Arial" w:eastAsia="Arial" w:hAnsi="Arial"/>
          <w:b w:val="false"/>
          <w:bCs w:val="false"/>
          <w:i/>
          <w:iCs/>
          <w:color w:val="000000"/>
          <w:sz w:val="24"/>
          <w:szCs w:val="24"/>
        </w:rPr>
        <w:t xml:space="preserve">veriphobics</w:t>
      </w:r>
      <w:r>
        <w:rPr>
          <w:rFonts w:ascii="Arial" w:cs="Arial" w:eastAsia="Arial" w:hAnsi="Arial"/>
          <w:b w:val="false"/>
          <w:bCs w:val="false"/>
          <w:i w:val="false"/>
          <w:iCs w:val="false"/>
          <w:color w:val="000000"/>
          <w:sz w:val="24"/>
          <w:szCs w:val="24"/>
        </w:rPr>
        <w:t xml:space="preserve">, o enemigos de la verdad, y observa que son muchos y de clases distintas. Su crítica global es que, si a esas concepciones no les interesa el fundamento factual de la decisión judicial, entonces carecen de interés para quien se ocupa de cómo resolver litigios mediante decisiones justas (Taruffo, 2013, p. 16).</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1.2.2. </w:t>
      </w:r>
      <w:r>
        <w:rPr>
          <w:rFonts w:ascii="Arial" w:cs="Arial" w:eastAsia="Arial" w:hAnsi="Arial"/>
          <w:i/>
          <w:iCs/>
          <w:color w:val="000000"/>
          <w:sz w:val="24"/>
          <w:szCs w:val="24"/>
        </w:rPr>
        <w:t xml:space="preserve">Las concepciones ritual y retórica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concepciones merecen examen detenido, porque no niegan la verdad de manera frontal sino que la vuelven irrelevante. La primera es la concepción ritualista, que considera el proceso como un rito celebrado con ciertas modalidades, en lugares específicos y con sujetos vestidos de maneras extrañas. Bajo esa mirada, el proceso opera como una representación teatral cuya función consiste en legitimar la decisión ante los ojos del público que presencia el rito. Lo que cuenta no es la calidad ni el contenido de la decisión, sino el procedimiento que concluye con ella. La prueba queda reducida a una parte del rito, y su función se vuelve retóricamente persuasiva hacia el público (Taruffo, 2013, p. 82). Sirve para hacer creer que la decisión final no fue arbitraria, no para establecer que no lo fue.</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procedimiento de creación y asunción de la prueba sirve, bajo esa concepción, para crear una apariencia, de un modo no distinto de lo que sucede en una representación teatral. El fenómeno admite una lectura benévola, porque un teatro judicial que funciona bien produce consenso social sobre la administración de justicia. La objeción es que esa forma de pensar deja fuera el contenido y la calidad de la decisión. El autor lo enuncia con dureza: un rito eficaz puede legitimar cualquier decisión, incluso la condena de un inocente o la absolución de un culpable (Taruffo, 2013, p. 82). Basta con que el rito resulte eficaz para que la decisión sea aceptada, con lo que la aceptación social sustituye a la corrección sin que ninguna de las dos garantice la otra.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concepción entiende el proceso como una competencia verbal entre narraciones que termina con la victoria del narrador más eficaz. La prueba se convierte allí en un instrumento de persuasión del que los abogados se sirven para convencer al juez o al jurado. Esta concepción tampoco es extraña ni marginal, pues resulta típica de quienes participan en el proceso con el fin de que su cliente venza. La objeción es que también ella deja de lado el contenido y la calidad de la decisión. Ocurre con frecuencia que la victoria corresponde a la parte que desarrolló la mejor narración por ser retóricamente más eficaz, sin que esa narración tenga relación con la realidad de los hechos (Taruffo, 2013, p. 83).</w:t>
      </w:r>
    </w:p>
    <w:p>
      <w:pPr>
        <w:spacing w:after="0" w:before="0" w:line="360"/>
        <w:ind w:firstLine="708"/>
        <w:jc w:val="both"/>
      </w:pPr>
      <w:r>
        <w:rPr>
          <w:rFonts w:ascii="Arial" w:cs="Arial" w:eastAsia="Arial" w:hAnsi="Arial"/>
          <w:b w:val="false"/>
          <w:bCs w:val="false"/>
          <w:i w:val="false"/>
          <w:iCs w:val="false"/>
          <w:color w:val="000000"/>
          <w:sz w:val="24"/>
          <w:szCs w:val="24"/>
        </w:rPr>
        <w:t xml:space="preserve">Ninguna de las dos concepciones exige que el juzgador valore el material probatorio, porque en ambas el resultado depende de algo distinto del conocimiento de los hechos. Una sentencia puede, por tanto, cumplir todas las formas del rito —admitir pruebas, celebrar la sesión, publicar la resolución— sin haber ejecutado en ningún momento la operación epistémica que la justifica. La distinción de Taruffo permite nombrar con precisión ese fenómeno: no se trata de una valoración defectuosa, sino de un proceso que operó como rito sin operar como instrumento de conocimiento. La diferencia importa, porque una valoración defectuosa se corrige mejorando el razonamiento y una valoración omitida no se corrige en absoluto.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1.2.3. </w:t>
      </w:r>
      <w:r>
        <w:rPr>
          <w:rFonts w:ascii="Arial" w:cs="Arial" w:eastAsia="Arial" w:hAnsi="Arial"/>
          <w:i/>
          <w:iCs/>
          <w:color w:val="000000"/>
          <w:sz w:val="24"/>
          <w:szCs w:val="24"/>
        </w:rPr>
        <w:t xml:space="preserve">La relatividad de la verdad procesal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Frente a las concepciones anteriores, Taruffo sitúa la finalidad epistémica en el centro del proceso:</w:t>
      </w:r>
    </w:p>
    <w:p>
      <w:pPr>
        <w:spacing w:after="0" w:before="0" w:line="360"/>
        <w:ind w:left="708"/>
        <w:jc w:val="both"/>
      </w:pPr>
      <w:r>
        <w:rPr>
          <w:rFonts w:ascii="Arial" w:cs="Arial" w:eastAsia="Arial" w:hAnsi="Arial"/>
          <w:b w:val="false"/>
          <w:bCs w:val="false"/>
          <w:i w:val="false"/>
          <w:iCs w:val="false"/>
          <w:color w:val="000000"/>
          <w:sz w:val="22"/>
          <w:szCs w:val="22"/>
        </w:rPr>
        <w:t xml:space="preserve">De esta forma se asigna al proceso una finalidad epistémica, ya que el descubrimiento de la verdad de las narraciones factuales se configura como una condición necesaria de la justicia de la decisión, y entonces también como un objetivo necesario del proceso. (Taruffo, 2013,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verdad así entendida no es absoluta. Taruffo (2013) precisa que en el proceso, como en cualquier experiencia humana incluida la ciencia, no se descubren verdades absolutas, de modo que la verdad procesal debe considerarse relativa (p. 84). Esa relatividad requiere una lectura cuidadosa, y el autor la ofrece. No se trata de verdad relativa en el sentido del relativismo filosófico radical, según el cual cada sujeto tiene su propia verdad. Se trata de que la verdad se fundamenta en informaciones que permiten establecer si un enunciado es cierto, porque se apoya en datos que lo confirman (Taruffo, 2013, p. 84). La formulación decisiva llega enseguida: la verdad de los enunciados sobre los hechos del caso es relativa a la cantidad y la calidad de las pruebas en las que el juez basa su decisión (Taruffo, 2013, p. 84). La verdad opera entonces como un norte, esto es, como un ideal regulativo que orienta la actividad cognoscitiva (Taruffo, 2013, p. 85). Aunque ese norte nunca se alcance, resulta posible establecer cuánto se ha progresado en la dirección que marca.</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relatividad deriva una consecuencia con alcance práctico considerable. Si la verdad procesal es relativa a la cantidad y la calidad de las pruebas, entonces el grado alcanzado es susceptible de medición y, por tanto, de enunciación. En el proceso puede establecerse, según las pruebas, en qué grado mayor o menor se ha acercado la decisión a la correspondencia entre los enunciados descriptivos y la realidad que describen (Taruffo, 2013, p. 85). Un estándar de suficiencia probatoria no hace otra cosa que fijar de antemano el grado exigible. La ausencia de estándar no elimina esa graduación, sino que la deja implícita y, con ello, sustraída al control de las partes. El problema no consiste en que los tribunales gradúen, sino en que no digan cómo lo hacen.</w:t>
      </w:r>
    </w:p>
    <w:p>
      <w:pPr>
        <w:spacing w:after="0" w:before="0" w:line="360"/>
        <w:ind w:firstLine="708"/>
        <w:jc w:val="both"/>
      </w:pPr>
      <w:r>
        <w:rPr>
          <w:rFonts w:ascii="Arial" w:cs="Arial" w:eastAsia="Arial" w:hAnsi="Arial"/>
          <w:b w:val="false"/>
          <w:bCs w:val="false"/>
          <w:i w:val="false"/>
          <w:iCs w:val="false"/>
          <w:color w:val="000000"/>
          <w:sz w:val="24"/>
          <w:szCs w:val="24"/>
        </w:rPr>
        <w:t xml:space="preserve">La función epistémica de la prueba se articula, además, en dos dimensiones complementarias. La primera es heurística: la prueba sirve para descubrir qué ocurrió, pues antes de su adquisición solo caben ilaciones y narraciones hipotéticas (Taruffo, 2013, p. 85). La segunda es cognoscitiva o demostrativa, porque la prueba aporta los elementos que permiten reconocer el hecho y considerar verificada la verdad de los enunciados que lo describen (Taruffo, 2013, p. 86). De ambas dimensiones deriva una regla exigente. La prueba constituye un instrumento epistémico exclusivo, por ser la única manera posible de adquirir conocimiento de los hechos en el proceso, y resulta además indispensable adquirir todas las pruebas disponibles (Taruffo, 2013, p. 86). Un tribunal que ignora un elemento que consta en el expediente incumple esa exigencia.</w:t>
      </w:r>
    </w:p>
    <w:p>
      <w:pPr>
        <w:spacing w:after="0" w:before="0" w:line="360"/>
        <w:ind w:firstLine="708"/>
        <w:jc w:val="both"/>
      </w:pPr>
      <w:r>
        <w:rPr>
          <w:rFonts w:ascii="Arial" w:cs="Arial" w:eastAsia="Arial" w:hAnsi="Arial"/>
          <w:b w:val="false"/>
          <w:bCs w:val="false"/>
          <w:i w:val="false"/>
          <w:iCs w:val="false"/>
          <w:color w:val="000000"/>
          <w:sz w:val="24"/>
          <w:szCs w:val="24"/>
        </w:rPr>
        <w:t xml:space="preserve">Cuando un hecho no resulta suficientemente probado, el juez no puede pronunciar un </w:t>
      </w:r>
      <w:r>
        <w:rPr>
          <w:rFonts w:ascii="Arial" w:cs="Arial" w:eastAsia="Arial" w:hAnsi="Arial"/>
          <w:b w:val="false"/>
          <w:bCs w:val="false"/>
          <w:i/>
          <w:iCs/>
          <w:color w:val="000000"/>
          <w:sz w:val="24"/>
          <w:szCs w:val="24"/>
        </w:rPr>
        <w:t xml:space="preserve">non liquet</w:t>
      </w:r>
      <w:r>
        <w:rPr>
          <w:rFonts w:ascii="Arial" w:cs="Arial" w:eastAsia="Arial" w:hAnsi="Arial"/>
          <w:b w:val="false"/>
          <w:bCs w:val="false"/>
          <w:i w:val="false"/>
          <w:iCs w:val="false"/>
          <w:color w:val="000000"/>
          <w:sz w:val="24"/>
          <w:szCs w:val="24"/>
        </w:rPr>
        <w:t xml:space="preserve"> y debe decidir de todos modos. Habrá de hacerlo, entonces, aplicando la regla de juicio basada en la carga de la prueba, en lugar del conocimiento de los hechos (Taruffo, 2013, p. 86). Un tribunal que estima insuficiente el material probatorio dispone así de una salida legítima y nombrable, que consiste en declararlo y resolver conforme a esa regla. Lo que no resulta admisible es omitir la valoración y, al mismo tiempo, omitir la invocación de la regla de juicio, porque esa doble omisión deja la decisión sin fundamento epistémico y sin fundamento normativo a la vez.</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1.3. </w:t>
      </w:r>
      <w:r>
        <w:rPr>
          <w:rFonts w:ascii="Arial" w:cs="Arial" w:eastAsia="Arial" w:hAnsi="Arial"/>
          <w:i/>
          <w:iCs/>
          <w:color w:val="000000"/>
          <w:sz w:val="24"/>
          <w:szCs w:val="24"/>
        </w:rPr>
        <w:t xml:space="preserve">La actividad probatoria se descompone en tres momentos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operación de fijar los hechos no es unitaria y su descomposición en fases tiene rendimiento analítico inmediato. Ferrer Beltrán (2007) propone una descomposición en tres momentos cuya utilidad es doble: permite localizar con precisión en qué fase opera cada restricción jurídica, y permite advertir que la valoración, por sí sola, no decide nada. Entre valorar y resolver media un estándar, y cuando ese estándar no se enuncia el tránsito queda sin control.</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1.3.1. </w:t>
      </w:r>
      <w:r>
        <w:rPr>
          <w:rFonts w:ascii="Arial" w:cs="Arial" w:eastAsia="Arial" w:hAnsi="Arial"/>
          <w:i/>
          <w:iCs/>
          <w:color w:val="000000"/>
          <w:sz w:val="24"/>
          <w:szCs w:val="24"/>
        </w:rPr>
        <w:t xml:space="preserve">La conformación del conjunto de elementos de juicio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distingue tres momentos fundamentales: la conformación del conjunto de elementos de juicio sobre cuya base se adoptará la decisión, la valoración de esos elementos y la adopción de la decisión propiamente dicha. Se trata de tres momentos lógicamente distintos y sucesivos, aunque en los procesos reales puedan presentarse entrelazados (p. 41). Esa advertencia importa, porque el entrelazamiento práctico no autoriza a confundirlos en el análisis: cada uno se rige por criterios distintos, y confundirlos produce errores que resultan invisibles mientras la distinción no se traza.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primero consiste en conformar, mediante la proposición y la práctica de las pruebas, un conjunto de elementos de juicio que apoyen o refuten las distintas hipótesis sobre los hechos del caso (Ferrer Beltrán, 2007, p. 41). En los demás ámbitos del conocimiento el conjunto que puede analizarse coincide con el total de las informaciones disponibles y relevantes. En el derecho, en cambio, el conjunto de elementos a valorar es un subconjunto del formado por la totalidad de los elementos disponibles: aquellos que han sido incorporados al expediente judicial (p. 42). El juzgador no puede resolver con lo que sabe, sino con lo que consta, y lo que queda fuera del expediente queda fuera del razonamiento por pertinente que sea.</w:t>
      </w:r>
    </w:p>
    <w:p>
      <w:pPr>
        <w:spacing w:after="0" w:before="0" w:line="360"/>
        <w:ind w:firstLine="708"/>
        <w:jc w:val="both"/>
      </w:pPr>
      <w:r>
        <w:rPr>
          <w:rFonts w:ascii="Arial" w:cs="Arial" w:eastAsia="Arial" w:hAnsi="Arial"/>
          <w:b w:val="false"/>
          <w:bCs w:val="false"/>
          <w:i w:val="false"/>
          <w:iCs w:val="false"/>
          <w:color w:val="000000"/>
          <w:sz w:val="24"/>
          <w:szCs w:val="24"/>
        </w:rPr>
        <w:t xml:space="preserve">Esa restricción se articula mediante filtros de signo opuesto. El primero es epistemológico y opera como principio general de inclusión: una prueba es relevante si aporta apoyo o refutación de alguna de las hipótesis fácticas del caso a la luz de los principios generales de la lógica y de la ciencia (Ferrer Beltrán, 2007, p. 42). A ese filtro inclusivo el derecho añade reglas de exclusión que se justifican en la protección de valores distintos de la averiguación de la verdad (p. 43). Entre esas reglas figura una que el derecho electoral mexicano aplica con particular rigor: los propios plazos procesales operan como regla de exclusión, de modo que queda fuera toda información aportada fuera de los plazos previstos, aunque sea relevante (p. 43).</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correspondencia con la ley mexicana es exacta. El artículo 15, párrafo 1, de la Ley General del Sistema de Medios de Impugnación en Materia Electoral establece un catálogo tasado de medios admisibles, que funciona como regla de exclusión de los no enumerados. El artículo 16, párrafo 4, dispone que en ningún caso se tomarán en cuenta para resolver las pruebas ofrecidas o aportadas fuera de los plazos legales, salvo la prueba superveniente. Ambos preceptos empobrecen deliberadamente el conjunto de elementos de juicio en nombre de la definitividad de las etapas del proceso electoral. La observación no es una crítica, sino la constatación de que el legislador ya decidió sacrificar riqueza epistémica en el primer momento, lo que vuelve más exigente el tratamiento del material que sí logró entrar.</w:t>
      </w:r>
    </w:p>
    <w:p>
      <w:pPr>
        <w:spacing w:after="0" w:before="0" w:line="360"/>
        <w:ind w:firstLine="708"/>
        <w:jc w:val="both"/>
      </w:pPr>
      <w:r>
        <w:rPr>
          <w:rFonts w:ascii="Arial" w:cs="Arial" w:eastAsia="Arial" w:hAnsi="Arial"/>
          <w:b w:val="false"/>
          <w:bCs w:val="false"/>
          <w:i w:val="false"/>
          <w:iCs w:val="false"/>
          <w:color w:val="000000"/>
          <w:sz w:val="24"/>
          <w:szCs w:val="24"/>
        </w:rPr>
        <w:t xml:space="preserve">Ese empobrecimiento tiene una contrapartida institucional. El control de racionalidad puede funcionar a posteriori bajo una condición: debe exigirse al decisor que justifique por qué declaró probados esos hechos y cuál fue el apoyo empírico en el que basó su decisión (Ferrer Beltrán, 2007, p. 44). Los sistemas que carecen de esa exigencia de motivación deben compensarla con reglas de exclusión abundantes, fijadas por anticipado; los que sí la imponen pueden admitir más material y controlar después. El derecho electoral mexicano pertenece al segundo grupo, porque los artículos 14 y 16 de la Constitución imponen fundar y motivar. El control por vía de motivación no es en ese ordenamiento un complemento, sino el mecanismo principal de racionalidad.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1.3.2. </w:t>
      </w:r>
      <w:r>
        <w:rPr>
          <w:rFonts w:ascii="Arial" w:cs="Arial" w:eastAsia="Arial" w:hAnsi="Arial"/>
          <w:i/>
          <w:iCs/>
          <w:color w:val="000000"/>
          <w:sz w:val="24"/>
          <w:szCs w:val="24"/>
        </w:rPr>
        <w:t xml:space="preserve">La valoración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Cerrada la composición del conjunto, comienza el segundo momento. Bajo un régimen de libre valoración, deberá valorarse el apoyo que cada elemento de juicio aporta a las hipótesis en conflicto, de forma individual y en conjunto (Ferrer Beltrán, 2007, p. 45). La fórmula merece subrayarse porque contiene las dos operaciones que el artículo 16, párrafo 3, de la ley mexicana también exige. El resultado buscado consiste en saber el grado de confirmación del que dispone cada una de esas hipótesis. La valoración no produce, por tanto, un veredicto sobre la verdad: produce una magnitud, que es el grado de apoyo conferido a cada hipótesis en competencia. Esa magnitud admite comparación, y confundirla con la conclusión es el primer paso hacia una decisión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resultado de la valoración es siempre contextual, referido a un determinado conjunto de elementos de juicio (Ferrer Beltrán, 2007, p. 45). Si el conjunto cambia por adición o sustracción de algún elemento, el resultado puede perfectamente ser otro. La consecuencia práctica es de enorme importancia: omitir del conjunto un elemento que consta en el expediente no constituye un descuido menor, porque altera el resultado de toda la operación. Un tribunal que declara inexistente una prueba obrante en autos no comete un error de detalle; valora un conjunto distinto del que tenía ante sí, y obtiene por ello un grado de confirmación que no corresponde al caso que resuelve. El vicio no está en la conclusión, sino en el conjunto sobre el que se razonó.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libertad que la libre valoración concede existe solo en el sentido de que la valoración no está sujeta a normas jurídicas que predeterminen su resultado. La operación de juzgar el apoyo empírico que un conjunto de elementos aporta a una hipótesis permanece sujeta a los criterios generales de la lógica y de la racionalidad (Ferrer Beltrán, 2007, p. 45). Libertad frente a la prueba tasada no equivale a libertad frente a la razón. Una vez delimitado el conjunto, la operación de valorar lo que de él puede inferirse no difiere de la que se realiza en cualquier otro ámbito de la experiencia (p. 46).</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caracterización se sigue una réplica a quien alegue que las restricciones del proceso electoral impiden valorar con rigor. Si en el momento de la valoración no rigen reglas jurídicas que predeterminen el resultado, entonces negar la posibilidad de decidir racionalmente en esa fase no puede fundarse en razones específicamente jurídicas. Ferrer Beltrán (2007) lo expresa señalando que tal negativa supone acoger argumentos escépticos generales sobre la posibilidad del conocimiento (p. 46). Las limitaciones propias del contexto jurídico —los plazos, los recursos, la intervención interesada de las partes— hacen que el conjunto disponible resulte epistemológicamente más pobre (Ferrer Beltrán, 2007, p. 46). Empobrecen el material, no la racionalidad de la operación que se practica sobre él. Las restricciones acotan el material; no autorizan a tratarlo con menor cuidado.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1.3.3. </w:t>
      </w:r>
      <w:r>
        <w:rPr>
          <w:rFonts w:ascii="Arial" w:cs="Arial" w:eastAsia="Arial" w:hAnsi="Arial"/>
          <w:i/>
          <w:iCs/>
          <w:color w:val="000000"/>
          <w:sz w:val="24"/>
          <w:szCs w:val="24"/>
        </w:rPr>
        <w:t xml:space="preserve">La decisión y el estándar de prueba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tercer momento corresponde a la toma de la decisión. La valoración habrá permitido otorgar a cada hipótesis en conflicto un determinado grado de confirmación que nunca será igual a la certeza absoluta (Ferrer Beltrán, 2007, p. 47). Resta decidir si la hipótesis puede declararse probada con el grado de confirmación de que dispone, y eso depende del estándar de prueba que se utilice (Ferrer Beltrán, 2007, p. 47). La elección de uno u otro estándar es propiamente jurídica y se realiza en atención a los valores en juego en cada tipo de proceso (Ferrer Beltrán, 2007, p. 47). La epistemología suministra el grado y el derecho fija el umbral, y ninguna de las dos disciplinas puede suplir a la otra en esa división de tareas.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enuncia entonces la tesis central de la distinción:</w:t>
      </w:r>
    </w:p>
    <w:p>
      <w:pPr>
        <w:spacing w:after="0" w:before="0" w:line="360"/>
        <w:ind w:left="708"/>
        <w:jc w:val="both"/>
      </w:pPr>
      <w:r>
        <w:rPr>
          <w:rFonts w:ascii="Arial" w:cs="Arial" w:eastAsia="Arial" w:hAnsi="Arial"/>
          <w:b w:val="false"/>
          <w:bCs w:val="false"/>
          <w:i w:val="false"/>
          <w:iCs w:val="false"/>
          <w:color w:val="000000"/>
          <w:sz w:val="22"/>
          <w:szCs w:val="22"/>
        </w:rPr>
        <w:t xml:space="preserve">Conviene insistir en que el resultado de la valoración de la prueba que se obtenga en el segundo momento no implica por sí solo nada respecto de la decisión a adoptar. Para ello, es necesaria la intermediación de algún estándar de prueba. Y ni siquiera puede darse por descontado que la hipótesis que haya resultado más confirmada es aquella que deberá darse por probada. (Ferrer Beltrán, 2007, p. 48)</w:t>
      </w:r>
    </w:p>
    <w:p>
      <w:pPr>
        <w:spacing w:after="0" w:before="0" w:line="360"/>
        <w:ind w:firstLine="708"/>
        <w:jc w:val="both"/>
      </w:pPr>
      <w:r>
        <w:rPr>
          <w:rFonts w:ascii="Arial" w:cs="Arial" w:eastAsia="Arial" w:hAnsi="Arial"/>
          <w:b w:val="false"/>
          <w:bCs w:val="false"/>
          <w:i w:val="false"/>
          <w:iCs w:val="false"/>
          <w:color w:val="000000"/>
          <w:sz w:val="24"/>
          <w:szCs w:val="24"/>
        </w:rPr>
        <w:t xml:space="preserve">Entre la valoración y la decisión media, por tanto, una operación distinta de ambas. Consiste en contrastar el grado obtenido con una medida previamente fijada, y sin ella el tránsito de la una a la otra carece de justificación. La valoración informa la decisión, pero no la produce.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operación intermedia no desaparece cuando el ordenamiento omite regularla. Un tribunal que declara probado o no probado un hecho ha aplicado necesariamente algún umbral, porque de otro modo no habría podido pasar del grado a la conclusión. La diferencia entre un sistema con estándar explícito y uno sin él no radica en que el segundo prescinda del umbral, sino en que lo aplica sin declararlo y, por ello, sin exponerlo a discusión. El material puede haber alcanzado un grado alto de confirmación y ser declarado insuficiente, o alcanzar uno bajo y ser declarado bastante, sin que ninguna de las dos decisiones resulte controlable. La arbitrariedad no consiste aquí en decidir mal, sino en decidir sin que nadie pueda verificar contra qué se decidió, y la objeción alcanza por igual a las resoluciones que anulan y a las que confirman.</w:t>
      </w:r>
    </w:p>
    <w:p>
      <w:pPr>
        <w:spacing w:after="0" w:before="0" w:line="360"/>
        <w:ind w:firstLine="708"/>
        <w:jc w:val="both"/>
      </w:pPr>
      <w:r>
        <w:rPr>
          <w:rFonts w:ascii="Arial" w:cs="Arial" w:eastAsia="Arial" w:hAnsi="Arial"/>
          <w:b w:val="false"/>
          <w:bCs w:val="false"/>
          <w:i w:val="false"/>
          <w:iCs w:val="false"/>
          <w:color w:val="000000"/>
          <w:sz w:val="24"/>
          <w:szCs w:val="24"/>
        </w:rPr>
        <w:t xml:space="preserve">Ni siquiera cabe presumir que la hipótesis más confirmada sea la que deba tenerse por probada (Ferrer Beltrán, 2007, p. 48). El estándar penal de la duda razonable ilustra esa posibilidad, pues supone que la hipótesis de la culpabilidad no se tendrá por probada aunque cuente con más apoyo empírico que la de la inocencia, salvo corroboración muy alta (Ferrer Beltrán, 2007, p. 48). El umbral puede, en consecuencia, invertir el resultado de la valoración y no solo confirmarlo. Quien no lo enuncia se reserva un poder considerable, porque conserva la facultad de fijarlo después de conocer el grado alcanzado, y esa facultad es justamente la que un estándar explícito suprime.</w:t>
      </w:r>
    </w:p>
    <w:p>
      <w:pPr>
        <w:spacing w:after="0" w:before="0" w:line="360"/>
        <w:ind w:firstLine="708"/>
        <w:jc w:val="both"/>
      </w:pPr>
      <w:r>
        <w:rPr>
          <w:rFonts w:ascii="Arial" w:cs="Arial" w:eastAsia="Arial" w:hAnsi="Arial"/>
          <w:b w:val="false"/>
          <w:bCs w:val="false"/>
          <w:i w:val="false"/>
          <w:iCs w:val="false"/>
          <w:color w:val="000000"/>
          <w:sz w:val="24"/>
          <w:szCs w:val="24"/>
        </w:rPr>
        <w:t xml:space="preserve">La descomposición en tres momentos rinde, por último, un servicio diagnóstico que conviene dejar señalado. Cuando un tribunal declara que determinados elementos solo constituyen un indicio y que no se aportaron otros, comete errores que pertenecen al primer momento, porque describe mal el conjunto disponible. Cuando omite relacionarlos entre sí, el error pertenece al segundo. Y cuando concluye que el material no basta sin decir cuánto habría bastado, el error pertenece al tercero. Los tres defectos suelen presentarse juntos y confundidos bajo una misma fórmula de rechazo. Separarlos es la condición para nombrarlos, y nombrarlos es la condición para corregirlos, porque un instrumento diseñado para un momento no sirve para otro: exigir motivación donde falta prueba, o reclamar pruebas donde falta umbral, son errores de diagnóstico antes que de solución.</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1.4. </w:t>
      </w:r>
      <w:r>
        <w:rPr>
          <w:rFonts w:ascii="Arial" w:cs="Arial" w:eastAsia="Arial" w:hAnsi="Arial"/>
          <w:i/>
          <w:iCs/>
          <w:color w:val="000000"/>
          <w:sz w:val="24"/>
          <w:szCs w:val="24"/>
        </w:rPr>
        <w:t xml:space="preserve">La inferencia probatoria tiene una estructura identificable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se propone reconstruir el tipo de razonamiento por medio del cual se prueban los hechos de un caso, y llama a ese razonamiento inferencia probatoria (p. 53). La reconstrucción tiene una consecuencia práctica que justifica emprenderla: una operación cuya estructura puede describirse admite un control que la mera invocación de la sana crítica no permite. La estructura no determina el resultado de ninguna valoración concreta, pero fija qué debe aparecer en una sentencia para que la valoración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1.4.1. </w:t>
      </w:r>
      <w:r>
        <w:rPr>
          <w:rFonts w:ascii="Arial" w:cs="Arial" w:eastAsia="Arial" w:hAnsi="Arial"/>
          <w:i/>
          <w:iCs/>
          <w:color w:val="000000"/>
          <w:sz w:val="24"/>
          <w:szCs w:val="24"/>
        </w:rPr>
        <w:t xml:space="preserve">Las dos fases y la cadena de inferencias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distingue, a efectos analíticos, dos fases dentro de la ambigua palabra prueba. La primera consiste en la práctica de las pruebas y en la obtención de información a partir de ellas, esto es, a partir de lo que dicen los testigos, los documentos y los peritos. La segunda consiste en extraer una conclusión a partir de la información obtenida en la primera (pp. 53-54). La primera fase establece las premisas del argumento que trata de probar una hipótesis, y la segunda realiza la inferencia que permite pasar de esas premisas a la conclusión. Obtener información y extraer de ella una conclusión son operaciones distintas, y confundirlas lleva a tratar como dato lo que ya es resultado de un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razonamiento de la segunda fase rara vez consta de un solo paso. Puede ser muy complejo y constar de un encadenamiento de argumentos o inferencias parciales (González Lagier, 2005, p. 54). En el extremo inicial de la cadena figura la información obtenida directamente de las pruebas practicadas, y en el extremo final una hipótesis sobre lo ocurrido. Entre ambos extremos se sitúan premisas y conclusiones intermedias, cada una de las cuales resulta de una inferencia previa. La consecuencia metodológica es considerable: controlar una inferencia probatoria no consiste en examinar un salto único, sino en examinar cada eslabón de una cadena que puede ser larga. Un eslabón defectuoso compromete todo lo que pende de él, por sólido que sea el resto del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ilustra el punto con un ejemplo que conviene reproducir por su precisión. Un policía declara que se encontró en la vivienda de Ticio un arma del mismo calibre que la que causó la muerte de Cayo. La información obtenida directamente es que el policía declara que el arma fue encontrada, no que realmente el arma fuera encontrada. Lo segundo ya es el resultado de la valoración de la fiabilidad de tal declaración, esto es, el resultado de un razonamiento y de una inferencia (González Lagier, 2005, p. 54). La observación parece obvia y no lo es. Entre el documento y el hecho media siempre una inferencia que suele quedar tácita, y de esa inferencia depende el valor de todo lo que se construya encima. Cuando un tribunal afirma que un acordeón impreso acredita la existencia de una estrategia de distribución, o cuando niega que la acredite, está resolviendo esa inferencia sin enunciarla.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1.4.2. </w:t>
      </w:r>
      <w:r>
        <w:rPr>
          <w:rFonts w:ascii="Arial" w:cs="Arial" w:eastAsia="Arial" w:hAnsi="Arial"/>
          <w:i/>
          <w:iCs/>
          <w:color w:val="000000"/>
          <w:sz w:val="24"/>
          <w:szCs w:val="24"/>
        </w:rPr>
        <w:t xml:space="preserve">Razones, garantía y respaldo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reconstruye la inferencia probatoria con un esquema argumentativo de cuatro elementos, que atribuye a Toulmin. La pretensión es aquello que se sostiene y las razones son los datos que la apoyan. La garantía explica por qué esas razones apoyan esa pretensión, y el respaldo muestra la corrección o vigencia de la garantía. La garantía consiste siempre en una regla, norma o enunciado general. Los dos primeros elementos son particulares del caso y los dos últimos son generales, distinción que explica por qué unos se acreditan con pruebas y otros con argumentos. Los cuatro elementos deben estar presentes en toda argumentación, sea jurídica, científica o de la vida cotidiana (González Lagier, 2005, p. 56), y esa generalidad es lo que permite trasladar el esquema sin forzarlo a un ámbito determinado.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traslado al razonamiento judicial sobre hechos resulta directo. Los hechos probatorios constituyen las razones del argumento, y los hechos a probar, la pretensión o hipótesis del caso. La garantía queda constituida por las máximas de experiencia, las presunciones y otros enunciados generales, que correlacionan el tipo de hechos señalado en las razones con el señalado en la pretensión. El respaldo queda configurado por la información necesaria para fundamentar la garantía (González Lagier, 2005, p. 57). La inferencia probatoria se deja describir, en consecuencia, como el paso de unos hechos probatorios a unos hechos a probar mediante una garantía apoyada en un respaldo. La descripción es sencilla, y por eso resulta utilizable como rejilla de lectura de cualquier sentencia: basta preguntar, ante cada conclusión fáctica, cuáles fueron las razones, cuál la garantía y cuál el respaldo.</w:t>
      </w:r>
    </w:p>
    <w:p>
      <w:pPr>
        <w:spacing w:after="0" w:before="0" w:line="360"/>
        <w:ind w:firstLine="708"/>
        <w:jc w:val="both"/>
      </w:pPr>
      <w:r>
        <w:rPr>
          <w:rFonts w:ascii="Arial" w:cs="Arial" w:eastAsia="Arial" w:hAnsi="Arial"/>
          <w:b w:val="false"/>
          <w:bCs w:val="false"/>
          <w:i w:val="false"/>
          <w:iCs w:val="false"/>
          <w:color w:val="000000"/>
          <w:sz w:val="24"/>
          <w:szCs w:val="24"/>
        </w:rPr>
        <w:t xml:space="preserve">Cada uno de los cuatro elementos puede faltar, y la falta de cada uno produce un vicio distinto. Si faltan las razones, no hay material sobre el cual razonar. Si falta la garantía, el paso de las razones a la pretensión queda sin justificar y solo cabe aceptarlo por autoridad. Si falta el respaldo, la garantía se afirma sin fundamento y puede ser una generalización arbitraria. Y si la pretensión no se enuncia con precisión, no se sabe qué se está probando ni, por tanto, cuándo quedaría probado. Exigir la exteriorización de los cuatro elementos permite localizar cuál de ellos falló, en lugar de descalificar el razonamiento en bloque.</w:t>
      </w:r>
    </w:p>
    <w:p>
      <w:pPr>
        <w:spacing w:after="0" w:before="0" w:line="360"/>
        <w:ind w:firstLine="708"/>
        <w:jc w:val="both"/>
      </w:pPr>
      <w:r>
        <w:rPr>
          <w:rFonts w:ascii="Arial" w:cs="Arial" w:eastAsia="Arial" w:hAnsi="Arial"/>
          <w:b w:val="false"/>
          <w:bCs w:val="false"/>
          <w:i w:val="false"/>
          <w:iCs w:val="false"/>
          <w:color w:val="000000"/>
          <w:sz w:val="24"/>
          <w:szCs w:val="24"/>
        </w:rPr>
        <w:t xml:space="preserve">La Suprema Corte llegó por su cuenta a una exigencia equivalente, aunque con otro vocabulario. Al fijar los requisitos de la inferencia lógica en la prueba indiciaria, estableció que de los hechos base acreditados debe fluir la conclusión como consecuencia natural, con enlace directo entre unos y otra (Tesis 2004755, 2013). El enlace del que habla la Corte es la garantía del esquema. Añadió también que, cuando los mismos hechos probados permiten arribar a diversas conclusiones, el juzgador debe tener en cuenta todas ellas y razonar por qué elige la que estima conveniente (Tesis 2004755, 2013). Esa segunda exigencia no pertenece ya a la estructura de la inferencia sino a su contraste con hipótesis rivales. Doctrina y jurisprudencia convergen, en todo caso, sobre el mismo punto: el enlace debe mostrarse, no suponerse.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mexicana ofrece, por su parte, un ejemplo poco advertido de garantía explícita. La Jurisprudencia 38/2002 no se limita a afirmar que las notas periodísticas arrojan indicios: enuncia la regla general que gradúa su fuerza. Cuando se aportan varias notas provenientes de distintos órganos de información, atribuidas a diferentes autores y coincidentes en lo sustancial, y además no obra mentís del afectado, cabe otorgarles mayor calidad indiciaria. El criterio hace visible aquello que suele quedar tácito, porque enuncia la correlación entre el tipo de hecho probatorio y el tipo de hecho a probar. Es, en los términos del esquema, una garantía formulada por el propio tribunal, disponible desde 2002 y aplicable a cualquier material periodístico.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1.4.3. </w:t>
      </w:r>
      <w:r>
        <w:rPr>
          <w:rFonts w:ascii="Arial" w:cs="Arial" w:eastAsia="Arial" w:hAnsi="Arial"/>
          <w:i/>
          <w:iCs/>
          <w:color w:val="000000"/>
          <w:sz w:val="24"/>
          <w:szCs w:val="24"/>
        </w:rPr>
        <w:t xml:space="preserve">Las fuentes de la garantía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garantía se desagrega en tres clases (González Lagier, 2005, p. 61). La primera son las máximas de experiencia, que a su vez se subdividen. Pueden ser de carácter científico o especializado, como las que aportan los peritos, o de carácter jurídico, como las derivadas del ejercicio profesional del juez. Pueden ser también de carácter privado, derivadas de las experiencias del juzgador al margen de su profesión. La segunda clase son las presunciones, que se establecen legal o jurisprudencialmente. La tercera son las definiciones o teorías, que suelen provenir de la doctrina, aunque también de la jurisprudencia o de la ley. La clasificación importa porque el respaldo exigible difiere en cada caso: una máxima científica se respalda con el dictamen pericial; una presunción jurisprudencial, con el precedente que la estableció; y una experiencia corriente, solo con la observación de casos anteriores.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clase merece una advertencia que el autor formula de inmediato. Cuando la unión entre los hechos probatorios y el hecho a probar viene dada por una teoría o una definición, el vínculo es conceptual. En ese supuesto no estamos en sentido estricto ante un caso de prueba, sino ante uno de interpretación o calificación de los hechos (González Lagier, 2005, p. 61). La distinción resulta especialmente pertinente en materia electoral. Determinar si unos hechos acreditados constituyen coacción del voto, o si una irregularidad merece el calificativo de grave, no es una operación probatoria sino calificatoria. Confundir ambas permite presentar como insuficiencia de prueba lo que en realidad es un desacuerdo sobre la calificación, desplazamiento difícil de detectar cuando la garantía no se explicita, porque el lector no puede saber si el tribunal discute los hechos o su encuadre jurídico.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Las máximas de experiencia de carácter privado plantean el problema inverso y más frecuente. Al proceder de la experiencia corriente del juzgador, tienden a operar sin enunciarse, porque quien las emplea las considera evidentes. El artículo 16, párrafo 1, de la Ley General del Sistema de Medios de Impugnación en Materia Electoral remite de forma expresa a la experiencia como criterio de valoración, pero no exige que la máxima empleada se declare. Esa remisión sin carga de explicitación es una de las puertas por las que entra la discrecionalidad no controlable. Una máxima enunciada puede discutirse y refutarse; una máxima tácita solo puede intuirse a partir del resultado, de modo que la parte que quiera combatirla debe adivinarla primero.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hechos probatorios admiten, además, grados de interpretación, según se sitúen más cerca de lo meramente percibido o incorporen el sentido que se atribuye a lo percibido. Cuanto más se avanza en la cadena de razonamientos, más interpretados resultan los hechos probatorios, y pueden ser a su vez el resultado de otra inferencia del mismo tipo (González Lagier, 2005, p. 60). El material que sirve de base a los últimos eslabones no tiene, por tanto, la misma calidad epistémica que el de los primeros, y tratar todos los hechos probatorios como equivalentes ignora esa degradación progresiva. La prueba consiste entonces en el encadenamiento de varias inferencias sustancialmente análogas, y cada una de ellas reproduce la estructura de cuatro elementos. La conclusión converge con lo que la Suprema Corte estableció al fijar los alcances de la prueba indiciaria, pues la eficacia de la prueba circunstancial disminuye en la medida en que las conclusiones deban obtenerse a través de mayores inferencias y cadenas de silogismos (Tesis 2004753, 2013). Doctrina y jurisprudencia coinciden, así, en que la longitud de la cadena degrada el apoyo, lo que permite anclar una exigencia epistemológica en un criterio vigente del propio sistema mexicano.</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conjunto se sigue la tesis del apartado. Una inferencia probatoria cuya estructura permanece implícita no puede criticarse, porque no se sabe qué se está criticando. Quien impugna una valoración sin conocer la máxima de experiencia aplicada solo puede oponer su propia conclusión a la del tribunal, y el desacuerdo se vuelve irresoluble. Exteriorizar los cuatro elementos no obliga al juzgador a decidir de un modo determinado: le obliga a mostrar el recorrido, que es cosa distinta y mucho más modesta. Nada de ello excede, además, lo que el artículo 16, párrafo 1, ya presupone cuando remite a la lógica, la sana crítica y la experiencia. No se pide al juzgador nada que la ley no dé por supuesto; se le pide que lo escriba, que es la única forma de que un tercero pueda comprobarlo.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1.5. </w:t>
      </w:r>
      <w:r>
        <w:rPr>
          <w:rFonts w:ascii="Arial" w:cs="Arial" w:eastAsia="Arial" w:hAnsi="Arial"/>
          <w:i/>
          <w:iCs/>
          <w:color w:val="000000"/>
          <w:sz w:val="24"/>
          <w:szCs w:val="24"/>
        </w:rPr>
        <w:t xml:space="preserve">La solidez de la inferencia admite criterios de control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Describir la estructura de la inferencia probatoria no basta para controlarla, porque hace falta saber cuándo una inferencia resulta sólida y cuándo no lo es. González Lagier (2005) ofrece una respuesta articulada en once criterios, ordenados según el elemento de la estructura al que se refieren. Su virtud reside en que son verificables desde fuera de la sentencia, y su enunciación permite además algo que ningún umbral puede prescindir: si la solidez admite grados, entonces admite medida.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1.5.1. </w:t>
      </w:r>
      <w:r>
        <w:rPr>
          <w:rFonts w:ascii="Arial" w:cs="Arial" w:eastAsia="Arial" w:hAnsi="Arial"/>
          <w:i/>
          <w:iCs/>
          <w:color w:val="000000"/>
          <w:sz w:val="24"/>
          <w:szCs w:val="24"/>
        </w:rPr>
        <w:t xml:space="preserve">La vaguedad de la sana crítica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doctrina procesal y la jurisprudencia superaron ya la lectura de la libre valoración como íntima convicción, y sostienen ahora que la valoración no puede ser una operación libre de todo criterio y cargada de subjetividad, sino una actividad sujeta a pautas. Debe someterse a las reglas de la lógica, a las de la sana crítica, a las de la experiencia, al criterio racional o al criterio humano (González Lagier, 2005, p. 79). La objeción decisiva es que se trata de referencias sumamente vagas y muy difíciles de concretar.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coincidencia literal con la ley mexicana merece subrayarse, porque convierte la objeción en algo más que una discusión doctrinal ajena. El artículo 16, párrafo 1, de la Ley General del Sistema de Medios de Impugnación en Materia Electoral ordena valorar atendiendo a las reglas de la lógica, de la sana crítica y de la experiencia. Son exactamente las tres fórmulas que González Lagier califica de sumamente vagas, de modo que el precepto mexicano no incurre en un defecto local sino que reproduce el estado general de la cuestión. El reproche que cabe dirigir a la práctica jurisdiccional no consiste, por ello, en haber inventado una imprecisión, sino en no haberla resuelto pese a disponer de los materiales para hacerlo, y en haber tolerado durante casi tres décadas que la remisión legal operara en blanco, sin que ninguna resolución la dotara de contenido verificable.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vaguedad admite reducción. Cabe dar criterios más concretos, o precisar qué son las reglas de la sana crítica, tomando algunas pautas de racionalidad epistemológica elaboradas para justificar las inducciones científicas (González Lagier, 2005, p. 80). La propuesta no elimina la vaguedad por completo, y el propio autor advierte que los criterios conservan un grado elevado de imprecisión. Reducirla representa, con todo, una ganancia considerable para quien deba impugnar una valoración ajena: un criterio impreciso pero enunciado puede discutirse, mientras que una remisión en blanco no admite discusión, porque no ofrece nada sobre lo que discrepar. Los once criterios que siguen se ordenan según se refieran a los hechos probatorios, a la garantía o a la hipótesis del caso.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1.5.2. </w:t>
      </w:r>
      <w:r>
        <w:rPr>
          <w:rFonts w:ascii="Arial" w:cs="Arial" w:eastAsia="Arial" w:hAnsi="Arial"/>
          <w:i/>
          <w:iCs/>
          <w:color w:val="000000"/>
          <w:sz w:val="24"/>
          <w:szCs w:val="24"/>
        </w:rPr>
        <w:t xml:space="preserve">Criterios sobre los hechos probatorios y sobre la garantía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interroga la fiabilidad, que depende de cómo se haya llegado a conocer los hechos probatorios (González Lagier, 2005, p. 81). Se distinguen tres vías de conocimiento: la observación directa del juez, las conclusiones científicas y el resultado de otra inferencia. Las dos primeras ofrecen mayor fiabilidad, pero en la mayor parte de los supuestos los hechos probatorios son conclusiones de otras inferencias previas. Que un testigo diga que oyó discutir a dos personas solo prueba de forma directa que el testigo lo dijo. Lo mismo sucede con un documento, pues habrá que inferir que su contenido es cierto (pp. 81-82). La declaración y el documento acreditan de forma inmediata su propia existencia, no la del hecho que refieren.</w:t>
      </w:r>
    </w:p>
    <w:p>
      <w:pPr>
        <w:spacing w:after="0" w:before="0" w:line="360"/>
        <w:ind w:firstLine="708"/>
        <w:jc w:val="both"/>
      </w:pPr>
      <w:r>
        <w:rPr>
          <w:rFonts w:ascii="Arial" w:cs="Arial" w:eastAsia="Arial" w:hAnsi="Arial"/>
          <w:b w:val="false"/>
          <w:bCs w:val="false"/>
          <w:i w:val="false"/>
          <w:iCs w:val="false"/>
          <w:color w:val="000000"/>
          <w:sz w:val="24"/>
          <w:szCs w:val="24"/>
        </w:rPr>
        <w:t xml:space="preserve">Esas inferencias intermedias, inevitables, pueden ser puntos débiles de la argumentación en su conjunto. De ahí una regla de graduación: la fiabilidad de los hechos probatorios es mayor cuanto menor es la cadena de inferencias que lleva hasta ellos. En sentido estricto la única prueba directa es la observación inmediata por el juez (González Lagier, 2005, p. 82). Todo lo demás resulta mediato en algún grado, de modo que la oposición entre prueba directa e indirecta describe una diferencia de grado y no de naturaleza.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interroga la suficiencia: cuantos más hechos apunten en dirección a la hipótesis, mayor será la seguridad sobre su corrección. Sin embargo, un solo hecho probatorio con alto grado de fiabilidad puede tener un peso mayor que varios hechos probatorios de escasa fiabilidad (González Lagier, 2005, p. 82). La suficiencia no se resuelve, por tanto, contando elementos, precisión especialmente pertinente para el derecho electoral, donde la exigencia de pluralidad probatoria suele formularse en términos numéricos. Contar pruebas y ponderarlas son operaciones distintas, y solo la segunda constituye valoración. Un tribunal que reprocha al promovente no haber aportado más elementos, sin examinar antes la fiabilidad de los que sí aportó, se detiene en la primera de esas dos operaciones y omite la segunda.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tercer criterio interroga la variedad, y es el de mayor rendimiento para la prueba por indicios. La variedad de los hechos probatorios aumenta la probabilidad de la hipótesis que confirman, y su importancia radica en que permite la eliminación de las hipótesis alternativas con las que la principal entra en competencia (González Lagier, 2005, p. 83). El ejemplo que ofrece traslada bien al terreno electoral. Si los hechos contra un acusado de tráfico de droga se reducen a las acusaciones de vecinos con quienes mantiene pésimas relaciones, cabe pensar que la causa sea la animadversión. Esa hipótesis alternativa se debilita al encontrarse una balanza de precisión, y se debilita todavía más al hallarse en la balanza restos de cocaína (González Lagier, 2005, p. 84). Cada elemento nuevo cierra una vía de escape distinta.</w:t>
      </w:r>
    </w:p>
    <w:p>
      <w:pPr>
        <w:spacing w:after="0" w:before="0" w:line="360"/>
        <w:ind w:firstLine="708"/>
        <w:jc w:val="both"/>
      </w:pPr>
      <w:r>
        <w:rPr>
          <w:rFonts w:ascii="Arial" w:cs="Arial" w:eastAsia="Arial" w:hAnsi="Arial"/>
          <w:b w:val="false"/>
          <w:bCs w:val="false"/>
          <w:i w:val="false"/>
          <w:iCs w:val="false"/>
          <w:color w:val="000000"/>
          <w:sz w:val="24"/>
          <w:szCs w:val="24"/>
        </w:rPr>
        <w:t xml:space="preserve">El ejemplo suministra el fundamento epistemológico de la adminiculación. Lo que derrota a la hipótesis alternativa no es la acumulación de elementos del mismo tipo, sino la aparición de elementos de tipo distinto. Tres acusaciones más de los mismos vecinos no habrían debilitado en absoluto la explicación por animadversión, mientras que la balanza sí lo hace. El artículo 16, párrafo 3, al ordenar considerar los demás elementos que obren en el expediente, presupone exactamente esa lógica: la adminiculación no es una suma de valores probatorios, sino un procedimiento de eliminación de explicaciones rivales. La diferencia entre sumar y eliminar explica por qué un conjunto heterogéneo puede sostener aquello que ninguno de sus elementos sostiene por separado, y por qué la homogeneidad del material debilita la inferencia aunque aumente su volumen.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cuarto criterio interroga la pertinencia, pues no todos los hechos sirven para confirmar una hipótesis, sino solo los que guardan relación con el hecho descrito en ella. Un hecho no será pertinente cuando no esté correlacionado con la hipótesis ni por presunciones ni por máximas de experiencia adecuadas y bien fundadas (González Lagier, 2005, p. 85). El criterio remite, por tanto, a la corrección de la garantía, con lo que cierra el círculo abierto por la estructura de la inferencia. Sin garantía enunciada no puede determinarse la pertinencia de un elemento, y declarar impertinente una prueba sin explicitar la máxima aplicada produce una decisión que no admite control, porque el afectado no llega a saber qué correlación se consideró inexistente ni puede, en consecuencia, combatirla.</w:t>
      </w:r>
    </w:p>
    <w:p>
      <w:pPr>
        <w:spacing w:after="0" w:before="0" w:line="360"/>
        <w:ind w:firstLine="708"/>
        <w:jc w:val="both"/>
      </w:pPr>
      <w:r>
        <w:rPr>
          <w:rFonts w:ascii="Arial" w:cs="Arial" w:eastAsia="Arial" w:hAnsi="Arial"/>
          <w:b w:val="false"/>
          <w:bCs w:val="false"/>
          <w:i w:val="false"/>
          <w:iCs w:val="false"/>
          <w:color w:val="000000"/>
          <w:sz w:val="24"/>
          <w:szCs w:val="24"/>
        </w:rPr>
        <w:t xml:space="preserve">Dos criterios más recaen sobre la garantía misma. El primero pregunta si está suficientemente fundada. Las máximas de experiencia son la conclusión de una inducción ampliativa, por lo que no son necesariamente verdaderas sino probables. Su credibilidad racional depende de que esa inducción esté bien hecha, de modo que hay que examinar el fundamento cognoscitivo de las máximas y regularidades empleadas. No basta que la máxima aplicada esté bien fundada: debe también no haber máximas mejor fundadas que desautoricen el paso de los hechos probatorios a la hipótesis (González Lagier, 2005, p. 86). La exigencia obliga a considerar las regularidades que juegan en contra, y no solo las que favorecen la conclusión adoptada.</w:t>
      </w:r>
    </w:p>
    <w:p>
      <w:pPr>
        <w:spacing w:after="0" w:before="0" w:line="360"/>
        <w:ind w:firstLine="708"/>
        <w:jc w:val="both"/>
      </w:pPr>
      <w:r>
        <w:rPr>
          <w:rFonts w:ascii="Arial" w:cs="Arial" w:eastAsia="Arial" w:hAnsi="Arial"/>
          <w:b w:val="false"/>
          <w:bCs w:val="false"/>
          <w:i w:val="false"/>
          <w:iCs w:val="false"/>
          <w:color w:val="000000"/>
          <w:sz w:val="24"/>
          <w:szCs w:val="24"/>
        </w:rPr>
        <w:t xml:space="preserve">Las reglas construidas para la ocasión merecen advertencia aparte. Si la regla se elaboró para explicar el caso concreto que el juez debe decidir, entonces no se basa en una inducción ampliativa bien fundada. La máxima construida a la medida del caso resulta inservible, porque carece de la generalidad que es justamente lo que convierte a un enunciado en garantía. Las presunciones pueden verse como máximas de experiencia institucionalizadas y autoritativas y en esa medida deben apoyarse igualmente en una inducción sólida (González Lagier, 2005, p. 87). Una presunción jurisprudencial no queda exenta de fundamento por el hecho de provenir de un tribunal, aunque su carácter autoritativo limite el margen del juzgador para desplazarla.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sobre la garantía pregunta por el grado de probabilidad causal que establece. Existen máximas que correlacionan dos fenómenos con alta probabilidad y máximas que establecen esa correlación con una probabilidad sensiblemente menor. Cuanto menor sea el grado de probabilidad causal expresado por la máxima de experiencia, menor será la probabilidad inferencial con la que se sigue la hipótesis final (González Lagier, 2005, pp. 87-88). La regla tiene aplicación inmediata en materia electoral. Afirmar que quien aparece en un impreso de propaganda obtuvo por ello más votos supone una máxima de probabilidad causal baja, y la conclusión hereda esa debilidad. Enunciar la máxima obliga a reconocer el límite de la inferencia; omitirla permite presentar como fuerte un razonamiento que no lo es, y el vicio opera en las dos direcciones, porque también permite descartar por débil lo que la máxima sostendría.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1.5.3. </w:t>
      </w:r>
      <w:r>
        <w:rPr>
          <w:rFonts w:ascii="Arial" w:cs="Arial" w:eastAsia="Arial" w:hAnsi="Arial"/>
          <w:i/>
          <w:iCs/>
          <w:color w:val="000000"/>
          <w:sz w:val="24"/>
          <w:szCs w:val="24"/>
        </w:rPr>
        <w:t xml:space="preserve">Criterios sobre la hipótesis y gradualidad de la solidez</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sobre la hipótesis pregunta si ha sido refutada. Se distinguen dos formas de refutación (González Lagier, 2005, p. 88). Una hipótesis queda refutada de manera directa cuando su verdad resulta incompatible con otra afirmación que se ha dado por probada, y de manera indirecta cuando implica una afirmación que se demuestra falsa o poco probable. La exigencia opera con independencia del apoyo que la hipótesis haya recibido de los hechos probatorios, de modo que la confirmación no dispensa de comprobar la ausencia de refutación. Confirmación y ausencia de refutación son condiciones distintas, y la segunda no se sigue de la primera: una hipótesis muy apoyada puede quedar destruida por un solo hecho incompatible con ella.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si se han confirmado las hipótesis derivadas, que refutan la principal cuando se demuestran falsas y aumentan su credibilidad cuando se confirman como verdaderas (González Lagier, 2005, p. 90). El tercero, y el más exigente, pregunta si se han eliminado las hipótesis alternativas: cuando pueden eliminarse todas las que compiten por explicar un hecho, salvo una, esa debe tomarse como verdadera (González Lagier, 2005, p. 90). El autor advierte de inmediato que se trata de un ideal rara vez alcanzable en un proceso judicial, donde lo usual es disponer de varias hipótesis y escoger la que resiste mejor los intentos de refutación (González Lagier, 2005, p. 90). La exigencia realista no consiste, por tanto, en la eliminación total de las alternativas, sino en la comparación razonada entre aquellas que subsisten tras el examen.</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tercer criterio deriva una regla de graduación de alcance general: la credibilidad de una hipótesis disminuye cuantas más hipótesis alternativas subsistan (González Lagier, 2005, pp. 90-91). La formulación convierte la refutación en un factor de grado y no en un requisito binario, de manera que no se trata de eliminar toda alternativa concebible sino de reducir el número de las que siguen en pie. La Suprema Corte alcanzó una conclusión equivalente al exigir que el juzgador tenga en cuenta todas las conclusiones posibles y razone por qué elige la que estima conveniente (Tesis 2004755, 2013). Doctrina y jurisprudencia coinciden en que la elección entre hipótesis debe justificarse y no simplemente declararse, lo que permite exigir ese razonamiento con apoyo en criterio vigente del sistema mexicano y no únicamente en doctrina extranjera.</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criterios restantes operan como reglas de desempate. El cuarto es la coherencia, que presenta un aspecto interno de congruencia entre los enunciados que integran la hipótesis y otro externo de congruencia con el resto del conocimiento disponible (González Lagier, 2005, p. 91). El quinto es la simplicidad, según el cual las hipótesis más simples son las que explican más con un menor número de presuposiciones (González Lagier, 2005, p. 91). Ambos sirven únicamente para escoger entre hipótesis que cuentan con un grado de confirmación semejante, y su función es por tanto subsidiaria. Ninguno de los dos suple la falta de apoyo empírico, de modo que una hipótesis coherente y simple pero desprovista de confirmación sigue siendo una conjetura, por elegante que resulte su formulación.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solidez de la inferencia probatoria es gradual en dos sentidos distintos, advertencia que el autor formula al introducir los once criterios y que pesa tanto como ellos (González Lagier, 2005, p. 80). En una inferencia dada pueden estar presentes más o menos criterios, y la ausencia de alguno no constituye por sí sola razón para rechazarla; casi todos los criterios pueden cumplirse, además, en mayor o menor medida (González Lagier, 2005, p. 80). Esa doble gradualidad impide convertir los once criterios en una lista de requisitos cuya falta invalide la inferencia. Los criterios describen un espectro y no un umbral, y confundirlos llevaría a un formalismo tan rígido como el sistema de prueba tasada que la libre valoración vino a superar.</w:t>
      </w:r>
    </w:p>
    <w:p>
      <w:pPr>
        <w:spacing w:after="0" w:before="0" w:line="360"/>
        <w:ind w:firstLine="708"/>
        <w:jc w:val="both"/>
      </w:pPr>
      <w:r>
        <w:rPr>
          <w:rFonts w:ascii="Arial" w:cs="Arial" w:eastAsia="Arial" w:hAnsi="Arial"/>
          <w:b w:val="false"/>
          <w:bCs w:val="false"/>
          <w:i w:val="false"/>
          <w:iCs w:val="false"/>
          <w:color w:val="000000"/>
          <w:sz w:val="24"/>
          <w:szCs w:val="24"/>
        </w:rPr>
        <w:t xml:space="preserve">Una lista de requisitos sustituiría la libre valoración por una prueba tasada de nuevo cuño; una rejilla de exteriorización deja intacta la libertad valorativa y suprime únicamente su opacidad. El juzgador conserva íntegra la facultad de apreciar el material probatorio y pierde solo la de no explicar cómo lo apreció. Los criterios permiten decir, en definitiva, cuán sólida es una inferencia, pero no permiten decir cuán sólida debe ser, porque esa segunda pregunta ya no pertenece a la epistemología sino al derecho y se responde en atención a los valores en juego en cada tipo de proceso.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1.6. </w:t>
      </w:r>
      <w:r>
        <w:rPr>
          <w:rFonts w:ascii="Arial" w:cs="Arial" w:eastAsia="Arial" w:hAnsi="Arial"/>
          <w:i/>
          <w:iCs/>
          <w:color w:val="000000"/>
          <w:sz w:val="24"/>
          <w:szCs w:val="24"/>
        </w:rPr>
        <w:t xml:space="preserve">El conjunto probatorio excede la suma de sus elementos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artículo 16, párrafo 3, de la Ley General del Sistema de Medios de Impugnación en Materia Electoral ordena atender a los demás elementos que obren en el expediente. Ordena también atender a la relación que esos elementos guardan entre sí, y ese segundo mandato presupone que el conjunto aporta algo que sus elementos aislados no aportan. El presupuesto tiene fundamento, aunque no del modo que el holismo narrativo sugiere, y precisar esa diferencia resulta indispensable para que la valoración relacional resista la objeción más seria que puede dirigírsele.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1.6.1. </w:t>
      </w:r>
      <w:r>
        <w:rPr>
          <w:rFonts w:ascii="Arial" w:cs="Arial" w:eastAsia="Arial" w:hAnsi="Arial"/>
          <w:i/>
          <w:iCs/>
          <w:color w:val="000000"/>
          <w:sz w:val="24"/>
          <w:szCs w:val="24"/>
        </w:rPr>
        <w:t xml:space="preserve">Las objeciones al tratamiento aislado de los elementos de prueba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Amaya (2015) reconstruye el debate entre atomismo y holismo en la teoría de la prueba y recoge tres objeciones dirigidas contra el primero (pp. 94-95). La primera sostiene que la prueba de todo caso controvertido se compone de elementos pertenecientes al menos a dos relatos contradictorios, uno falso y otro verdadero, que aparecen entremezclados. Solo al adoptar la decisión final cabe identificar cuáles de esos elementos pertenecen al relato verdadero y cuáles al falso. De ahí que resulte ilógico asignar un valor de verdad o de probabilidad a un elemento aislado antes de la decisión, que es precisamente lo que el atomismo exige (Amaya, 2015, p. 94). La objeción apunta a un problema de orden: el atomismo pretende resolver al principio lo que solo puede resolverse al final, cuando ya se conoce a qué relato pertenece cada pieza.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resulta la más pertinente para el derecho electoral mexicano. En la medida en que los elementos de prueba están enlazados entre sí formando un todo conectado, ningún elemento debe tratarse de manera aislada respecto de los demás, contra lo que el atomismo requiere (Amaya, 2015, pp. 94-95). La formulación describe con exactitud la operación que el artículo 16, párrafo 3, ordena cuando manda atender al recto raciocinio de la relación que los elementos guardan entre sí. La tercera objeción sostiene que el enfoque atomista socava el carácter fáctico de la prueba judicial, al convertir los hechos en proposiciones inferidas de la experiencia general, con lo que desatiende indebidamente las circunstancias del caso concreto (Amaya, 2015, p. 95). Las tres convergen en un mismo reproche: tratar cada elemento por separado destruye información que solo existe en la relación entre ellos.</w:t>
      </w:r>
    </w:p>
    <w:p>
      <w:pPr>
        <w:spacing w:after="0" w:before="0" w:line="360"/>
        <w:ind w:firstLine="708"/>
        <w:jc w:val="both"/>
      </w:pPr>
      <w:r>
        <w:rPr>
          <w:rFonts w:ascii="Arial" w:cs="Arial" w:eastAsia="Arial" w:hAnsi="Arial"/>
          <w:b w:val="false"/>
          <w:bCs w:val="false"/>
          <w:i w:val="false"/>
          <w:iCs w:val="false"/>
          <w:color w:val="000000"/>
          <w:sz w:val="24"/>
          <w:szCs w:val="24"/>
        </w:rPr>
        <w:t xml:space="preserve">Conforme a la versión del holismo que Amaya expone, no cabe extraer conclusiones fácticas a partir de elementos de prueba aislados, por notables que resulten. El juzgador debe ponderar la prueba y alcanzar una conclusión solo después de haber examinado el conjunto del material del caso (Amaya, 2015, p. 95). El enunciado tiene consecuencias prácticas inmediatas para el control de las sentencias, porque declarar que un elemento no acredita nada por sí solo es compatible con que el conjunto al que pertenece sí acredite algo. Confundir ambas afirmaciones produce un vicio característico y fácil de identificar: la sentencia que sostiene que los elementos aportados solo constituyen un indicio delata en el singular de esa fórmula la operación realizada, pues dos pruebas de origen distinto quedan reducidas a una sola unidad de valoración y con ello desaparece la relación que las une.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1.6.2. </w:t>
      </w:r>
      <w:r>
        <w:rPr>
          <w:rFonts w:ascii="Arial" w:cs="Arial" w:eastAsia="Arial" w:hAnsi="Arial"/>
          <w:i/>
          <w:iCs/>
          <w:color w:val="000000"/>
          <w:sz w:val="24"/>
          <w:szCs w:val="24"/>
        </w:rPr>
        <w:t xml:space="preserve">Los anclajes del derecho mexicano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objeción no es ajena a la tradición jurídica mexicana, ni reciente en ella. La Suprema Corte la formuló con notable economía hace más de medio siglo. Estableció que la prueba indiciaria resulta de la apreciación en su conjunto de los elementos probatorios que aparezcan en el proceso, y que esos elementos no deben considerarse aisladamente (Tesis 235868, 1974). Añadió que de su armonía lógica, natural y concatenamiento legal habrá de establecerse una verdad resultante, que conduzca de manera unívoca e inequívoca a la verdad buscada (Tesis 235868, 1974). La coincidencia con el planteamiento holista es notable, sobre todo por la distancia temporal y disciplinar que separa ambas formulaciones. Una tesis aislada de la Séptima Época y la teoría contemporánea de la prueba coinciden en rechazar el tratamiento fragmentario del material probatorio, de modo que el criterio mexicano no requiere actualización doctrinal: requiere aplicación.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llegó al mismo punto por su propia vía. La Jurisprudencia 19/2008 sostiene que el proceso se concibe como un todo unitario e indivisible, integrado por la secuencia de actos que se desarrollan progresivamente. De ese carácter unitario deriva que la fuerza convictiva de los medios de prueba deba valorarse en relación con las pretensiones de todas las partes, y no solo del oferente. El criterio se enunció bajo el rótulo de la adquisición procesal, pero su alcance excede esa figura, porque afirma que el expediente constituye una unidad, que es exactamente la premisa que la segunda objeción al atomismo defiende. El sistema mexicano dispone, por tanto, de dos anclajes propios para exigir la valoración conjunta. A ellos se suma la Jurisprudencia 4/2014, que impone adminicular la prueba técnica con otro elemento que la perfeccione o corrobore, con lo que presupone que la relación entre elementos produce un valor del que carecen por separado.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1.6.3. </w:t>
      </w:r>
      <w:r>
        <w:rPr>
          <w:rFonts w:ascii="Arial" w:cs="Arial" w:eastAsia="Arial" w:hAnsi="Arial"/>
          <w:i/>
          <w:iCs/>
          <w:color w:val="000000"/>
          <w:sz w:val="24"/>
          <w:szCs w:val="24"/>
        </w:rPr>
        <w:t xml:space="preserve">Los riesgos del holismo y el dominio de cada modelo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holismo ha recibido objeciones serias que Amaya (2015) recoge con detalle y que conviene asumir en lugar de esquivar. La primera sostiene que las teorías coherentistas están seriamente subdesarrolladas, y que conceptos clave como plausibilidad y coherencia se emplean de manera imprecisa. La consecuencia es grave: las teorías holistas no proporcionan un criterio claro para escoger entre explicaciones alternativas de los hechos en competencia (Amaya, 2015, p. 125). Una teoría que no ofrece criterio de elección resulta inservible como fundamento de cualquier método de valoración, porque un método necesita precisamente eso. La objeción no es menor ni externa: proviene, según recoge Amaya, de autores simpatizantes del propio holismo.</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advierte sobre los riesgos del enfoque que considera el caso como un todo. Los relatos pueden emplearse para introducir de contrabando consideraciones irrelevantes y para desviar la atención de las debilidades del argumento. Sirven también para apelar a la emoción antes que a la razón y para recurrir a prejuicios o estereotipos ocultos (Amaya, 2015, p. 125). La conclusión que Amaya recoge resume el problema con precisión: los relatos son sin duda necesarios, pero peligrosos. El riesgo tiene traducción electoral evidente, pues una narración coherente sobre una elección irregular puede resultar persuasiva sin que ninguno de sus elementos esté acreditado. Lo mismo cabe decir de la narración contraria, que presenta el proceso como impecable apoyándose en la sola regularidad formal de sus etapas. El peligro opera, por tanto, en ambas direcciones.</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figura entre quienes formulan esa advertencia. Amaya (2015) recoge que el autor previene contra los peligros de adoptar un enfoque holista, porque sugiere decidir con base en algo distinto de las pruebas (p. 125), de modo que las teorías holistas desatenderían problemas como la definición del hecho, la relevancia de la prueba y la carga probatoria. En su propia obra Taruffo (2013) resulta todavía más tajante, pues considera inatendible y desviante la perspectiva holística propuesta por algunos exponentes del narrativismo judicial (p. 59). La objeción no admite despacho rápido y obliga a precisar con cuidado qué se toma del holismo y qué se deja fuera.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de la disyuntiva la ofrece, dentro de la propia exposición de Amaya, el enfoque conciliador de Tillers, cuyo propósito no consiste tanto en defender una versión del holismo como en reconciliar holismo y atomismo. Ninguno de los dos permite ofrecer un retrato fiel del razonamiento sobre hechos en el derecho (Amaya, 2015, p. 95). El enfoque atomista pasa por alto que el significado de la prueba se adhiere a veces al conjunto del material, y tanto el análisis atomista como las apreciaciones holistas desempeñan, en consecuencia, un papel importante en la inferencia jurídica (Amaya, 2015, p. 96). Ningún modelo por sí solo la describe de manera completa, de modo que un retrato de la inferencia racional exige recurrir a varias teorías de la prueba lógicamente dispares (Amaya, 2015, p. 96).</w:t>
      </w:r>
    </w:p>
    <w:p>
      <w:pPr>
        <w:spacing w:after="0" w:before="0" w:line="360"/>
        <w:ind w:firstLine="708"/>
        <w:jc w:val="both"/>
      </w:pPr>
      <w:r>
        <w:rPr>
          <w:rFonts w:ascii="Arial" w:cs="Arial" w:eastAsia="Arial" w:hAnsi="Arial"/>
          <w:b w:val="false"/>
          <w:bCs w:val="false"/>
          <w:i w:val="false"/>
          <w:iCs w:val="false"/>
          <w:color w:val="000000"/>
          <w:sz w:val="24"/>
          <w:szCs w:val="24"/>
        </w:rPr>
        <w:t xml:space="preserve">La cuestión correcta no consiste, por tanto, en determinar si un modelo de inferencia es o no correcto, sino en determinar cuál es el dominio propio de cada uno (Amaya, 2015, p. 97). Formulada así, la disputa entre atomismo y holismo deja de ser una elección entre doctrinas rivales y se convierte en un problema de asignación, consistente en determinar qué operación corresponde a cada fase del razonamiento probatorio. La reformulación permite conservar lo que el holismo aporta sin incurrir en los riesgos que sus críticos denuncian, y permite además no contradecir a quienes lo rechazan como método único de decisión, porque la objeción de esos autores recae sobre un uso del holismo que aquí tampoco se defiende.</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reconciliación se confirma al examinar lo que el propio Taruffo exige. Pese a rechazar la perspectiva holística, sostiene que debe establecerse el grado de confirmación que cada prueba atribuye al enunciado, y que a partir de ahí ha de determinarse el grado global o de conjunto de corroboración que ese enunciado recibe de todas las pruebas que lo atañen (Taruffo, 2013, p. 59). La exigencia de un grado de conjunto es, sin más, una exigencia de valoración relacional, por mucho que el autor la formule desde una perspectiva analítica. Lo que Taruffo rechaza no es atender al conjunto, sino sustituir el examen de cada elemento por la impresión global de coherencia narrativa. Su posición y la segunda objeción al atomismo resultan, así, compatibles entre sí, y ambas sostienen el mandato del artículo 16, párrafo 3.</w:t>
      </w:r>
    </w:p>
    <w:p>
      <w:pPr>
        <w:spacing w:after="0" w:before="0" w:line="360"/>
        <w:ind w:firstLine="708"/>
        <w:jc w:val="both"/>
      </w:pPr>
      <w:r>
        <w:rPr>
          <w:rFonts w:ascii="Arial" w:cs="Arial" w:eastAsia="Arial" w:hAnsi="Arial"/>
          <w:b w:val="false"/>
          <w:bCs w:val="false"/>
          <w:i w:val="false"/>
          <w:iCs w:val="false"/>
          <w:color w:val="000000"/>
          <w:sz w:val="24"/>
          <w:szCs w:val="24"/>
        </w:rPr>
        <w:t xml:space="preserve">La adminiculación queda así gobernada por una regla precisa. Es una agregación analítica y no una apreciación narrativa: exige valorar primero cada elemento y determinar después el grado de corroboración que el conjunto confiere a la hipótesis. La secuencia responde a la fórmula que Ferrer Beltrán expresa al exigir la valoración individual y en conjunto, y no autoriza a sustituir el examen de los elementos por la elección del relato más convincente. Con esa delimitación, el mandato del artículo 16, párrafo 3, queda a salvo de la objeción de Taruffo y conserva el fundamento epistemológico que le suministra la eliminación de hipótesis alternativas. El conjunto probatorio excede la suma de sus elementos porque cierra vías de escape, no porque componga un relato más agradable.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1.7. </w:t>
      </w:r>
      <w:r>
        <w:rPr>
          <w:rFonts w:ascii="Arial" w:cs="Arial" w:eastAsia="Arial" w:hAnsi="Arial"/>
          <w:i/>
          <w:iCs/>
          <w:color w:val="000000"/>
          <w:sz w:val="24"/>
          <w:szCs w:val="24"/>
        </w:rPr>
        <w:t xml:space="preserve">Libre convicción como principio metodológico negativo; la sana crítica no es criterio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Tanto la Suprema Corte como la jurisprudencia electoral mexicana remiten a la «libre convicción» y a la «sana crítica» como fundamentos de la valoración. Ambas expresiones sugieren, a primera vista, que el juzgador goza de discreción amplia para decidir conforme a su conciencia. Ninguna de las dos significa eso. La «libre convicción» es un principio metodológico negativo que rechaza el apriorismo legal, pero no un criterio positivo de valoración, y la «sana crítica» nunca fue un criterio sustantivo sino una referencia a máximas de experiencia. La confusión entre el significado originario de ambas y sus usos posteriores está en el origen de un problema de controlabilidad de las sentencias.</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1.7.1. </w:t>
      </w:r>
      <w:r>
        <w:rPr>
          <w:rFonts w:ascii="Arial" w:cs="Arial" w:eastAsia="Arial" w:hAnsi="Arial"/>
          <w:i/>
          <w:iCs/>
          <w:color w:val="000000"/>
          <w:sz w:val="24"/>
          <w:szCs w:val="24"/>
        </w:rPr>
        <w:t xml:space="preserve">Principio negativo y criterio positivo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uno y otro ha quedado opacada por el uso indiferenciado de ambas expresiones. Gascón (2010) la traza con precisión al examinar la historia de la libre convicción en el derecho procesal. El rechazo de la prueba legal fue un giro revolucionario, pues la prueba legal predeterminaba el valor de cada medio mediante reglas abstractas: el testigo presenciador, la confesión espontánea, el documento público, cada uno tenía un peso fijo establecido por la ley. La libre convicción fue la reacción contra ese sistema fetichista, y su propósito consiste simplemente en «el rechazo de las pruebas legales como suficientes para determinar la decisión» (Gascón, 2010, p. 142). Con esa precisión, la libre convicción no es un criterio positivo que diga cómo debe valorarse, sino un principio </w:t>
      </w:r>
      <w:r>
        <w:rPr>
          <w:rFonts w:ascii="Arial" w:cs="Arial" w:eastAsia="Arial" w:hAnsi="Arial"/>
          <w:b w:val="false"/>
          <w:bCs w:val="false"/>
          <w:i/>
          <w:iCs/>
          <w:color w:val="000000"/>
          <w:sz w:val="24"/>
          <w:szCs w:val="24"/>
        </w:rPr>
        <w:t xml:space="preserve">negativo</w:t>
      </w:r>
      <w:r>
        <w:rPr>
          <w:rFonts w:ascii="Arial" w:cs="Arial" w:eastAsia="Arial" w:hAnsi="Arial"/>
          <w:b w:val="false"/>
          <w:bCs w:val="false"/>
          <w:i w:val="false"/>
          <w:iCs w:val="false"/>
          <w:color w:val="000000"/>
          <w:sz w:val="24"/>
          <w:szCs w:val="24"/>
        </w:rPr>
        <w:t xml:space="preserve"> que deshace el camino contrario: prescribe que el juzgador </w:t>
      </w:r>
      <w:r>
        <w:rPr>
          <w:rFonts w:ascii="Arial" w:cs="Arial" w:eastAsia="Arial" w:hAnsi="Arial"/>
          <w:b w:val="false"/>
          <w:bCs w:val="false"/>
          <w:i/>
          <w:iCs/>
          <w:color w:val="000000"/>
          <w:sz w:val="24"/>
          <w:szCs w:val="24"/>
        </w:rPr>
        <w:t xml:space="preserve">no</w:t>
      </w:r>
      <w:r>
        <w:rPr>
          <w:rFonts w:ascii="Arial" w:cs="Arial" w:eastAsia="Arial" w:hAnsi="Arial"/>
          <w:b w:val="false"/>
          <w:bCs w:val="false"/>
          <w:i w:val="false"/>
          <w:iCs w:val="false"/>
          <w:color w:val="000000"/>
          <w:sz w:val="24"/>
          <w:szCs w:val="24"/>
        </w:rPr>
        <w:t xml:space="preserve"> está sujeto a tasaciones previas.</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diferencia tiene consecuencias prácticas decisivas, porque un principio negativo deja sin resolver la cuestión de cómo proceder una vez rechazado el apriorismo legal. Una vez que la ley no fija el valor de la prueba, el juzgador debe determinar ese valor mediante algún método. La libre convicción marca dónde no se puede estar —bajo la coacción de reglas legales— pero no marca dónde se debe estar. De ahí que Gascón afirme que «la libre valoración no puede interpretarse más que en su significado primigenio: un </w:t>
      </w:r>
      <w:r>
        <w:rPr>
          <w:rFonts w:ascii="Arial" w:cs="Arial" w:eastAsia="Arial" w:hAnsi="Arial"/>
          <w:b w:val="false"/>
          <w:bCs w:val="false"/>
          <w:i/>
          <w:iCs/>
          <w:color w:val="000000"/>
          <w:sz w:val="24"/>
          <w:szCs w:val="24"/>
        </w:rPr>
        <w:t xml:space="preserve">principio metodológico (negativo)</w:t>
      </w:r>
      <w:r>
        <w:rPr>
          <w:rFonts w:ascii="Arial" w:cs="Arial" w:eastAsia="Arial" w:hAnsi="Arial"/>
          <w:b w:val="false"/>
          <w:bCs w:val="false"/>
          <w:i w:val="false"/>
          <w:iCs w:val="false"/>
          <w:color w:val="000000"/>
          <w:sz w:val="24"/>
          <w:szCs w:val="24"/>
        </w:rPr>
        <w:t xml:space="preserve">. Pero un principio metodológico y sólo eso. No, por tanto, un </w:t>
      </w:r>
      <w:r>
        <w:rPr>
          <w:rFonts w:ascii="Arial" w:cs="Arial" w:eastAsia="Arial" w:hAnsi="Arial"/>
          <w:b w:val="false"/>
          <w:bCs w:val="false"/>
          <w:i/>
          <w:iCs/>
          <w:color w:val="000000"/>
          <w:sz w:val="24"/>
          <w:szCs w:val="24"/>
        </w:rPr>
        <w:t xml:space="preserve">criterio (positivo)</w:t>
      </w:r>
      <w:r>
        <w:rPr>
          <w:rFonts w:ascii="Arial" w:cs="Arial" w:eastAsia="Arial" w:hAnsi="Arial"/>
          <w:b w:val="false"/>
          <w:bCs w:val="false"/>
          <w:i w:val="false"/>
          <w:iCs w:val="false"/>
          <w:color w:val="000000"/>
          <w:sz w:val="24"/>
          <w:szCs w:val="24"/>
        </w:rPr>
        <w:t xml:space="preserve"> de valoración» (Gascón, 2010, p. 142). La línea que separa ambas cosas es la que separa lo permitido de lo prescrito: la libre convicción permite al juzgador desligarse de reglas aprióricas, pero no prescribe cómo decidir sin ellas. Confundirlas convierte un límite al formalismo en autorización para la arbitrariedad.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1.7.2. </w:t>
      </w:r>
      <w:r>
        <w:rPr>
          <w:rFonts w:ascii="Arial" w:cs="Arial" w:eastAsia="Arial" w:hAnsi="Arial"/>
          <w:i/>
          <w:iCs/>
          <w:color w:val="000000"/>
          <w:sz w:val="24"/>
          <w:szCs w:val="24"/>
        </w:rPr>
        <w:t xml:space="preserve">La deriva subjetivista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uso posterior de la libre convicción se apartó de ese significado originario. En lugar de entenderse como rechazo del apriorismo legal, pasó a interpretarse como «valoración libre, sin sujeción a reglas de ningún tipo» (Gascón, 2010, p. 142). Con ese cambio de significado, la libre convicción dejó de ser una garantía epistemológica y se convirtió en una puerta abierta a la subjetividad descontrolada. La gravedad de la deriva no es apreciación aislada: Gascón (2010) recoge que Ferrajoli no duda en calificarla como «una de las páginas políticamente más amargas e intelectualmente más deprimentes de la historia de las instituciones penales» (p. 34). El juzgador recibía el encargo de «decidir según su conciencia» o según su «íntima convicción», pero sin instrucción acerca de cómo formar esa convicción racionalmente.</w:t>
      </w:r>
    </w:p>
    <w:p>
      <w:pPr>
        <w:spacing w:after="0" w:before="0" w:line="360"/>
        <w:ind w:firstLine="708"/>
        <w:jc w:val="both"/>
      </w:pPr>
      <w:r>
        <w:rPr>
          <w:rFonts w:ascii="Arial" w:cs="Arial" w:eastAsia="Arial" w:hAnsi="Arial"/>
          <w:b w:val="false"/>
          <w:bCs w:val="false"/>
          <w:i w:val="false"/>
          <w:iCs w:val="false"/>
          <w:color w:val="000000"/>
          <w:sz w:val="24"/>
          <w:szCs w:val="24"/>
        </w:rPr>
        <w:t xml:space="preserve">Nieva Fenoll (2015) describe el resultado con economía. Una vez rechazadas las reglas de la prueba legal, el juez «se deja solo, a fin de que haga lo que haya de hacer a su libre albedrío, lo que significa que su juicio estarán muchas veces imperfecto, o difícilmente motivable por estar con frecuencia basado en intuiciones derivadas de una experiencia no siempre bien aprehendida, a falta de otros datos en que apoyarse» (Nieva Fenoll, 2015, p. 90). La observación apunta al mismo problema que la distinción de Gascón: en ausencia de criterios positivos, el juzgador no queda liberado sino desorientado.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 ocurrido en la jurisprudencia penal angloamericana confirma que la deriva no es privativa de la tradición continental. Laudan (2005) registra que a través del siglo XX la «duda razonable» —que en su origen significó una medida epistémica precisa relacionada con la epistemología de Locke— fue deliberada y lentamente desplumada hasta quedar reducida a «un "careces de toda duda", esto es, a tener una alta confianza subjetiva» (Laudan, 2005, p. 99). La forma jurídica se mantuvo, pero el contenido se evaporó, y lo que quedó en su lugar fue precisamente lo que la libre convicción no era en su origen: la convicción íntima del juzgador, inaprensible, incomunicable, imposible de verificar. El estándar se vuelve así parasitario de su propia base, pues el jurado debe determinar si la culpabilidad se ha probado sin regla que le diga cuándo ha alcanzado esa convicción (Laudan, 2005, p. 106).</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convergencia entre ambas tradiciones es más profunda de lo que su distinto vocabulario sugiere. Nieva Fenoll (2015) observa que el subjetivismo es la base del sistema, aunque eso sea lo mismo que no decir nada, y concluye que «en realidad, las frases construidas por la doctrina alemana en nada se diferencian de los estándares de prueba anglosajones. No orientan a jurados, sino a jueces, pero su finalidad es exactamente la misma» (p. 92). Si todos los jueces declaran tener «convicción» pero ninguno especifica en qué consiste, entonces no existe criterio verificable de que todos apliquen el mismo. La apariencia de uniformidad oculta divergencias imposibles de detectar.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1.7.3. </w:t>
      </w:r>
      <w:r>
        <w:rPr>
          <w:rFonts w:ascii="Arial" w:cs="Arial" w:eastAsia="Arial" w:hAnsi="Arial"/>
          <w:i/>
          <w:iCs/>
          <w:color w:val="000000"/>
          <w:sz w:val="24"/>
          <w:szCs w:val="24"/>
        </w:rPr>
        <w:t xml:space="preserve">La sana crítica y la exigencia de explicitación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Algo parecido ocurre con la «sana crítica», aunque su historia sea distinta. La expresión, que remite a la «buena conciencia» medieval, aparece en fuentes españolas desde el siglo XIX como alternativa discreta al lenguaje de la «libre convicción». Nieva Fenoll (2015) examina su evolución y concluye que nunca fue un criterio sustantivo sino una referencia poco precisa a máximas de experiencia. El artículo 317 de la Ley de Enjuiciamiento Civil de 1855 disponía que los jueces valorarían las declaraciones testificales «según las reglas de la sana crítica», pero esa referencia «no aporta mucho en toda esta materia» (Nieva Fenoll, 2015, p. 88), porque no especifica qué reglas son las de la sana crítica ni cómo aplicarlas.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problema no es que la expresión sea incorrecta, sino que es demasiado vaga. Nieva Fenoll señala que «De Vicente y Caravantes valoró la referencia legal a la sana crítica como una obligación del juez de apreciar, además de otras máximas de experiencia sociológicas, las facultades psicológicas de los testigos» (Nieva Fenoll, 2015, p. 89). La sana crítica se entendía, entonces, como la aplicación de máximas de experiencia psicológicas y sociológicas a la valoración de la prueba. Eso es todo cuanto fue y todo cuanto puede ser: no proporciona un método, ni siquiera una orientación clara, y solo apunta en la dirección correcta de que el juzgador use el juicio para aplicar máximas de experiencia. La práctica posterior la convirtió, sin embargo, en un sinónimo vagamente tranquilizador de «el juez decide como considera conveniente». La doctrina fue más consciente del problema de lo que esa práctica sugiere, pues Nieva Fenoll recoge que la doctrina española de los siglos XVII a XIX «fue bien consciente de este problema, aunque con motivaciones que ensobrecieron la etología del problema y, por tanto, su solución» (Nieva Fenoll, 2015, p. 89), porque temían que un criterio estricto menguase la autoridad del juez.</w:t>
      </w:r>
    </w:p>
    <w:p>
      <w:pPr>
        <w:spacing w:after="0" w:before="0" w:line="360"/>
        <w:ind w:firstLine="708"/>
        <w:jc w:val="both"/>
      </w:pPr>
      <w:r>
        <w:rPr>
          <w:rFonts w:ascii="Arial" w:cs="Arial" w:eastAsia="Arial" w:hAnsi="Arial"/>
          <w:b w:val="false"/>
          <w:bCs w:val="false"/>
          <w:i w:val="false"/>
          <w:iCs w:val="false"/>
          <w:color w:val="000000"/>
          <w:sz w:val="24"/>
          <w:szCs w:val="24"/>
        </w:rPr>
        <w:t xml:space="preserve">Una valoración que no puede describirse no puede discutirse, y una sentencia que no expone la valoración que realiza deja al lector sin forma de verificar si la decisión resultó de la aplicación de criterios o de pura arbitrariedad. El artículo 16, párrafo 1, de la Ley General del Sistema de Medios de Impugnación en Materia Electoral no se limita, por ello, a remitir a la libre convicción: conjuga tres estándares, al ordenar valorar conforme a las reglas de la lógica, de la sana crítica y de la experiencia. Ese triple anclaje importa, porque no es lo mismo remitir a uno solo. La lógica proporciona criterios verificables, pues una conclusión que contradice sus premisas es lógicamente falsa y eso puede demostrarse. Las máximas de experiencia pueden enunciarse y discutirse, aunque su aplicación en el caso concreto admita debate. La experiencia del juzgador, por último, es un factor inevitable que debe quedar supeditado a los dos primeros. El problema comienza cuando cualquiera de los tres se interpreta como sinónimo de convicción íntima y queda entonces exonerado de justificación.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en obligar al juzgador a decidir de un modo determinado ni en negarle su experiencia y su juicio, sino en hacer que lo escriba: que comunique qué regla lógica aplicó, cuál fue la máxima de experiencia y por qué la consideró aplicable, y qué peso confirió a su propia experiencia frente a las pruebas que la contradicen. La libre convicción, como principio negativo, seguirá siendo tan libre como siempre. Dejará únicamente de ser convicción íntima para convertirse en convicción justificada, y eso —solo eso— es lo que la hace compatible con el Estado de derecho.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1.8. </w:t>
      </w:r>
      <w:r>
        <w:rPr>
          <w:rFonts w:ascii="Arial" w:cs="Arial" w:eastAsia="Arial" w:hAnsi="Arial"/>
          <w:i/>
          <w:iCs/>
          <w:color w:val="000000"/>
          <w:sz w:val="24"/>
          <w:szCs w:val="24"/>
        </w:rPr>
        <w:t xml:space="preserve">Un estándar subjetivo no es un estándar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Si la libre convicción es un principio negativo que rechaza la tasación legal, y si la sana crítica nunca fue un criterio sustantivo, queda por saber qué ocupa el lugar vacante. La respuesta usual es que queda la «convicción íntima» o la «confianza subjetiva» del juzgador. Esa respuesta no resuelve el problema: una convicción subjetiva no puede funcionar como estándar de prueba, porque le falta precisamente lo que todo estándar debe tener.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1.8.1. </w:t>
      </w:r>
      <w:r>
        <w:rPr>
          <w:rFonts w:ascii="Arial" w:cs="Arial" w:eastAsia="Arial" w:hAnsi="Arial"/>
          <w:i/>
          <w:iCs/>
          <w:color w:val="000000"/>
          <w:sz w:val="24"/>
          <w:szCs w:val="24"/>
        </w:rPr>
        <w:t xml:space="preserve">Los tres atributos de un estándar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Laudan (2005) comienza por lo elemental. Un estándar de prueba, para cumplir su función, debe proporcionar al juzgador una regla que le permita determinar cuándo ha alcanzado la certeza suficiente para decidir. Esa exigencia presupone tres cosas: una medida, algo que pueda comunicarse y algo que pueda verificarse (Laudan, 2005, p. 95). La «íntima convicción» carece de las tres. No es una medida porque la convicción personal es privada y variable de un juez a otro. No puede comunicarse porque consiste en un estado emocional o cognitivo interno que cada persona experimenta de forma distinta. Y no puede verificarse porque no hay criterio externo que permita a un tercero saber si la convicción de un juez es genuina, o si alcanza el nivel que el sistema presupone (Laudan, 2005, p. 95).</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carencia, un estándar verdadero debe ser capaz de cumplir dos operaciones. La primera consiste en guiar al juzgador durante el proceso de deliberación, indicándole cuándo ha reunido prueba suficiente. La segunda consiste en permitir que terceros —las partes, los órganos de apelación, la opinión pública— verifiquen que el juzgador aplicó el estándar correctamente. Una convicción subjetiva no satisface ninguna de las dos. No puede guiar porque no existe instrucción que defina qué es una «convicción», ni cuándo se alcanza, ni cómo se distingue de un mero presentimiento. Y no puede verificarse porque el resultado —la sentencia que declara al acusado culpable o inocente— es el único dato disponible, y ese dato no revela si la convicción que la motiva es auténtica o si basta para justificar la decisión (Laudan, 2005, p. 95).</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1.8.2. </w:t>
      </w:r>
      <w:r>
        <w:rPr>
          <w:rFonts w:ascii="Arial" w:cs="Arial" w:eastAsia="Arial" w:hAnsi="Arial"/>
          <w:i/>
          <w:iCs/>
          <w:color w:val="000000"/>
          <w:sz w:val="24"/>
          <w:szCs w:val="24"/>
        </w:rPr>
        <w:t xml:space="preserve">La corrupción de la duda razonable y las dos vías convencionales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historia del derecho procesal penal anglo-estadounidense registra ese proceso de degradación, según documenta Laudan (2005). El estándar oficial es la «duda razonable», expresión que en su origen significaba una medida epistemológica precisa, relacionada con la epistemología de Locke y el cálculo de probabilidades (Laudan, 2005, p. 99). A lo largo del siglo XX, sin embargo, fue deliberada y lentamente desplumada de su contenido epistemológico, hasta llegar a significar simplemente «tener una alta confianza subjetiva acerca de la culpabilidad» (Laudan, 2005, p. 99). La forma jurídica se mantuvo —los jueces siguen pronunciando las palabras «más allá de una duda razonable»—, pero el contenido se evaporó, y lo que quedó en su lugar fue la convicción íntima del juzgador.</w:t>
      </w:r>
    </w:p>
    <w:p>
      <w:pPr>
        <w:spacing w:after="0" w:before="0" w:line="360"/>
        <w:ind w:firstLine="708"/>
        <w:jc w:val="both"/>
      </w:pPr>
      <w:r>
        <w:rPr>
          <w:rFonts w:ascii="Arial" w:cs="Arial" w:eastAsia="Arial" w:hAnsi="Arial"/>
          <w:b w:val="false"/>
          <w:bCs w:val="false"/>
          <w:i w:val="false"/>
          <w:iCs w:val="false"/>
          <w:color w:val="000000"/>
          <w:sz w:val="24"/>
          <w:szCs w:val="24"/>
        </w:rPr>
        <w:t xml:space="preserve">El estándar se volvió así parasitario de su propia base: el jurado debe determinar si la culpabilidad se ha probado, pero sin regla que le diga cuándo ha alcanzado esa convicción (Laudan, 2005, p. 106). En esas circunstancias, como el autor observa, «hoy en día, el punto de vista oficial de la Corte Suprema es que una condición necesaria y suficiente para condenar al acusado en un juicio penal es una creencia firme de la culpabilidad por parte del jurado» (Laudan, 2005, p. 99). Pero esa creencia nunca se especifica. Los jueces y juristas académicos no reciben instrucción sobre qué significa «creencia firme», ni sobre cómo distinguirla de una creencia débil, ni sobre cuál es el umbral que la separa de la duda.</w:t>
      </w:r>
    </w:p>
    <w:p>
      <w:pPr>
        <w:spacing w:after="0" w:before="0" w:line="360"/>
        <w:ind w:firstLine="708"/>
        <w:jc w:val="both"/>
      </w:pPr>
      <w:r>
        <w:rPr>
          <w:rFonts w:ascii="Arial" w:cs="Arial" w:eastAsia="Arial" w:hAnsi="Arial"/>
          <w:b w:val="false"/>
          <w:bCs w:val="false"/>
          <w:i w:val="false"/>
          <w:iCs w:val="false"/>
          <w:color w:val="000000"/>
          <w:sz w:val="24"/>
          <w:szCs w:val="24"/>
        </w:rPr>
        <w:t xml:space="preserve">Dos intentos históricos de definir un estándar de prueba en el derecho penal, uno cualitativo y otro cuantitativo, han pretendido llenar ese vacío. El primer camino requiere que el juzgador tenga una «certeza moral» o «convicción que va más allá de la duda razonable» de que el acusado cometió el delito (Laudan, 2005, p. 98). El segundo, de corte académico-bayesiano, propone en su lugar un nivel de probabilidad —generalmente entre el 90% y el 95%— que debe alcanzarse antes de condenar (Laudan, 2005, p. 98). Ninguno de los dos es satisfactorio, y conviene ver por qué falla cada uno.</w:t>
      </w:r>
    </w:p>
    <w:p>
      <w:pPr>
        <w:spacing w:after="0" w:before="0" w:line="360"/>
        <w:ind w:firstLine="708"/>
        <w:jc w:val="both"/>
      </w:pPr>
      <w:r>
        <w:rPr>
          <w:rFonts w:ascii="Arial" w:cs="Arial" w:eastAsia="Arial" w:hAnsi="Arial"/>
          <w:b w:val="false"/>
          <w:bCs w:val="false"/>
          <w:i w:val="false"/>
          <w:iCs w:val="false"/>
          <w:color w:val="000000"/>
          <w:sz w:val="24"/>
          <w:szCs w:val="24"/>
        </w:rPr>
        <w:t xml:space="preserve">En el primero, la dificultad radica en que la noción de «certeza moral» o «convicción» es ella misma subjetiva. Cuando Laudan pregunta qué significa que un jurado esté «completamente persuadido», la respuesta que recibe es que depende de la creencia privada de cada jurado. Dos jurados pueden estar igualmente seguros de la culpabilidad —uno asignando una probabilidad de 90%, otro de 95%— y ambos pueden declarar que tienen «confianza» en esa estimación, sin que exista modo de saber cuál de ellos aplicó el estándar correctamente. Si el estándar es la duda razonable, la pregunta se reduce a esto: «¿estás completamente persuadido de que él lo cometió?» Si, por el contrario, han sido abogados académicos quienes han establecido que el estándar es del 90%, la pregunta que debe hacerse es: «¿tu evaluación de la probabilidad de culpabilidad es mayor del 90%?» (Laudan, 2005, p. 104). Las dos preguntas son radicalmente distintas, y la respuesta depende de cuál sea la que se plantee.</w:t>
      </w:r>
    </w:p>
    <w:p>
      <w:pPr>
        <w:spacing w:after="0" w:before="0" w:line="360"/>
        <w:ind w:firstLine="708"/>
        <w:jc w:val="both"/>
      </w:pPr>
      <w:r>
        <w:rPr>
          <w:rFonts w:ascii="Arial" w:cs="Arial" w:eastAsia="Arial" w:hAnsi="Arial"/>
          <w:b w:val="false"/>
          <w:bCs w:val="false"/>
          <w:i w:val="false"/>
          <w:iCs w:val="false"/>
          <w:color w:val="000000"/>
          <w:sz w:val="24"/>
          <w:szCs w:val="24"/>
        </w:rPr>
        <w:t xml:space="preserve">El camino cuantitativo tropieza con un obstáculo diferente. Incluso si se estableciera de forma explícita que el estándar es una probabilidad de 95%, esa precisión no eliminaría la subjetividad de la estimación inicial. Laudan (2005) ilustra el punto con un ejemplo constructor. Si un juez comienza un caso asignando una probabilidad previa de inocencia de 95%, y después examina la evidencia, llega a una estimación final de probabilidad de culpabilidad que depende de sus creencias iniciales acerca de si el acusado es culpable o inocente. Si otro juez comienza el mismo caso con una presunción de inocencia de 50%, su estimación final será más alta. En ambos casos, el resultado dependerá «entre otras cosas, de las creencias subjetivas iniciales del jurado acerca de la culpabilidad e inocencia» (Laudan, 2005, p. 101). La precisión numérica oculta una multiplicidad de creencias subjetivas que operan bajo la superficie.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1.8.3. </w:t>
      </w:r>
      <w:r>
        <w:rPr>
          <w:rFonts w:ascii="Arial" w:cs="Arial" w:eastAsia="Arial" w:hAnsi="Arial"/>
          <w:i/>
          <w:iCs/>
          <w:color w:val="000000"/>
          <w:sz w:val="24"/>
          <w:szCs w:val="24"/>
        </w:rPr>
        <w:t xml:space="preserve">Uniformidad y distribución del error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defecto que afecta a ambas vías es que hacen depender el estándar de datos que no pueden uniformarse. En un sistema donde el estándar de prueba es la convicción subjetiva del juzgador respecto de la culpabilidad, la determinación de cuándo se ha satisfecho «dependerá inevitablemente, entre otras cosas, de las creencias subjetivas iniciales del jurado acerca de la culpabilidad o inocencia» (Laudan, 2005, p. 101). Dos jueces enfrentados a exactamente la misma evidencia pueden aplicar lo que creen es el mismo estándar y llegar a conclusiones completamente opuestas, sin que exista criterio alguno para resolver el desacuerdo. El propio autor lo enuncia sin rodeos al presentar su trabajo: en un sistema con estándares subjetivos, las pruebas que pueden convencer a uno de la culpabilidad de otro no van a persuadir a un tercero de esa culpabilidad, de modo que no cabe esperar «ni uniformidad ni justicia si cada juez utiliza sus propios criterios» (Laudan, 2005, p. 95). La apariencia de uniformidad oculta divergencias imposibles de detectar.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subjetividad incapacita al estándar en un nivel todavía más profundo. Laudan (2005) sostiene que el único mecanismo para distribuir errores en favor del acusado es un estándar no subjetivo de la prueba, y que si se sitúa ese estándar en la altura correcta capturará completamente las creencias compartidas acerca de la razón apropiada de absoluciones falsas a condenas falsas (p. 112). Una regla de prueba que funciona verdaderamente cumple, así, una tarea de ingeniería social: especifica de antemano cuál es la proporción de errores que la sociedad está dispuesta a tolerar y vincula después el comportamiento del juez a esa proporción.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Esa tarea solo es posible si el estándar es independiente de la psicología individual del juez. Cuando el estándar es la convicción íntima o la confianza subjetiva, el sistema renuncia a esa capacidad, y lo que queda es un estándar parasitario del nivel de confianza que el investigador tenga respecto de la culpabilidad del acusado (Laudan, 2005, p. 106). No hay forma de saber de antemano cuál será el resultado, porque depende de datos que no pueden controlarse: las creencias privadas de cada juez acerca de lo que es probable o seguro.</w:t>
      </w:r>
    </w:p>
    <w:p>
      <w:pPr>
        <w:spacing w:after="0" w:before="0" w:line="360"/>
        <w:ind w:firstLine="708"/>
        <w:jc w:val="both"/>
      </w:pPr>
      <w:r>
        <w:rPr>
          <w:rFonts w:ascii="Arial" w:cs="Arial" w:eastAsia="Arial" w:hAnsi="Arial"/>
          <w:b w:val="false"/>
          <w:bCs w:val="false"/>
          <w:i w:val="false"/>
          <w:iCs w:val="false"/>
          <w:color w:val="000000"/>
          <w:sz w:val="24"/>
          <w:szCs w:val="24"/>
        </w:rPr>
        <w:t xml:space="preserve">Si el estándar de prueba fuese formulado en términos de una probabilidad específica, sería casi seguro que muchos de los jurados que han decidido que el acusado cometió el delito estarían en apuros para determinar, de una manera que no sea meramente arbitraria, si su confianza en la culpabilidad satisfizo o no las demandas impuestas por ese estándar (Laudan, 2005, p. 103). La razón es que la confianza subjetiva no se mide: nadie sabe cuánto de confianza es «90%» en términos de la experiencia vivida. Si no puede especificarse, tampoco puede verificarse, y si no puede verificarse no es un estándar sino una excusa.</w:t>
      </w:r>
    </w:p>
    <w:p>
      <w:pPr>
        <w:spacing w:after="0" w:before="0" w:line="360"/>
        <w:ind w:firstLine="708"/>
        <w:jc w:val="both"/>
      </w:pPr>
      <w:r>
        <w:rPr>
          <w:rFonts w:ascii="Arial" w:cs="Arial" w:eastAsia="Arial" w:hAnsi="Arial"/>
          <w:b w:val="false"/>
          <w:bCs w:val="false"/>
          <w:i w:val="false"/>
          <w:iCs w:val="false"/>
          <w:color w:val="000000"/>
          <w:sz w:val="24"/>
          <w:szCs w:val="24"/>
        </w:rPr>
        <w:t xml:space="preserve">Para que un estándar funcione debe comunicar algo más que una invitación a decidir conforme a la propia conciencia: debe decir, de forma precisa, cuándo se ha alcanzado la certeza suficiente. Mientras ese decir quede implícito o privatizado en la mente del juzgador, el derecho a impugnar queda convertido en derecho a adivinar. Las partes no saben qué tenían que probar, y los jueces de apelación no saben qué tenían que revisar.</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1.9. </w:t>
      </w:r>
      <w:r>
        <w:rPr>
          <w:rFonts w:ascii="Arial" w:cs="Arial" w:eastAsia="Arial" w:hAnsi="Arial"/>
          <w:i/>
          <w:iCs/>
          <w:color w:val="000000"/>
          <w:sz w:val="24"/>
          <w:szCs w:val="24"/>
        </w:rPr>
        <w:t xml:space="preserve">Motivación como control externo de la inferencia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Una inferencia con estructura descriptible, criterios de solidez enunciables y un conjunto probatorio que debe valorarse de forma relacional siguen siendo operaciones invisibles mientras nada obligue al juzgador a exteriorizarlas. La motivación es el mecanismo que las vuelve visibles, y no se trata de un requisito formal añadido al final de la sentencia sino de la condición que convierte la valoración en una actividad controlable.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1.9.1. </w:t>
      </w:r>
      <w:r>
        <w:rPr>
          <w:rFonts w:ascii="Arial" w:cs="Arial" w:eastAsia="Arial" w:hAnsi="Arial"/>
          <w:i/>
          <w:iCs/>
          <w:color w:val="000000"/>
          <w:sz w:val="24"/>
          <w:szCs w:val="24"/>
        </w:rPr>
        <w:t xml:space="preserve">La garantía de cierre y sus dos funciones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Conviene comenzar por el diagnóstico que justifica la exigencia. Andrés Ibáñez (1992) localiza con precisión el punto ciego de la función jurisdiccional: la </w:t>
      </w:r>
      <w:r>
        <w:rPr>
          <w:rFonts w:ascii="Arial" w:cs="Arial" w:eastAsia="Arial" w:hAnsi="Arial"/>
          <w:b w:val="false"/>
          <w:bCs w:val="false"/>
          <w:i/>
          <w:iCs/>
          <w:color w:val="000000"/>
          <w:sz w:val="24"/>
          <w:szCs w:val="24"/>
        </w:rPr>
        <w:t xml:space="preserve">quaestio facti</w:t>
      </w:r>
      <w:r>
        <w:rPr>
          <w:rFonts w:ascii="Arial" w:cs="Arial" w:eastAsia="Arial" w:hAnsi="Arial"/>
          <w:b w:val="false"/>
          <w:bCs w:val="false"/>
          <w:i w:val="false"/>
          <w:iCs w:val="false"/>
          <w:color w:val="000000"/>
          <w:sz w:val="24"/>
          <w:szCs w:val="24"/>
        </w:rPr>
        <w:t xml:space="preserve"> es el momento de ejercicio del poder judicial por antonomasia, porque es en la reconstrucción o en la elaboración de los hechos donde el juez es más soberano, más difícilmente controlable, y donde, por ende, puede ser más arbitrario (p. 261). El juicio de hecho es tan problemático o más que el juicio de derecho, y en él la discrecionalidad del juzgador es mayor que en la interpretación de las normas, pese a que esa discrecionalidad haya pasado por alto a la mayoría de los juristas (Gascón, 2010, p. 174). El desequilibrio es notable: la zona donde el poder judicial es más libre es también aquella sobre la que la cultura jurídica ha producido menos controles.</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zona, la motivación opera como el instrumento que impide que la libertad valorativa se convierta en arbitrio. Andrés Ibáñez (1992) recupera la fórmula de Calamandrei, para quien la motivación constituye el signo más importante y típico de la racionalización de la función judicial, y precisa por qué funciona: el simple hecho de ampliar el campo de lo observable de la decisión, no sólo para los destinatarios directos sino al mismo tiempo e inevitablemente para terceros, comporta la exigencia de un plus de justificación del acto y una mayor exposición de éste a la opinión (pp. 257-258). No es la sanción lo que disciplina, sino la exposición.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Si valorar consiste en verificar enunciados fácticos, entonces «el principio valorativo de la libre convicción no tiene sentido si no se conecta a su vez con la exigencia de motivación, de explicitación de las razones que apoyan la verificación de esos enunciados, pues en otro caso la libre valoración se convertiría en valoración libre, discrecional, subjetiva y arbitraria» (Gascón, 2010, p. 175). La distinción entre valoración libre y libre valoración no es un juego de palabras: marca la diferencia entre un sistema que confía en el juzgador porque puede revisarlo y uno que confía porque no puede. Si la motivación no es directamente una garantía epistemológica, sí lo es indirectamente, en la medida en que permite un control sobre ese irreductible espacio de discrecionalidad que es el ámbito de la libre valoración, y constituye por ello la «garantía de cierre del sistema cognoscitivista» (Gascón, 2010, p. 177).</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convicción subjetiva falla en tres frentes, pues no es medida, no puede comunicarse y no puede verificarse. La motivación resuelve los dos últimos y no resuelve el primero: obliga a comunicar y hace posible verificar, pero no dice cuánto basta. Una sentencia puede estar impecablemente motivada y aplicar, sin decirlo, un umbral distinto del que aplicó la sentencia anterior sobre el mismo tipo de hechos. Motivación y estándar son, por tanto, exigencias complementarias y no intercambiables, y confundirlas conduce al error de suponer que basta escribir más para decidir mejor (Gascón, 2010, p. 178). La primera consiste en mostrar el esfuerzo realizado por el juez en el juicio de hecho y posibilitar de ese modo un control público. La segunda facilita a los órganos de revisión un conocimiento más claro y detallado de las razones del fallo, y facilita también a la parte perjudicada su eventual impugnación, hasta el punto de que la motivación es el espejo revelador de los errores del juzgador (Gascón, 2010, pp. 178-180).</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función no puede absorber a la primera. La motivación como mecanismo de garantía, en un diseño procesal de raíz constitucional, «no puede limitar su funcionalidad al ámbito de las relaciones inter partes, asumiendo necesariamente una función extraprocesal» de la que deriva la apertura de un ámbito de relaciones cuyos sujetos son, por un lado, el tribunal y, por otro, la totalidad de los asociados, que se constituyen en destinatarios de la sentencia (Andrés Ibáñez, 1992, p. 261). La constitucionalización del deber de motivar implica que a la tradicional función endoprocesal se agregue una función extraprocesal, de modo que «la motivación representa, en efecto, la garantía de la controlabilidad del ejercicio del poder judicial fuera del contexto procesal, y entonces por parte del </w:t>
      </w:r>
      <w:r>
        <w:rPr>
          <w:rFonts w:ascii="Arial" w:cs="Arial" w:eastAsia="Arial" w:hAnsi="Arial"/>
          <w:b w:val="false"/>
          <w:bCs w:val="false"/>
          <w:i/>
          <w:iCs/>
          <w:color w:val="000000"/>
          <w:sz w:val="24"/>
          <w:szCs w:val="24"/>
        </w:rPr>
        <w:t xml:space="preserve">quivis de populo</w:t>
      </w:r>
      <w:r>
        <w:rPr>
          <w:rFonts w:ascii="Arial" w:cs="Arial" w:eastAsia="Arial" w:hAnsi="Arial"/>
          <w:b w:val="false"/>
          <w:bCs w:val="false"/>
          <w:i w:val="false"/>
          <w:iCs w:val="false"/>
          <w:color w:val="000000"/>
          <w:sz w:val="24"/>
          <w:szCs w:val="24"/>
        </w:rPr>
        <w:t xml:space="preserve"> y de la opinión pública en general» (Taruffo, 2013, p. 104).</w:t>
      </w:r>
    </w:p>
    <w:p>
      <w:pPr>
        <w:spacing w:after="0" w:before="0" w:line="360"/>
        <w:ind w:firstLine="708"/>
        <w:jc w:val="both"/>
      </w:pPr>
      <w:r>
        <w:rPr>
          <w:rFonts w:ascii="Arial" w:cs="Arial" w:eastAsia="Arial" w:hAnsi="Arial"/>
          <w:b w:val="false"/>
          <w:bCs w:val="false"/>
          <w:i w:val="false"/>
          <w:iCs w:val="false"/>
          <w:color w:val="000000"/>
          <w:sz w:val="24"/>
          <w:szCs w:val="24"/>
        </w:rPr>
        <w:t xml:space="preserve">«El significado profundo de las garantías está, en efecto, en la posibilidad de que el control sea puesto en práctica, no en el hecho de que sea efectuado concretamente en cada caso individual» (Taruffo, 2013, p. 104). La garantía no depende de que alguien la use, sino de que pueda usarse. La observación resulta especialmente pertinente en el contencioso electoral, donde una sentencia que resuelve sobre la validez de una elección no afecta solo a quien impugnó y a quien fue declarado electo, sino a un cuerpo electoral que no es parte y que, sin embargo, es destinatario del resultado. Si la única función reconocida a la motivación fuese facilitar el recurso, en una materia donde muchas decisiones son terminales el deber quedaría vaciado justamente allí donde más importa. La idea de la motivación como instrumento de control externo está ligada a una concepción democrática del ejercicio del poder, mientras que la imposibilidad de control sobre el fundamento de la decisión corresponde a una concepción autoritaria (Taruffo, 2013, pp. 107-108).</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1.9.2. </w:t>
      </w:r>
      <w:r>
        <w:rPr>
          <w:rFonts w:ascii="Arial" w:cs="Arial" w:eastAsia="Arial" w:hAnsi="Arial"/>
          <w:i/>
          <w:iCs/>
          <w:color w:val="000000"/>
          <w:sz w:val="24"/>
          <w:szCs w:val="24"/>
        </w:rPr>
        <w:t xml:space="preserve">Motivación-actividad y motivación-documento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exigencia de motivar no opera solamente después de decidir: opera sobre el modo de decidir. La exigencia de trasladar a terceros los verdaderos motivos de la decisión, lejos de resolverse en una simple exteriorización formal de éstos, «retroactúa sobre la propia dinámica de formación de la motivación y de la misma resolución en todos sus planos; obligando a quien la adopta a operar, ya desde el principio, con unos parámetros de racionalidad expresa y de conciencia autocrítica mucho más exigentes». «No es lo mismo resolver conforme a una corazonada, que hacerlo con criterios idóneos para ser comunicados». Quien sabe que tiene que motivar encuentra el campo de las soluciones eventuales restringido al de las opciones racionalmente justificables, y se vería constreñido a rechazar una determinada opción, quizá conforme a sus principios, cuando no fuese capaz de argumentarla favorablemente (Andrés Ibáñez, 1992, p. 291).</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conciencia de tener que motivar «condicione la formulación de la decisión sometiéndola a controles racionales y jurídicos»: la exigencia retroactúa sobre el propio </w:t>
      </w:r>
      <w:r>
        <w:rPr>
          <w:rFonts w:ascii="Arial" w:cs="Arial" w:eastAsia="Arial" w:hAnsi="Arial"/>
          <w:b w:val="false"/>
          <w:bCs w:val="false"/>
          <w:i/>
          <w:iCs/>
          <w:color w:val="000000"/>
          <w:sz w:val="24"/>
          <w:szCs w:val="24"/>
        </w:rPr>
        <w:t xml:space="preserve">iter</w:t>
      </w:r>
      <w:r>
        <w:rPr>
          <w:rFonts w:ascii="Arial" w:cs="Arial" w:eastAsia="Arial" w:hAnsi="Arial"/>
          <w:b w:val="false"/>
          <w:bCs w:val="false"/>
          <w:i w:val="false"/>
          <w:iCs w:val="false"/>
          <w:color w:val="000000"/>
          <w:sz w:val="24"/>
          <w:szCs w:val="24"/>
        </w:rPr>
        <w:t xml:space="preserve"> de adopción de la decisión provocando la expulsión de los elementos de convicción no susceptibles de justificación y propiciando que la decisión se adopte conforme a criterios aptos para ser comunicados, «en detrimento de la "corazonada", que resultará más difícil de justificar» (Gascón, 2010, p. 180). El juez que sepa que tiene que motivar será inducido a razonar correctamente aun cuando está evaluando las pruebas y formulando la decisión (Taruffo, 2013, p. 106). Un juzgador que sabe que deberá enunciar la máxima de experiencia empleada tenderá a escoger una máxima defendible, y uno que sabe que deberá justificar por qué descartó una prueba de descargo tenderá a examinarla antes de descartarla. La motivación no es, por ello, la última operación del razonamiento probatorio, sino una condición de todas las anteriores.</w:t>
      </w:r>
    </w:p>
    <w:p>
      <w:pPr>
        <w:spacing w:after="0" w:before="0" w:line="360"/>
        <w:ind w:firstLine="708"/>
        <w:jc w:val="both"/>
      </w:pPr>
      <w:r>
        <w:rPr>
          <w:rFonts w:ascii="Arial" w:cs="Arial" w:eastAsia="Arial" w:hAnsi="Arial"/>
          <w:b w:val="false"/>
          <w:bCs w:val="false"/>
          <w:i w:val="false"/>
          <w:iCs w:val="false"/>
          <w:color w:val="000000"/>
          <w:sz w:val="24"/>
          <w:szCs w:val="24"/>
        </w:rPr>
        <w:t xml:space="preserve">Contra esa exigencia suele oponerse que equivale a pedir un imposible, porque nadie puede reproducir por escrito el proceso mental que lo condujo a una conclusión. La motivación-actividad es «el procedimiento mental que ha conducido al juez a formular como verdadero un enunciado sobre los hechos del caso», y versa sobre el contexto de descubrimiento. La motivación-documento es «el conjunto de enunciados del discurso judicial en los que se aportan las razones que permiten aceptar otros enunciados fácticos como verdaderos», y versa sobre el contexto de justificación (Gascón, 2010, p. 184). Lo que el derecho exige es la segunda: el razonamiento justificativo que presupone la decisión y está orientado a mostrar que hay buenas razones y argumentos lógicamente correctos para considerarla válida y aceptable (Taruffo, 2013, p. 106). Pensar que la motivación es una grabación de lo que el juez pensó constituye una concepción errónea.</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no autoriza el divorcio. No puede ni separarse tajantemente ambas motivaciones ni identificarlas por completo. En un modelo cognoscitivista la motivación-documento ha de coincidir con la motivación-actividad eliminando de ella los elementos no susceptibles de justificación racional (Gascón, 2010, pp. 186-187). De ahí la regla operativa: «no se motiva apelando a la "íntima convicción", pues ésta no justifica nada, sino apelando a buenas razones capaces de una comunicación intersubjetiva» (p. 186). Tampoco se motiva apelando al conocimiento privado del juzgador, porque «la motivación no puede resumirse en un "esto es así porque yo lo sé"» (p. 182), precisión que importa en materia electoral, donde la invocación de la notoriedad de ciertos hechos es frecuente y no siempre se distingue lo que es de dominio público de lo que el juzgador simplemente sabe.</w:t>
      </w:r>
    </w:p>
    <w:p>
      <w:pPr>
        <w:spacing w:after="0" w:before="0" w:line="360"/>
        <w:ind w:firstLine="708"/>
        <w:jc w:val="both"/>
      </w:pPr>
      <w:r>
        <w:rPr>
          <w:rFonts w:ascii="Arial" w:cs="Arial" w:eastAsia="Arial" w:hAnsi="Arial"/>
          <w:b w:val="false"/>
          <w:bCs w:val="false"/>
          <w:i w:val="false"/>
          <w:iCs w:val="false"/>
          <w:color w:val="000000"/>
          <w:sz w:val="24"/>
          <w:szCs w:val="24"/>
        </w:rPr>
        <w:t xml:space="preserve">Exigir motivación no convierte al órgano revisor en una nueva instancia sobre los hechos. El control sobre la motivación sólo enjuicia si las argumentaciones esgrimidas en favor de una decisión permiten sostener ésta, de manera que si la motivación no resulta adecuada no se le abre al órgano de control la vía para valorar él mismo la prueba, sino sólo la posibilidad de poner de manifiesto el vicio de motivación (Gascón, 2010, p. 187). Controlar la motivación no es revalorar: es verificar si lo escrito sostiene lo resuelto.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1.9.3. </w:t>
      </w:r>
      <w:r>
        <w:rPr>
          <w:rFonts w:ascii="Arial" w:cs="Arial" w:eastAsia="Arial" w:hAnsi="Arial"/>
          <w:i/>
          <w:iCs/>
          <w:color w:val="000000"/>
          <w:sz w:val="24"/>
          <w:szCs w:val="24"/>
        </w:rPr>
        <w:t xml:space="preserve">Completitud y contenido exigible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Establecido qué se controla, queda por determinar sobre qué debe recaer la justificación. La respuesta doctrinal es unánime y exigente: sobre todo. La motivación debe justificar todas las elecciones que el juez realizó para llegar a la decisión final. Si algunas elecciones quedan faltas de justificación, eso implica que el control sobre su fundamento racional no es posible (Taruffo, 2013, p. 104). El principio se despliega en la distinción entre justificación interna —la conexión lógica entre premisas y conclusión— y justificación externa —la elección de las premisas de las que la decisión se origina—. A la justificación externa de la premisa fáctica atañen las razones por las que el juzgador reconstruyó de determinada manera los hechos, lo que implica proveer argumentos racionales relativos a cómo evaluó las pruebas y a las inferencias lógicas mediante las cuales llegó a sus conclusiones (Taruffo, 2013, p. 105).</w:t>
      </w:r>
    </w:p>
    <w:p>
      <w:pPr>
        <w:spacing w:after="0" w:before="0" w:line="360"/>
        <w:ind w:firstLine="708"/>
        <w:jc w:val="both"/>
      </w:pPr>
      <w:r>
        <w:rPr>
          <w:rFonts w:ascii="Arial" w:cs="Arial" w:eastAsia="Arial" w:hAnsi="Arial"/>
          <w:b w:val="false"/>
          <w:bCs w:val="false"/>
          <w:i w:val="false"/>
          <w:iCs w:val="false"/>
          <w:color w:val="000000"/>
          <w:sz w:val="24"/>
          <w:szCs w:val="24"/>
        </w:rPr>
        <w:t xml:space="preserve">La primera exigencia concreta recae sobre la valoración de cada elemento: el juez tiene que explicar por qué consideró confiable o no a un testigo, y «debe explicar con base en qué inferencias consideró que un indicio dado lleva a una determinada conclusión relativa a un hecho de la causa» (Taruffo, 2013, p. 105). La segunda recae sobre lo descartado. El juez debe explicitar su motivación respecto de aquellas pruebas que juzgó inatendibles, en especial si eran contrarias a la reconstrucción que él mismo elaboró. Admitir que motive sólo con base en las pruebas favorables implica el riesgo del </w:t>
      </w:r>
      <w:r>
        <w:rPr>
          <w:rFonts w:ascii="Arial" w:cs="Arial" w:eastAsia="Arial" w:hAnsi="Arial"/>
          <w:b w:val="false"/>
          <w:bCs w:val="false"/>
          <w:i/>
          <w:iCs/>
          <w:color w:val="000000"/>
          <w:sz w:val="24"/>
          <w:szCs w:val="24"/>
        </w:rPr>
        <w:t xml:space="preserve">confirmation bias</w:t>
      </w:r>
      <w:r>
        <w:rPr>
          <w:rFonts w:ascii="Arial" w:cs="Arial" w:eastAsia="Arial" w:hAnsi="Arial"/>
          <w:b w:val="false"/>
          <w:bCs w:val="false"/>
          <w:i w:val="false"/>
          <w:iCs w:val="false"/>
          <w:color w:val="000000"/>
          <w:sz w:val="24"/>
          <w:szCs w:val="24"/>
        </w:rPr>
        <w:t xml:space="preserve">. Por eso «la evaluación negativa de las pruebas contrarias es indispensable para justificar el fundamento de la decisión» (pp. 105-106).</w:t>
      </w:r>
    </w:p>
    <w:p>
      <w:pPr>
        <w:spacing w:after="0" w:before="0" w:line="360"/>
        <w:ind w:firstLine="708"/>
        <w:jc w:val="both"/>
      </w:pPr>
      <w:r>
        <w:rPr>
          <w:rFonts w:ascii="Arial" w:cs="Arial" w:eastAsia="Arial" w:hAnsi="Arial"/>
          <w:b w:val="false"/>
          <w:bCs w:val="false"/>
          <w:i w:val="false"/>
          <w:iCs w:val="false"/>
          <w:color w:val="000000"/>
          <w:sz w:val="24"/>
          <w:szCs w:val="24"/>
        </w:rPr>
        <w:t xml:space="preserve">El deber de motivar alcanza a todas las pruebas, aunque hay exenciones fundadas. La que la práctica forense aplica con más frecuencia es precisamente la rechazable: reservar la exigencia de motivación para la prueba indiciaria y aliviarla en la llamada prueba directa. La prueba directa tiene también naturaleza inductiva, y lo único que la separa de la prueba indirecta o indiciaria es el número de pasos inferenciales de que consta. Nada la exime, por lo tanto, de la exigencia de motivación (Gascón, 2010, p. 183). Cuando se admite la llamada motivación implícita, «la renuncia no es, como parece querer sugerirse, (solo) a la expresión de la motivación, sino a la motivación misma» (Andrés Ibáñez, 1992, p. 290).</w:t>
      </w:r>
    </w:p>
    <w:p>
      <w:pPr>
        <w:spacing w:after="0" w:before="0" w:line="360"/>
        <w:ind w:firstLine="708"/>
        <w:jc w:val="both"/>
      </w:pPr>
      <w:r>
        <w:rPr>
          <w:rFonts w:ascii="Arial" w:cs="Arial" w:eastAsia="Arial" w:hAnsi="Arial"/>
          <w:b w:val="false"/>
          <w:bCs w:val="false"/>
          <w:i w:val="false"/>
          <w:iCs w:val="false"/>
          <w:color w:val="000000"/>
          <w:sz w:val="24"/>
          <w:szCs w:val="24"/>
        </w:rPr>
        <w:t xml:space="preserve">La figura jurisprudencial de la apreciación conjunta de la prueba, cuando funciona como subterfugio, «hace pasar por discurso justificatorio lo que no lo es en absoluto; un expediente, en fin, que propicia y encubre la ausencia de motivación» (Gascón, 2010, p. 177). Lo que se denuncia es la declaración genérica de hechos probados que invoca el conjunto para no razonar ninguno de sus elementos. La agregación analítica valora primero cada elemento y determina después el grado de corroboración que el conjunto confiere a la hipótesis, obligando a justificar tanto los elementos como la relación que guardan entre sí.</w:t>
      </w:r>
    </w:p>
    <w:p>
      <w:pPr>
        <w:spacing w:after="0" w:before="0" w:line="360"/>
        <w:ind w:firstLine="708"/>
        <w:jc w:val="both"/>
      </w:pPr>
      <w:r>
        <w:rPr>
          <w:rFonts w:ascii="Arial" w:cs="Arial" w:eastAsia="Arial" w:hAnsi="Arial"/>
          <w:b w:val="false"/>
          <w:bCs w:val="false"/>
          <w:i w:val="false"/>
          <w:iCs w:val="false"/>
          <w:color w:val="000000"/>
          <w:sz w:val="24"/>
          <w:szCs w:val="24"/>
        </w:rPr>
        <w:t xml:space="preserve">Una hipótesis fáctica está justificada si no ha sido refutada y es confirmada por las pruebas disponibles más que cualquier otra. Cada elemento impone deberes precisos. Justificar que la hipótesis no ha sido refutada supone demostrar que no ha habido contrapruebas o que las eventuales contrapruebas han sido destruidas. Justificar que está confirmada requiere exponer y justificar las pruebas o indicios de los que se parte, la ley general de la que se parte, y mostrar que esos indicios constituyen una instancia particular del antecedente de esa ley. El grado de confirmación depende no sólo de la cantidad de datos favorables sino también de su variedad. Justificar que la hipótesis está más confirmada que sus rivales exige explicar las razones por las que se eligió una y se abandonó la otra, y afecta incluso a la forma de estructurar el razonamiento en la sentencia, que «debe reflejar la confrontación de las hipótesis» (Gascón, 2010, pp. 195-197).</w:t>
      </w:r>
    </w:p>
    <w:p>
      <w:pPr>
        <w:spacing w:after="0" w:before="0" w:line="360"/>
        <w:ind w:firstLine="708"/>
        <w:jc w:val="both"/>
      </w:pPr>
      <w:r>
        <w:rPr>
          <w:rFonts w:ascii="Arial" w:cs="Arial" w:eastAsia="Arial" w:hAnsi="Arial"/>
          <w:b w:val="false"/>
          <w:bCs w:val="false"/>
          <w:i w:val="false"/>
          <w:iCs w:val="false"/>
          <w:color w:val="000000"/>
          <w:sz w:val="24"/>
          <w:szCs w:val="24"/>
        </w:rPr>
        <w:t xml:space="preserve">Para que la hipótesis pueda considerarse válida se precisa una pluralidad de confirmaciones, es preciso que resista las contrapruebas y tienen que resultar desvirtuadas todas las hipótesis alternativas. Cuanto mayor es la distancia, y por tanto mayor el número de inferencias necesarias para derivar de los hechos probatorios el </w:t>
      </w:r>
      <w:r>
        <w:rPr>
          <w:rFonts w:ascii="Arial" w:cs="Arial" w:eastAsia="Arial" w:hAnsi="Arial"/>
          <w:b w:val="false"/>
          <w:bCs w:val="false"/>
          <w:i/>
          <w:iCs/>
          <w:color w:val="000000"/>
          <w:sz w:val="24"/>
          <w:szCs w:val="24"/>
        </w:rPr>
        <w:t xml:space="preserve">thema probandi</w:t>
      </w:r>
      <w:r>
        <w:rPr>
          <w:rFonts w:ascii="Arial" w:cs="Arial" w:eastAsia="Arial" w:hAnsi="Arial"/>
          <w:b w:val="false"/>
          <w:bCs w:val="false"/>
          <w:i w:val="false"/>
          <w:iCs w:val="false"/>
          <w:color w:val="000000"/>
          <w:sz w:val="24"/>
          <w:szCs w:val="24"/>
        </w:rPr>
        <w:t xml:space="preserve">, menor es el grado de probabilidad de la inducción probatoria. Sobre las máximas de experiencia: ordenar el razonamiento en forma justificativa obliga al juzgador a ordenar el material probatorio ya contrastado, a verificar la forma en que lo ha sido y a hacer explícitas las máximas de experiencia empleadas (Andrés Ibáñez, 1992, pp. 284-286).</w:t>
      </w:r>
    </w:p>
    <w:p>
      <w:pPr>
        <w:spacing w:after="0" w:before="0" w:line="360"/>
        <w:ind w:firstLine="708"/>
        <w:jc w:val="both"/>
      </w:pPr>
      <w:r>
        <w:rPr>
          <w:rFonts w:ascii="Arial" w:cs="Arial" w:eastAsia="Arial" w:hAnsi="Arial"/>
          <w:b w:val="false"/>
          <w:bCs w:val="false"/>
          <w:i w:val="false"/>
          <w:iCs w:val="false"/>
          <w:color w:val="000000"/>
          <w:sz w:val="24"/>
          <w:szCs w:val="24"/>
        </w:rPr>
        <w:t xml:space="preserve">La inmediación es una garantía, pero sólo de carácter instrumental. Cuando se la usa como barrera para vetar el acceso al examen del curso valorativo del tribunal, «se convierte en una injustificable coartada, primero para propiciar que el juez oculte sus razones; y, después, para negar legitimidad a cualquier tentativa de fiscalizarlas» (Andrés Ibáñez, 1992, p. 297). La salida consiste en distinguir el juicio sobre el hecho del juicio sobre el juicio, distinción que permite admitir el control lógico sobre la adecuación de la motivación en materia de hecho, esto es, sobre la carencia de confirmaciones o sobre la presencia o no experimentación de contrapruebas.</w:t>
      </w:r>
    </w:p>
    <w:p>
      <w:pPr>
        <w:spacing w:after="0" w:before="0" w:line="360"/>
        <w:ind w:firstLine="708"/>
        <w:jc w:val="both"/>
      </w:pPr>
      <w:r>
        <w:rPr>
          <w:rFonts w:ascii="Arial" w:cs="Arial" w:eastAsia="Arial" w:hAnsi="Arial"/>
          <w:b w:val="false"/>
          <w:bCs w:val="false"/>
          <w:i w:val="false"/>
          <w:iCs w:val="false"/>
          <w:color w:val="000000"/>
          <w:sz w:val="24"/>
          <w:szCs w:val="24"/>
        </w:rPr>
        <w:t xml:space="preserve">Las inferencias pueden controlarse precisamente porque no dependen sustancialmente de la inmediación, sino de la corrección del razonamiento que se debe fundar en las reglas de la lógica, en los principios de la experiencia y, en su caso, en conocimientos científicos. El artículo 16, párrafo 1, de la Ley General del Sistema de Medios de Impugnación en Materia Electoral ordena valorar conforme a las reglas de la lógica, la sana crítica y la experiencia. Si esos son los patrones que la ley impone, esos mismos son los patrones respecto de los cuales la valoración puede ser revisada.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defecto de motivación produce indefensión y encarna una forma de ejercicio arbitrario de un poder público, no sólo en el caso de motivación incorrecta, sino también en el de pura y simple falta de expresión de la motivación (Andrés Ibáñez, 1992, p. 299). A la </w:t>
      </w:r>
      <w:r>
        <w:rPr>
          <w:rFonts w:ascii="Arial" w:cs="Arial" w:eastAsia="Arial" w:hAnsi="Arial"/>
          <w:b w:val="false"/>
          <w:bCs w:val="false"/>
          <w:i/>
          <w:iCs/>
          <w:color w:val="000000"/>
          <w:sz w:val="24"/>
          <w:szCs w:val="24"/>
        </w:rPr>
        <w:t xml:space="preserve">intime conviction</w:t>
      </w:r>
      <w:r>
        <w:rPr>
          <w:rFonts w:ascii="Arial" w:cs="Arial" w:eastAsia="Arial" w:hAnsi="Arial"/>
          <w:b w:val="false"/>
          <w:bCs w:val="false"/>
          <w:i w:val="false"/>
          <w:iCs w:val="false"/>
          <w:color w:val="000000"/>
          <w:sz w:val="24"/>
          <w:szCs w:val="24"/>
        </w:rPr>
        <w:t xml:space="preserve"> sólo puede corresponderle una falta de motivación o una motivación ficticia (Taruffo, 2013, p. 107). Las dos afirmaciones describen los dos polos de un mismo continuo. En un extremo, la sentencia que motiva mal; en el otro, la que no motiva. Y entre ambas, la que clausura el análisis antes de tener que motivar, porque declara inoperante el agravio y con ello se ahorra decir cuánta prueba habría bastado.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1.10. </w:t>
      </w:r>
      <w:r>
        <w:rPr>
          <w:rFonts w:ascii="Arial" w:cs="Arial" w:eastAsia="Arial" w:hAnsi="Arial"/>
          <w:i/>
          <w:iCs/>
          <w:color w:val="000000"/>
          <w:sz w:val="24"/>
          <w:szCs w:val="24"/>
        </w:rPr>
        <w:t xml:space="preserve">Recapitulación: nueve categorías operativas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recorrido por las categorías de la epistemología jurídica no perseguía una exposición panorámica, sino la construcción de un instrumento. Su resultado se condensa en nueve enunciados, cada uno acompañado de la pregunta de control que genera. Ese formato responde a una exigencia interna del planteamiento: una categoría que no se traduce en una pregunta verificable no sirve para controlar nada, y sería incoherente reprochar a los tribunales la vaguedad de sus criterios empleando criterios igualmente vagos.</w:t>
      </w:r>
    </w:p>
    <w:p>
      <w:pPr>
        <w:spacing w:after="0" w:before="0" w:line="360"/>
        <w:ind w:firstLine="708"/>
        <w:jc w:val="both"/>
      </w:pPr>
      <w:r>
        <w:rPr>
          <w:rFonts w:ascii="Arial" w:cs="Arial" w:eastAsia="Arial" w:hAnsi="Arial"/>
          <w:b w:val="false"/>
          <w:bCs w:val="false"/>
          <w:i w:val="false"/>
          <w:iCs w:val="false"/>
          <w:color w:val="000000"/>
          <w:sz w:val="24"/>
          <w:szCs w:val="24"/>
        </w:rPr>
        <w:t xml:space="preserve">Las nueve categorías no son una doctrina ajena importada en bloque. Siete reproducen tesis sostenidas por los autores del corpus y una octava —la sexta— resulta de una operación de deslinde entre posiciones enfrentadas. La novena, que ordena las anteriores en forma de rejilla, es propia y de ella se responde. Ninguna de las nueve determina el resultado de un caso; todas determinan qué debe constar en una sentencia para que el resultado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1.10.1. </w:t>
      </w:r>
      <w:r>
        <w:rPr>
          <w:rFonts w:ascii="Arial" w:cs="Arial" w:eastAsia="Arial" w:hAnsi="Arial"/>
          <w:i/>
          <w:iCs/>
          <w:color w:val="000000"/>
          <w:sz w:val="24"/>
          <w:szCs w:val="24"/>
        </w:rPr>
        <w:t xml:space="preserve">Las nueve categorías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iCs/>
          <w:color w:val="000000"/>
          <w:sz w:val="24"/>
          <w:szCs w:val="24"/>
        </w:rPr>
        <w:t xml:space="preserve">Primera. Falibilidad controlable.</w:t>
      </w:r>
      <w:r>
        <w:rPr>
          <w:rFonts w:ascii="Arial" w:cs="Arial" w:eastAsia="Arial" w:hAnsi="Arial"/>
          <w:b w:val="false"/>
          <w:bCs w:val="false"/>
          <w:i w:val="false"/>
          <w:iCs w:val="false"/>
          <w:color w:val="000000"/>
          <w:sz w:val="24"/>
          <w:szCs w:val="24"/>
        </w:rPr>
        <w:t xml:space="preserve"> La fijación judicial de los hechos es una operación de conocimiento, susceptible de acierto y de error, y por ello sujeta a garantías epistemológicas. Sostener lo contrario, desde el realismo ingenuo o desde el escepticismo, conduce por caminos opuestos al mismo corolario: un juez infalible y, por tanto, incontrolable. La racionalidad probatoria no es un rasgo definitorio de la función de juzgar sino una conquista histórica, y lo conquistado puede perderse sin que ninguna norma se derogue.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¿la sentencia trata su declaración de hechos como el resultado de una averiguación que pudo salir mal, o como un acto que se agota en su propia enunciación?</w:t>
      </w:r>
    </w:p>
    <w:p>
      <w:pPr>
        <w:spacing w:after="0" w:before="0" w:line="360"/>
        <w:ind w:firstLine="708"/>
        <w:jc w:val="both"/>
      </w:pPr>
      <w:r>
        <w:rPr>
          <w:rFonts w:ascii="Arial" w:cs="Arial" w:eastAsia="Arial" w:hAnsi="Arial"/>
          <w:b w:val="false"/>
          <w:bCs w:val="false"/>
          <w:i/>
          <w:iCs/>
          <w:color w:val="000000"/>
          <w:sz w:val="24"/>
          <w:szCs w:val="24"/>
        </w:rPr>
        <w:t xml:space="preserve">Segunda. Función epistémica y regla de juicio.</w:t>
      </w:r>
      <w:r>
        <w:rPr>
          <w:rFonts w:ascii="Arial" w:cs="Arial" w:eastAsia="Arial" w:hAnsi="Arial"/>
          <w:b w:val="false"/>
          <w:bCs w:val="false"/>
          <w:i w:val="false"/>
          <w:iCs w:val="false"/>
          <w:color w:val="000000"/>
          <w:sz w:val="24"/>
          <w:szCs w:val="24"/>
        </w:rPr>
        <w:t xml:space="preserve"> La averiguación de la verdad es condición necesaria —aunque no suficiente— de la justicia de la decisión, y la prueba es el instrumento epistémico exclusivo dentro del proceso. Cuando el material no alcanza, el juzgador dispone de una salida legítima y nombrable: declararlo y resolver conforme a la carga de la prueba. Lo que no resulta admisible es omitir la valoración y omitir a la vez la invocación de esa regla de juicio.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¿la sentencia valoró el material, o cumplió las formas del rito sin ejecutar la operación de conocimiento que las justifica? Y si lo declaró insuficiente, ¿dijo conforme a qué regla resolvía entonces?</w:t>
      </w:r>
    </w:p>
    <w:p>
      <w:pPr>
        <w:spacing w:after="0" w:before="0" w:line="360"/>
        <w:ind w:firstLine="708"/>
        <w:jc w:val="both"/>
      </w:pPr>
      <w:r>
        <w:rPr>
          <w:rFonts w:ascii="Arial" w:cs="Arial" w:eastAsia="Arial" w:hAnsi="Arial"/>
          <w:b w:val="false"/>
          <w:bCs w:val="false"/>
          <w:i/>
          <w:iCs/>
          <w:color w:val="000000"/>
          <w:sz w:val="24"/>
          <w:szCs w:val="24"/>
        </w:rPr>
        <w:t xml:space="preserve">Tercera. Los tres momentos.</w:t>
      </w:r>
      <w:r>
        <w:rPr>
          <w:rFonts w:ascii="Arial" w:cs="Arial" w:eastAsia="Arial" w:hAnsi="Arial"/>
          <w:b w:val="false"/>
          <w:bCs w:val="false"/>
          <w:i w:val="false"/>
          <w:iCs w:val="false"/>
          <w:color w:val="000000"/>
          <w:sz w:val="24"/>
          <w:szCs w:val="24"/>
        </w:rPr>
        <w:t xml:space="preserve"> La actividad probatoria se descompone en conformación del conjunto de elementos de juicio, valoración de esos elementos y adopción de la decisión. Los tres son lógicamente distintos y sucesivos, aunque en la práctica se presenten entrelazados, y cada uno se rige por criterios diferentes. Describir mal el conjunto es un defecto del primer momento; no relacionar los elementos lo es del segundo; concluir que no basta sin decir cuánto habría bastado lo es del tercero. Los tres suelen presentarse juntos bajo una misma fórmula de rechazo.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¿a qué momento pertenece cada defecto que la sentencia presenta, y se están confundiendo entre sí?</w:t>
      </w:r>
    </w:p>
    <w:p>
      <w:pPr>
        <w:spacing w:after="0" w:before="0" w:line="360"/>
        <w:ind w:firstLine="708"/>
        <w:jc w:val="both"/>
      </w:pPr>
      <w:r>
        <w:rPr>
          <w:rFonts w:ascii="Arial" w:cs="Arial" w:eastAsia="Arial" w:hAnsi="Arial"/>
          <w:b w:val="false"/>
          <w:bCs w:val="false"/>
          <w:i/>
          <w:iCs/>
          <w:color w:val="000000"/>
          <w:sz w:val="24"/>
          <w:szCs w:val="24"/>
        </w:rPr>
        <w:t xml:space="preserve">Cuarta. Estructura de la inferencia.</w:t>
      </w:r>
      <w:r>
        <w:rPr>
          <w:rFonts w:ascii="Arial" w:cs="Arial" w:eastAsia="Arial" w:hAnsi="Arial"/>
          <w:b w:val="false"/>
          <w:bCs w:val="false"/>
          <w:i w:val="false"/>
          <w:iCs w:val="false"/>
          <w:color w:val="000000"/>
          <w:sz w:val="24"/>
          <w:szCs w:val="24"/>
        </w:rPr>
        <w:t xml:space="preserve"> Toda inferencia probatoria se compone de razones —los hechos probatorios—, una pretensión —la hipótesis a probar—, una garantía que explica por qué aquéllas apoyan a ésta, y un respaldo que sostiene la garantía. La operación rara vez consta de un solo paso: encadena inferencias, y cada eslabón reproduce la misma estructura y puede fallar por su cuenta. La falta de cada elemento produce un vicio distinto, lo que permite localizar el error en lugar de descalificar el razonamiento en bloque.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ante cada conclusión fáctica, ¿cuáles fueron las razones, cuál la garantía y cuál el respaldo, y cuántos eslabones median entre el hecho probatorio y el hecho probado?</w:t>
      </w:r>
    </w:p>
    <w:p>
      <w:pPr>
        <w:spacing w:after="0" w:before="0" w:line="360"/>
        <w:ind w:firstLine="708"/>
        <w:jc w:val="both"/>
      </w:pPr>
      <w:r>
        <w:rPr>
          <w:rFonts w:ascii="Arial" w:cs="Arial" w:eastAsia="Arial" w:hAnsi="Arial"/>
          <w:b w:val="false"/>
          <w:bCs w:val="false"/>
          <w:i/>
          <w:iCs/>
          <w:color w:val="000000"/>
          <w:sz w:val="24"/>
          <w:szCs w:val="24"/>
        </w:rPr>
        <w:t xml:space="preserve">Quinta. Criterios graduales de solidez.</w:t>
      </w:r>
      <w:r>
        <w:rPr>
          <w:rFonts w:ascii="Arial" w:cs="Arial" w:eastAsia="Arial" w:hAnsi="Arial"/>
          <w:b w:val="false"/>
          <w:bCs w:val="false"/>
          <w:i w:val="false"/>
          <w:iCs w:val="false"/>
          <w:color w:val="000000"/>
          <w:sz w:val="24"/>
          <w:szCs w:val="24"/>
        </w:rPr>
        <w:t xml:space="preserve"> La solidez de la inferencia admite criterios verificables desde fuera de la sentencia, ordenados según el elemento al que se refieren: fiabilidad, suficiencia, variedad y pertinencia de los hechos probatorios; fundamento y grado de probabilidad causal de la garantía; no refutación, confirmación de las hipótesis derivadas, eliminación de las alternativas, coherencia y simplicidad de la hipótesis. La solidez es gradual en dos sentidos, porque pueden concurrir más o menos criterios y cada uno puede satisfacerse en mayor o menor medida. De esa doble gradualidad depende que la rejilla no degenere en una prueba tasada de nuevo cuño.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¿examinó la sentencia la fiabilidad de cada fuente antes de pronunciarse sobre su valor, y utilizó la variedad del material para cerrar explicaciones rivales o se limitó a contar elementos?</w:t>
      </w:r>
    </w:p>
    <w:p>
      <w:pPr>
        <w:spacing w:after="0" w:before="0" w:line="360"/>
        <w:ind w:firstLine="708"/>
        <w:jc w:val="both"/>
      </w:pPr>
      <w:r>
        <w:rPr>
          <w:rFonts w:ascii="Arial" w:cs="Arial" w:eastAsia="Arial" w:hAnsi="Arial"/>
          <w:b w:val="false"/>
          <w:bCs w:val="false"/>
          <w:i/>
          <w:iCs/>
          <w:color w:val="000000"/>
          <w:sz w:val="24"/>
          <w:szCs w:val="24"/>
        </w:rPr>
        <w:t xml:space="preserve">Sexta. Agregación analítica del conjunto.</w:t>
      </w:r>
      <w:r>
        <w:rPr>
          <w:rFonts w:ascii="Arial" w:cs="Arial" w:eastAsia="Arial" w:hAnsi="Arial"/>
          <w:b w:val="false"/>
          <w:bCs w:val="false"/>
          <w:i w:val="false"/>
          <w:iCs w:val="false"/>
          <w:color w:val="000000"/>
          <w:sz w:val="24"/>
          <w:szCs w:val="24"/>
        </w:rPr>
        <w:t xml:space="preserve"> El conjunto probatorio aporta algo que sus elementos aislados no aportan, pero no por la vía que el holismo narrativo sugiere. Lo que el conjunto hace es cerrar vías de escape: elementos de origen distinto eliminan hipótesis alternativas que elementos homogéneos, por numerosos que sean, dejarían en pie. De ahí la fórmula que gobierna la adminiculación: valorar primero cada elemento y determinar después el grado de corroboración que el conjunto confiere a la hipótesis. La categoría se construyó deslindándola de dos usos que la desnaturalizan: la apreciación global que sustituye el examen de los elementos por la elección del relato más convincente, y la fórmula de la valoración conjunta empleada para no razonar ninguno de ellos, que Gascón (2010) describe como un expediente que propicia y encubre la ausencia de motivación (p. 177).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¿valoró la sentencia individualmente y en conjunto, o redujo a una sola unidad de valoración elementos de origen independiente?</w:t>
      </w:r>
    </w:p>
    <w:p>
      <w:pPr>
        <w:spacing w:after="0" w:before="0" w:line="360"/>
        <w:ind w:firstLine="708"/>
        <w:jc w:val="both"/>
      </w:pPr>
      <w:r>
        <w:rPr>
          <w:rFonts w:ascii="Arial" w:cs="Arial" w:eastAsia="Arial" w:hAnsi="Arial"/>
          <w:b w:val="false"/>
          <w:bCs w:val="false"/>
          <w:i/>
          <w:iCs/>
          <w:color w:val="000000"/>
          <w:sz w:val="24"/>
          <w:szCs w:val="24"/>
        </w:rPr>
        <w:t xml:space="preserve">Séptima. La libre convicción es un principio negativo.</w:t>
      </w:r>
      <w:r>
        <w:rPr>
          <w:rFonts w:ascii="Arial" w:cs="Arial" w:eastAsia="Arial" w:hAnsi="Arial"/>
          <w:b w:val="false"/>
          <w:bCs w:val="false"/>
          <w:i w:val="false"/>
          <w:iCs w:val="false"/>
          <w:color w:val="000000"/>
          <w:sz w:val="24"/>
          <w:szCs w:val="24"/>
        </w:rPr>
        <w:t xml:space="preserve"> La libre convicción consiste en el rechazo de las pruebas legales como suficientes para determinar la decisión, y en eso se agota. Es un principio metodológico negativo, no un criterio positivo que diga cómo debe valorarse; y la sana crítica nunca fue un criterio sustantivo, sino una remisión a máximas de experiencia que siguen debiendo enunciarse. Invocar cualquiera de las dos como fundamento de una valoración equivale a nombrar el espacio donde la justificación debía estar.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¿la sentencia invoca la libre convicción, la sana crítica o la experiencia como si fueran criterios, sin enunciar ninguno?</w:t>
      </w:r>
    </w:p>
    <w:p>
      <w:pPr>
        <w:spacing w:after="0" w:before="0" w:line="360"/>
        <w:ind w:firstLine="708"/>
        <w:jc w:val="both"/>
      </w:pPr>
      <w:r>
        <w:rPr>
          <w:rFonts w:ascii="Arial" w:cs="Arial" w:eastAsia="Arial" w:hAnsi="Arial"/>
          <w:b w:val="false"/>
          <w:bCs w:val="false"/>
          <w:i/>
          <w:iCs/>
          <w:color w:val="000000"/>
          <w:sz w:val="24"/>
          <w:szCs w:val="24"/>
        </w:rPr>
        <w:t xml:space="preserve">Octava. Un estándar subjetivo no es un estándar.</w:t>
      </w:r>
      <w:r>
        <w:rPr>
          <w:rFonts w:ascii="Arial" w:cs="Arial" w:eastAsia="Arial" w:hAnsi="Arial"/>
          <w:b w:val="false"/>
          <w:bCs w:val="false"/>
          <w:i w:val="false"/>
          <w:iCs w:val="false"/>
          <w:color w:val="000000"/>
          <w:sz w:val="24"/>
          <w:szCs w:val="24"/>
        </w:rPr>
        <w:t xml:space="preserve"> Un estándar de prueba, para serlo, necesita tres atributos: ser una medida, poder comunicarse y poder verificarse. La convicción íntima carece de los tres. Su empleo produce, además, un efecto asimétrico, pues el mismo material puede bastar para tener por acreditada una afirmación y no bastar para la contraria, sin que exista criterio alguno para resolver el desacuerdo. El umbral debe, por ello, enunciarse antes de valorar y ser el mismo para acreditar la regularidad y la irregularidad.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¿enunció la sentencia el umbral que aplicó, y es ese umbral el mismo que empleó para tener por acreditados los hechos favorables a la autoridad?</w:t>
      </w:r>
    </w:p>
    <w:p>
      <w:pPr>
        <w:spacing w:after="0" w:before="0" w:line="360"/>
        <w:ind w:firstLine="708"/>
        <w:jc w:val="both"/>
      </w:pPr>
      <w:r>
        <w:rPr>
          <w:rFonts w:ascii="Arial" w:cs="Arial" w:eastAsia="Arial" w:hAnsi="Arial"/>
          <w:b w:val="false"/>
          <w:bCs w:val="false"/>
          <w:i/>
          <w:iCs/>
          <w:color w:val="000000"/>
          <w:sz w:val="24"/>
          <w:szCs w:val="24"/>
        </w:rPr>
        <w:t xml:space="preserve">Novena. Motivación completa como condición del control.</w:t>
      </w:r>
      <w:r>
        <w:rPr>
          <w:rFonts w:ascii="Arial" w:cs="Arial" w:eastAsia="Arial" w:hAnsi="Arial"/>
          <w:b w:val="false"/>
          <w:bCs w:val="false"/>
          <w:i w:val="false"/>
          <w:iCs w:val="false"/>
          <w:color w:val="000000"/>
          <w:sz w:val="24"/>
          <w:szCs w:val="24"/>
        </w:rPr>
        <w:t xml:space="preserve"> La motivación es la garantía de cierre del sistema: no es una garantía epistemológica directa, pero permite controlar el espacio de discrecionalidad que la libre valoración abre. Debe abarcar todas las elecciones del juzgador, incluida la valoración negativa de las pruebas contrarias, y no admite rebaja para la llamada prueba directa. Lo que se controla no es el proceso mental del juzgador sino el documento que lo justifica, de modo que el control no autoriza a revalorar sino a verificar si lo escrito sostiene lo resuelto. Y la exigencia retroactúa: quien sabe que deberá justificar opera desde el principio con parámetros más exigentes.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¿justificó la sentencia lo que descartó, y permite su texto el juicio sobre el juicio, o exige al lector reconstruir por su cuenta el razonamiento que no consta?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1.10.2. </w:t>
      </w:r>
      <w:r>
        <w:rPr>
          <w:rFonts w:ascii="Arial" w:cs="Arial" w:eastAsia="Arial" w:hAnsi="Arial"/>
          <w:i/>
          <w:iCs/>
          <w:color w:val="000000"/>
          <w:sz w:val="24"/>
          <w:szCs w:val="24"/>
        </w:rPr>
        <w:t xml:space="preserve">Alcance y límites de la rejilla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Las nueve categorías se convierten en instrumento de análisis a través de sus preguntas de control, que admiten codificación como presente, ausente o parcial sobre cualquier resolución. Seis de ellas interrogan operaciones identificables en el texto de una sentencia: el inventario del material, la acreditación autónoma del hecho fuente, la enunciación expresa de la máxima de experiencia, el uso de los cuatro operadores del artículo 16, párrafo 3 —los demás elementos que obren en el expediente, las afirmaciones de las partes, la verdad conocida y el recto raciocinio de la relación que guardan entre sí—, la contrastación con hipótesis rivales y la enunciación del umbral aplicado. Las categorías primera, segunda y novena operan de modo transversal: la primera y la segunda determinan si hubo valoración, y la novena, si lo que hubo quedó en condiciones de ser verificado. Son las que permiten distinguir dos situaciones que un análisis puramente cuantitativo confundiría: una valoración defectuosa, que se corrige mejorando el razonamiento, y una valoración omitida, que no se corrige en absoluto.</w:t>
      </w:r>
    </w:p>
    <w:p>
      <w:pPr>
        <w:spacing w:after="0" w:before="0" w:line="360"/>
        <w:ind w:firstLine="708"/>
        <w:jc w:val="both"/>
      </w:pPr>
      <w:r>
        <w:rPr>
          <w:rFonts w:ascii="Arial" w:cs="Arial" w:eastAsia="Arial" w:hAnsi="Arial"/>
          <w:b w:val="false"/>
          <w:bCs w:val="false"/>
          <w:i w:val="false"/>
          <w:iCs w:val="false"/>
          <w:color w:val="000000"/>
          <w:sz w:val="24"/>
          <w:szCs w:val="24"/>
        </w:rPr>
        <w:t xml:space="preserve">Cuatro limitaciones deben quedar registradas. La primera concierne al alcance de lo construido: la rejilla permite decir cuán sólida es una inferencia, no cuán sólida debe ser. Esa segunda pregunta ya no pertenece a la epistemología sino al derecho, y se resuelve en atención a los valores en juego en cada tipo de proceso.</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concierne al origen del material. Las categorías provienen de una doctrina construida con la mirada puesta en el proceso penal y en el civil, y el régimen de garantías propio del primero —donde rige la presunción de inocencia y existe una asimetría deliberada entre los tipos de error— no se traslada sin más a la materia electoral. Lo que se toma es algo más básico y no dependiente de la materia: la tesis de que la fijación judicial de los hechos es una operación de conocimiento y admite, por tanto, criterios de corrección verificables. El traslado de categorías construidas sobre precedentes penales exige justificación propia allí donde llegue a invocarse.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es un riesgo que el propio instrumento genera. Un modelo de justificación no es la justificación, y confundirlos supone incurrir en la falacia de quien toma el deber ser por el ser. Cualquier rejilla de valoración corre ese peligro, porque puede degradarse hasta convertirse en una plantilla que legitime formalmente decisiones que no ejecutaron ninguna de sus operaciones. La única defensa consiste en exigir que cada una conste de manera verificable en el texto de la sentencia, y no basta con invocarla en abstracto.</w:t>
      </w:r>
    </w:p>
    <w:p>
      <w:pPr>
        <w:spacing w:after="0" w:before="0" w:line="360"/>
        <w:ind w:firstLine="708"/>
        <w:jc w:val="both"/>
      </w:pPr>
      <w:r>
        <w:rPr>
          <w:rFonts w:ascii="Arial" w:cs="Arial" w:eastAsia="Arial" w:hAnsi="Arial"/>
          <w:b w:val="false"/>
          <w:bCs w:val="false"/>
          <w:i w:val="false"/>
          <w:iCs w:val="false"/>
          <w:color w:val="000000"/>
          <w:sz w:val="24"/>
          <w:szCs w:val="24"/>
        </w:rPr>
        <w:t xml:space="preserve">La cuarta delimita el tipo de trabajo realizado. Cuanto antecede es reconstrucción conceptual y no análisis empírico. Afirma que estas nueve categorías permiten leer críticamente una sentencia; no afirma todavía nada sobre lo que las sentencias contienen. Esa comprobación exige aplicar la rejilla al corpus mediante una codificación reproducible, que determine en qué medida la valoración relacional ordenada por el artículo 16, párrafo 3, llegó a practicarse, cuándo alcanzó su mayor desarrollo y en qué momento dejó de aplicarse sin que ningún criterio fuera formalmente abandonado.</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2026-08-09T17:35:11.278Z</dcterms:created>
  <dcterms:modified xsi:type="dcterms:W3CDTF">2026-08-09T17:35:11.278Z</dcterms:modified>
</cp:coreProperties>
</file>

<file path=docProps/custom.xml><?xml version="1.0" encoding="utf-8"?>
<Properties xmlns="http://schemas.openxmlformats.org/officeDocument/2006/custom-properties" xmlns:vt="http://schemas.openxmlformats.org/officeDocument/2006/docPropsVTypes"/>
</file>