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color w:val="000000"/>
          <w:sz w:val="24"/>
          <w:szCs w:val="24"/>
        </w:rPr>
        <w:t xml:space="preserve">El déficit de estándares de valoración probatoria en la justicia electoral mexicana:</w:t>
      </w:r>
    </w:p>
    <w:p>
      <w:pPr>
        <w:spacing w:line="360"/>
        <w:jc w:val="center"/>
      </w:pPr>
      <w:r>
        <w:rPr>
          <w:rFonts w:ascii="Arial" w:cs="Arial" w:eastAsia="Arial" w:hAnsi="Arial"/>
          <w:b/>
          <w:bCs/>
          <w:color w:val="000000"/>
          <w:sz w:val="24"/>
          <w:szCs w:val="24"/>
        </w:rPr>
        <w:t xml:space="preserve">protocolo de adminiculación indiciaria y umbral de suficiencia verificables</w:t>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spacing w:line="360"/>
        <w:jc w:val="center"/>
      </w:pPr>
      <w:r>
        <w:rPr>
          <w:rFonts w:ascii="Arial" w:cs="Arial" w:eastAsia="Arial" w:hAnsi="Arial"/>
          <w:color w:val="000000"/>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color w:val="000000"/>
          <w:sz w:val="24"/>
          <w:szCs w:val="24"/>
        </w:rPr>
        <w:t xml:space="preserve">Índice</w:t>
      </w:r>
    </w:p>
    <w:p>
      <w:pPr>
        <w:keepNext w:val="false"/>
        <w:spacing w:after="0" w:before="0" w:line="360"/>
      </w:pPr>
      <w:r>
        <w:rPr>
          <w:rFonts w:ascii="Arial" w:cs="Arial" w:eastAsia="Arial" w:hAnsi="Arial"/>
          <w:color w:val="000000"/>
          <w:sz w:val="24"/>
          <w:szCs w:val="24"/>
        </w:rPr>
        <w:t xml:space="preserve"/>
      </w:r>
    </w:p>
    <w:p>
      <w:pPr>
        <w:tabs>
          <w:tab w:val="right" w:pos="8838" w:leader="dot"/>
        </w:tabs>
        <w:spacing w:after="0" w:before="0" w:line="360"/>
        <w:ind w:left="0" w:right="0"/>
      </w:pPr>
      <w:r>
        <w:rPr>
          <w:rFonts w:ascii="Arial" w:cs="Arial" w:eastAsia="Arial" w:hAnsi="Arial"/>
          <w:color w:val="000000"/>
          <w:sz w:val="22"/>
          <w:szCs w:val="22"/>
        </w:rPr>
        <w:t xml:space="preserve">Capítulo 1. Categorías de epistemología jurídica para la prueba por indicios	</w:t>
      </w:r>
      <w:r>
        <w:rPr>
          <w:rFonts w:ascii="Arial" w:cs="Arial" w:eastAsia="Arial" w:hAnsi="Arial"/>
          <w:color w:val="000000"/>
          <w:sz w:val="22"/>
          <w:szCs w:val="22"/>
        </w:rPr>
        <w:t xml:space="preserve">1</w:t>
      </w:r>
    </w:p>
    <w:p>
      <w:pPr>
        <w:tabs>
          <w:tab w:val="right" w:pos="8838" w:leader="dot"/>
        </w:tabs>
        <w:spacing w:after="0" w:before="0" w:line="360"/>
        <w:ind w:left="283" w:right="0"/>
      </w:pPr>
      <w:r>
        <w:rPr>
          <w:rFonts w:ascii="Arial" w:cs="Arial" w:eastAsia="Arial" w:hAnsi="Arial"/>
          <w:color w:val="000000"/>
          <w:sz w:val="22"/>
          <w:szCs w:val="22"/>
        </w:rPr>
        <w:t xml:space="preserve">1.1. La decisión sobre los hechos es una operación de conocimiento sujeta a control racional	</w:t>
      </w:r>
      <w:r>
        <w:rPr>
          <w:rFonts w:ascii="Arial" w:cs="Arial" w:eastAsia="Arial" w:hAnsi="Arial"/>
          <w:color w:val="000000"/>
          <w:sz w:val="22"/>
          <w:szCs w:val="22"/>
        </w:rPr>
        <w:t xml:space="preserve">1</w:t>
      </w:r>
    </w:p>
    <w:p>
      <w:pPr>
        <w:tabs>
          <w:tab w:val="right" w:pos="8838" w:leader="dot"/>
        </w:tabs>
        <w:spacing w:after="0" w:before="0" w:line="360"/>
        <w:ind w:left="567" w:right="0"/>
      </w:pPr>
      <w:r>
        <w:rPr>
          <w:rFonts w:ascii="Arial" w:cs="Arial" w:eastAsia="Arial" w:hAnsi="Arial"/>
          <w:color w:val="000000"/>
          <w:sz w:val="22"/>
          <w:szCs w:val="22"/>
        </w:rPr>
        <w:t xml:space="preserve">1.1.1. La racionalidad probatoria es una conquista histórica y no un rasgo definitorio de la función judicial	</w:t>
      </w:r>
      <w:r>
        <w:rPr>
          <w:rFonts w:ascii="Arial" w:cs="Arial" w:eastAsia="Arial" w:hAnsi="Arial"/>
          <w:color w:val="000000"/>
          <w:sz w:val="22"/>
          <w:szCs w:val="22"/>
        </w:rPr>
        <w:t xml:space="preserve">2</w:t>
      </w:r>
    </w:p>
    <w:p>
      <w:pPr>
        <w:tabs>
          <w:tab w:val="right" w:pos="8838" w:leader="dot"/>
        </w:tabs>
        <w:spacing w:after="0" w:before="0" w:line="360"/>
        <w:ind w:left="567" w:right="0"/>
      </w:pPr>
      <w:r>
        <w:rPr>
          <w:rFonts w:ascii="Arial" w:cs="Arial" w:eastAsia="Arial" w:hAnsi="Arial"/>
          <w:color w:val="000000"/>
          <w:sz w:val="22"/>
          <w:szCs w:val="22"/>
        </w:rPr>
        <w:t xml:space="preserve">1.1.2. Una epistemología moderadamente realista evita tanto la infalibilidad como el escepticismo	</w:t>
      </w:r>
      <w:r>
        <w:rPr>
          <w:rFonts w:ascii="Arial" w:cs="Arial" w:eastAsia="Arial" w:hAnsi="Arial"/>
          <w:color w:val="000000"/>
          <w:sz w:val="22"/>
          <w:szCs w:val="22"/>
        </w:rPr>
        <w:t xml:space="preserve">3</w:t>
      </w:r>
    </w:p>
    <w:p>
      <w:pPr>
        <w:tabs>
          <w:tab w:val="right" w:pos="8838" w:leader="dot"/>
        </w:tabs>
        <w:spacing w:after="0" w:before="0" w:line="360"/>
        <w:ind w:left="567" w:right="0"/>
      </w:pPr>
      <w:r>
        <w:rPr>
          <w:rFonts w:ascii="Arial" w:cs="Arial" w:eastAsia="Arial" w:hAnsi="Arial"/>
          <w:color w:val="000000"/>
          <w:sz w:val="22"/>
          <w:szCs w:val="22"/>
        </w:rPr>
        <w:t xml:space="preserve">1.1.3. El modelo cognoscitivista exige enunciados fácticos verdaderos y controlables	</w:t>
      </w:r>
      <w:r>
        <w:rPr>
          <w:rFonts w:ascii="Arial" w:cs="Arial" w:eastAsia="Arial" w:hAnsi="Arial"/>
          <w:color w:val="000000"/>
          <w:sz w:val="22"/>
          <w:szCs w:val="22"/>
        </w:rPr>
        <w:t xml:space="preserve">5</w:t>
      </w:r>
    </w:p>
    <w:p>
      <w:pPr>
        <w:tabs>
          <w:tab w:val="right" w:pos="8838" w:leader="dot"/>
        </w:tabs>
        <w:spacing w:after="0" w:before="0" w:line="360"/>
        <w:ind w:left="567" w:right="0"/>
      </w:pPr>
      <w:r>
        <w:rPr>
          <w:rFonts w:ascii="Arial" w:cs="Arial" w:eastAsia="Arial" w:hAnsi="Arial"/>
          <w:color w:val="000000"/>
          <w:sz w:val="22"/>
          <w:szCs w:val="22"/>
        </w:rPr>
        <w:t xml:space="preserve">1.1.4. La epistemología jurídica opera en dos proyectos: describir las reglas y reformarlas	</w:t>
      </w:r>
      <w:r>
        <w:rPr>
          <w:rFonts w:ascii="Arial" w:cs="Arial" w:eastAsia="Arial" w:hAnsi="Arial"/>
          <w:color w:val="000000"/>
          <w:sz w:val="22"/>
          <w:szCs w:val="22"/>
        </w:rPr>
        <w:t xml:space="preserve">7</w:t>
      </w:r>
    </w:p>
    <w:p>
      <w:pPr>
        <w:tabs>
          <w:tab w:val="right" w:pos="8838" w:leader="dot"/>
        </w:tabs>
        <w:spacing w:after="0" w:before="0" w:line="360"/>
        <w:ind w:left="283" w:right="0"/>
      </w:pPr>
      <w:r>
        <w:rPr>
          <w:rFonts w:ascii="Arial" w:cs="Arial" w:eastAsia="Arial" w:hAnsi="Arial"/>
          <w:color w:val="000000"/>
          <w:sz w:val="22"/>
          <w:szCs w:val="22"/>
        </w:rPr>
        <w:t xml:space="preserve">1.2. La averiguación de la verdad es la función epistémica del proceso	</w:t>
      </w:r>
      <w:r>
        <w:rPr>
          <w:rFonts w:ascii="Arial" w:cs="Arial" w:eastAsia="Arial" w:hAnsi="Arial"/>
          <w:color w:val="000000"/>
          <w:sz w:val="22"/>
          <w:szCs w:val="22"/>
        </w:rPr>
        <w:t xml:space="preserve">8</w:t>
      </w:r>
    </w:p>
    <w:p>
      <w:pPr>
        <w:tabs>
          <w:tab w:val="right" w:pos="8838" w:leader="dot"/>
        </w:tabs>
        <w:spacing w:after="0" w:before="0" w:line="360"/>
        <w:ind w:left="567" w:right="0"/>
      </w:pPr>
      <w:r>
        <w:rPr>
          <w:rFonts w:ascii="Arial" w:cs="Arial" w:eastAsia="Arial" w:hAnsi="Arial"/>
          <w:color w:val="000000"/>
          <w:sz w:val="22"/>
          <w:szCs w:val="22"/>
        </w:rPr>
        <w:t xml:space="preserve">1.2.1. Sin averiguación de la verdad el derecho fracasa como mecanismo de dirección de conducta	</w:t>
      </w:r>
      <w:r>
        <w:rPr>
          <w:rFonts w:ascii="Arial" w:cs="Arial" w:eastAsia="Arial" w:hAnsi="Arial"/>
          <w:color w:val="000000"/>
          <w:sz w:val="22"/>
          <w:szCs w:val="22"/>
        </w:rPr>
        <w:t xml:space="preserve">9</w:t>
      </w:r>
    </w:p>
    <w:p>
      <w:pPr>
        <w:tabs>
          <w:tab w:val="right" w:pos="8838" w:leader="dot"/>
        </w:tabs>
        <w:spacing w:after="0" w:before="0" w:line="360"/>
        <w:ind w:left="567" w:right="0"/>
      </w:pPr>
      <w:r>
        <w:rPr>
          <w:rFonts w:ascii="Arial" w:cs="Arial" w:eastAsia="Arial" w:hAnsi="Arial"/>
          <w:color w:val="000000"/>
          <w:sz w:val="22"/>
          <w:szCs w:val="22"/>
        </w:rPr>
        <w:t xml:space="preserve">1.2.2. La verdad de los hechos es condición necesaria, aunque no suficiente, de la justicia de la decisión	</w:t>
      </w:r>
      <w:r>
        <w:rPr>
          <w:rFonts w:ascii="Arial" w:cs="Arial" w:eastAsia="Arial" w:hAnsi="Arial"/>
          <w:color w:val="000000"/>
          <w:sz w:val="22"/>
          <w:szCs w:val="22"/>
        </w:rPr>
        <w:t xml:space="preserve">10</w:t>
      </w:r>
    </w:p>
    <w:p>
      <w:pPr>
        <w:tabs>
          <w:tab w:val="right" w:pos="8838" w:leader="dot"/>
        </w:tabs>
        <w:spacing w:after="0" w:before="0" w:line="360"/>
        <w:ind w:left="567" w:right="0"/>
      </w:pPr>
      <w:r>
        <w:rPr>
          <w:rFonts w:ascii="Arial" w:cs="Arial" w:eastAsia="Arial" w:hAnsi="Arial"/>
          <w:color w:val="000000"/>
          <w:sz w:val="22"/>
          <w:szCs w:val="22"/>
        </w:rPr>
        <w:t xml:space="preserve">1.2.3. Las concepciones ritual y retórica de la prueba renuncian a la función epistémica	</w:t>
      </w:r>
      <w:r>
        <w:rPr>
          <w:rFonts w:ascii="Arial" w:cs="Arial" w:eastAsia="Arial" w:hAnsi="Arial"/>
          <w:color w:val="000000"/>
          <w:sz w:val="22"/>
          <w:szCs w:val="22"/>
        </w:rPr>
        <w:t xml:space="preserve">11</w:t>
      </w:r>
    </w:p>
    <w:p>
      <w:pPr>
        <w:tabs>
          <w:tab w:val="right" w:pos="8838" w:leader="dot"/>
        </w:tabs>
        <w:spacing w:after="0" w:before="0" w:line="360"/>
        <w:ind w:left="567" w:right="0"/>
      </w:pPr>
      <w:r>
        <w:rPr>
          <w:rFonts w:ascii="Arial" w:cs="Arial" w:eastAsia="Arial" w:hAnsi="Arial"/>
          <w:color w:val="000000"/>
          <w:sz w:val="22"/>
          <w:szCs w:val="22"/>
        </w:rPr>
        <w:t xml:space="preserve">1.2.4. La verdad procesal es relativa a la cantidad y la calidad de las pruebas	</w:t>
      </w:r>
      <w:r>
        <w:rPr>
          <w:rFonts w:ascii="Arial" w:cs="Arial" w:eastAsia="Arial" w:hAnsi="Arial"/>
          <w:color w:val="000000"/>
          <w:sz w:val="22"/>
          <w:szCs w:val="22"/>
        </w:rPr>
        <w:t xml:space="preserve">12</w:t>
      </w:r>
    </w:p>
    <w:p>
      <w:pPr>
        <w:tabs>
          <w:tab w:val="right" w:pos="8838" w:leader="dot"/>
        </w:tabs>
        <w:spacing w:after="0" w:before="0" w:line="360"/>
        <w:ind w:left="283" w:right="0"/>
      </w:pPr>
      <w:r>
        <w:rPr>
          <w:rFonts w:ascii="Arial" w:cs="Arial" w:eastAsia="Arial" w:hAnsi="Arial"/>
          <w:color w:val="000000"/>
          <w:sz w:val="22"/>
          <w:szCs w:val="22"/>
        </w:rPr>
        <w:t xml:space="preserve">1.3. La actividad probatoria se descompone en tres momentos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1.3.1. La conformación del conjunto de elementos de juicio concentra las restricciones jurídicas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1.3.2. La valoración es el momento de la racionalidad y su resultado es contextual	</w:t>
      </w:r>
      <w:r>
        <w:rPr>
          <w:rFonts w:ascii="Arial" w:cs="Arial" w:eastAsia="Arial" w:hAnsi="Arial"/>
          <w:color w:val="000000"/>
          <w:sz w:val="22"/>
          <w:szCs w:val="22"/>
        </w:rPr>
        <w:t xml:space="preserve">16</w:t>
      </w:r>
    </w:p>
    <w:p>
      <w:pPr>
        <w:tabs>
          <w:tab w:val="right" w:pos="8838" w:leader="dot"/>
        </w:tabs>
        <w:spacing w:after="0" w:before="0" w:line="360"/>
        <w:ind w:left="567" w:right="0"/>
      </w:pPr>
      <w:r>
        <w:rPr>
          <w:rFonts w:ascii="Arial" w:cs="Arial" w:eastAsia="Arial" w:hAnsi="Arial"/>
          <w:color w:val="000000"/>
          <w:sz w:val="22"/>
          <w:szCs w:val="22"/>
        </w:rPr>
        <w:t xml:space="preserve">1.3.3. Sin estándar de prueba la valoración no determina decisión alguna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1.3.4. La distinción de los tres momentos ordena el protocolo y el umbral	</w:t>
      </w:r>
      <w:r>
        <w:rPr>
          <w:rFonts w:ascii="Arial" w:cs="Arial" w:eastAsia="Arial" w:hAnsi="Arial"/>
          <w:color w:val="000000"/>
          <w:sz w:val="22"/>
          <w:szCs w:val="22"/>
        </w:rPr>
        <w:t xml:space="preserve">18</w:t>
      </w:r>
    </w:p>
    <w:p>
      <w:pPr>
        <w:tabs>
          <w:tab w:val="right" w:pos="8838" w:leader="dot"/>
        </w:tabs>
        <w:spacing w:after="0" w:before="0" w:line="360"/>
        <w:ind w:left="283" w:right="0"/>
      </w:pPr>
      <w:r>
        <w:rPr>
          <w:rFonts w:ascii="Arial" w:cs="Arial" w:eastAsia="Arial" w:hAnsi="Arial"/>
          <w:color w:val="000000"/>
          <w:sz w:val="22"/>
          <w:szCs w:val="22"/>
        </w:rPr>
        <w:t xml:space="preserve">1.4. La inferencia probatoria tiene una estructura identificable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1.4.1. La prueba se descompone en dos fases y la segunda encadena inferencias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1.4.2. Cuatro elementos componen toda inferencia probatoria	</w:t>
      </w:r>
      <w:r>
        <w:rPr>
          <w:rFonts w:ascii="Arial" w:cs="Arial" w:eastAsia="Arial" w:hAnsi="Arial"/>
          <w:color w:val="000000"/>
          <w:sz w:val="22"/>
          <w:szCs w:val="22"/>
        </w:rPr>
        <w:t xml:space="preserve">21</w:t>
      </w:r>
    </w:p>
    <w:p>
      <w:pPr>
        <w:tabs>
          <w:tab w:val="right" w:pos="8838" w:leader="dot"/>
        </w:tabs>
        <w:spacing w:after="0" w:before="0" w:line="360"/>
        <w:ind w:left="567" w:right="0"/>
      </w:pPr>
      <w:r>
        <w:rPr>
          <w:rFonts w:ascii="Arial" w:cs="Arial" w:eastAsia="Arial" w:hAnsi="Arial"/>
          <w:color w:val="000000"/>
          <w:sz w:val="22"/>
          <w:szCs w:val="22"/>
        </w:rPr>
        <w:t xml:space="preserve">1.4.3. La garantía admite tres fuentes y solo dos de ellas son probatorias	</w:t>
      </w:r>
      <w:r>
        <w:rPr>
          <w:rFonts w:ascii="Arial" w:cs="Arial" w:eastAsia="Arial" w:hAnsi="Arial"/>
          <w:color w:val="000000"/>
          <w:sz w:val="22"/>
          <w:szCs w:val="22"/>
        </w:rPr>
        <w:t xml:space="preserve">22</w:t>
      </w:r>
    </w:p>
    <w:p>
      <w:pPr>
        <w:tabs>
          <w:tab w:val="right" w:pos="8838" w:leader="dot"/>
        </w:tabs>
        <w:spacing w:after="0" w:before="0" w:line="360"/>
        <w:ind w:left="567" w:right="0"/>
      </w:pPr>
      <w:r>
        <w:rPr>
          <w:rFonts w:ascii="Arial" w:cs="Arial" w:eastAsia="Arial" w:hAnsi="Arial"/>
          <w:color w:val="000000"/>
          <w:sz w:val="22"/>
          <w:szCs w:val="22"/>
        </w:rPr>
        <w:t xml:space="preserve">1.4.4. Explicitar la estructura es lo que vuelve criticable la inferencia	</w:t>
      </w:r>
      <w:r>
        <w:rPr>
          <w:rFonts w:ascii="Arial" w:cs="Arial" w:eastAsia="Arial" w:hAnsi="Arial"/>
          <w:color w:val="000000"/>
          <w:sz w:val="22"/>
          <w:szCs w:val="22"/>
        </w:rPr>
        <w:t xml:space="preserve">23</w:t>
      </w:r>
    </w:p>
    <w:p>
      <w:pPr>
        <w:sectPr>
          <w:footerReference w:type="default" r:id="rId7"/>
          <w:pgSz w:w="12240" w:h="15840" w:orient="portrait"/>
          <w:pgMar w:top="1417" w:right="1701" w:bottom="1417" w:left="1701" w:header="708" w:footer="708" w:gutter="0"/>
          <w:pgNumType w:start="1" w:fmt="lowerRoman"/>
          <w:docGrid w:linePitch="360"/>
        </w:sectPr>
      </w:pP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1"/>
        <w:keepNext/>
        <w:spacing w:after="0" w:before="0" w:line="360"/>
        <w:jc w:val="center"/>
      </w:pPr>
      <w:r>
        <w:rPr>
          <w:rFonts w:ascii="Arial" w:cs="Arial" w:eastAsia="Arial" w:hAnsi="Arial"/>
          <w:b/>
          <w:bCs/>
          <w:color w:val="000000"/>
          <w:sz w:val="24"/>
          <w:szCs w:val="24"/>
        </w:rPr>
        <w:t xml:space="preserve">Capítulo 1</w:t>
      </w:r>
    </w:p>
    <w:p>
      <w:pPr>
        <w:keepNext/>
        <w:spacing w:after="0" w:before="0" w:line="360"/>
        <w:jc w:val="center"/>
      </w:pPr>
      <w:r>
        <w:rPr>
          <w:rFonts w:ascii="Arial" w:cs="Arial" w:eastAsia="Arial" w:hAnsi="Arial"/>
          <w:b/>
          <w:bCs/>
          <w:color w:val="000000"/>
          <w:sz w:val="24"/>
          <w:szCs w:val="24"/>
        </w:rPr>
        <w:t xml:space="preserve">Categorías de epistemología jurídica para la prueba por indicios</w:t>
      </w:r>
    </w:p>
    <w:p>
      <w:pPr>
        <w:keepNext/>
        <w:spacing w:after="0" w:before="0" w:line="360"/>
      </w:pPr>
      <w:r>
        <w:rPr>
          <w:rFonts w:ascii="Arial" w:cs="Arial" w:eastAsia="Arial" w:hAnsi="Arial"/>
          <w:color w:val="000000"/>
          <w:sz w:val="24"/>
          <w:szCs w:val="24"/>
        </w:rPr>
        <w:t xml:space="preserve"/>
      </w:r>
    </w:p>
    <w:p>
      <w:pPr>
        <w:spacing w:after="0" w:before="0" w:line="360"/>
        <w:ind w:left="567" w:right="567"/>
        <w:jc w:val="both"/>
      </w:pPr>
      <w:r>
        <w:rPr>
          <w:rFonts w:ascii="Arial" w:cs="Arial" w:eastAsia="Arial" w:hAnsi="Arial"/>
          <w:smallCaps/>
          <w:color w:val="000000"/>
          <w:sz w:val="22"/>
          <w:szCs w:val="22"/>
        </w:rPr>
        <w:t xml:space="preserve">Sumario: </w:t>
      </w:r>
      <w:r>
        <w:rPr>
          <w:rFonts w:ascii="Arial" w:cs="Arial" w:eastAsia="Arial" w:hAnsi="Arial"/>
          <w:color w:val="000000"/>
          <w:sz w:val="22"/>
          <w:szCs w:val="22"/>
        </w:rPr>
        <w:t xml:space="preserve">1.1. </w:t>
      </w:r>
      <w:r>
        <w:rPr>
          <w:rFonts w:ascii="Arial" w:cs="Arial" w:eastAsia="Arial" w:hAnsi="Arial"/>
          <w:i/>
          <w:iCs/>
          <w:color w:val="000000"/>
          <w:sz w:val="22"/>
          <w:szCs w:val="22"/>
        </w:rPr>
        <w:t xml:space="preserve">La decisión sobre los hechos es una operación de conocimiento sujeta a control racional. </w:t>
      </w:r>
      <w:r>
        <w:rPr>
          <w:rFonts w:ascii="Arial" w:cs="Arial" w:eastAsia="Arial" w:hAnsi="Arial"/>
          <w:color w:val="000000"/>
          <w:sz w:val="22"/>
          <w:szCs w:val="22"/>
        </w:rPr>
        <w:t xml:space="preserve">1.2. </w:t>
      </w:r>
      <w:r>
        <w:rPr>
          <w:rFonts w:ascii="Arial" w:cs="Arial" w:eastAsia="Arial" w:hAnsi="Arial"/>
          <w:i/>
          <w:iCs/>
          <w:color w:val="000000"/>
          <w:sz w:val="22"/>
          <w:szCs w:val="22"/>
        </w:rPr>
        <w:t xml:space="preserve">La averiguación de la verdad es la función epistémica del proceso. </w:t>
      </w:r>
      <w:r>
        <w:rPr>
          <w:rFonts w:ascii="Arial" w:cs="Arial" w:eastAsia="Arial" w:hAnsi="Arial"/>
          <w:color w:val="000000"/>
          <w:sz w:val="22"/>
          <w:szCs w:val="22"/>
        </w:rPr>
        <w:t xml:space="preserve">1.3. </w:t>
      </w:r>
      <w:r>
        <w:rPr>
          <w:rFonts w:ascii="Arial" w:cs="Arial" w:eastAsia="Arial" w:hAnsi="Arial"/>
          <w:i/>
          <w:iCs/>
          <w:color w:val="000000"/>
          <w:sz w:val="22"/>
          <w:szCs w:val="22"/>
        </w:rPr>
        <w:t xml:space="preserve">La actividad probatoria se descompone en tres momentos. </w:t>
      </w:r>
      <w:r>
        <w:rPr>
          <w:rFonts w:ascii="Arial" w:cs="Arial" w:eastAsia="Arial" w:hAnsi="Arial"/>
          <w:color w:val="000000"/>
          <w:sz w:val="22"/>
          <w:szCs w:val="22"/>
        </w:rPr>
        <w:t xml:space="preserve">1.4. </w:t>
      </w:r>
      <w:r>
        <w:rPr>
          <w:rFonts w:ascii="Arial" w:cs="Arial" w:eastAsia="Arial" w:hAnsi="Arial"/>
          <w:i/>
          <w:iCs/>
          <w:color w:val="000000"/>
          <w:sz w:val="22"/>
          <w:szCs w:val="22"/>
        </w:rPr>
        <w:t xml:space="preserve">La inferencia probatoria tiene una estructura identificable. </w:t>
      </w:r>
      <w:r>
        <w:rPr>
          <w:rFonts w:ascii="Arial" w:cs="Arial" w:eastAsia="Arial" w:hAnsi="Arial"/>
          <w:color w:val="000000"/>
          <w:sz w:val="22"/>
          <w:szCs w:val="22"/>
        </w:rPr>
        <w:t xml:space="preserve">1.5. </w:t>
      </w:r>
      <w:r>
        <w:rPr>
          <w:rFonts w:ascii="Arial" w:cs="Arial" w:eastAsia="Arial" w:hAnsi="Arial"/>
          <w:i/>
          <w:iCs/>
          <w:color w:val="000000"/>
          <w:sz w:val="22"/>
          <w:szCs w:val="22"/>
        </w:rPr>
        <w:t xml:space="preserve">La solidez de la inferencia admite criterios de control. </w:t>
      </w:r>
      <w:r>
        <w:rPr>
          <w:rFonts w:ascii="Arial" w:cs="Arial" w:eastAsia="Arial" w:hAnsi="Arial"/>
          <w:color w:val="000000"/>
          <w:sz w:val="22"/>
          <w:szCs w:val="22"/>
        </w:rPr>
        <w:t xml:space="preserve">1.6. </w:t>
      </w:r>
      <w:r>
        <w:rPr>
          <w:rFonts w:ascii="Arial" w:cs="Arial" w:eastAsia="Arial" w:hAnsi="Arial"/>
          <w:i/>
          <w:iCs/>
          <w:color w:val="000000"/>
          <w:sz w:val="22"/>
          <w:szCs w:val="22"/>
        </w:rPr>
        <w:t xml:space="preserve">El conjunto probatorio excede la suma de sus elementos. </w:t>
      </w:r>
      <w:r>
        <w:rPr>
          <w:rFonts w:ascii="Arial" w:cs="Arial" w:eastAsia="Arial" w:hAnsi="Arial"/>
          <w:color w:val="000000"/>
          <w:sz w:val="22"/>
          <w:szCs w:val="22"/>
        </w:rPr>
        <w:t xml:space="preserve">1.7. </w:t>
      </w:r>
      <w:r>
        <w:rPr>
          <w:rFonts w:ascii="Arial" w:cs="Arial" w:eastAsia="Arial" w:hAnsi="Arial"/>
          <w:i/>
          <w:iCs/>
          <w:color w:val="000000"/>
          <w:sz w:val="22"/>
          <w:szCs w:val="22"/>
        </w:rPr>
        <w:t xml:space="preserve">La libre convicción no es un criterio de valoración. </w:t>
      </w:r>
      <w:r>
        <w:rPr>
          <w:rFonts w:ascii="Arial" w:cs="Arial" w:eastAsia="Arial" w:hAnsi="Arial"/>
          <w:color w:val="000000"/>
          <w:sz w:val="22"/>
          <w:szCs w:val="22"/>
        </w:rPr>
        <w:t xml:space="preserve">1.8. </w:t>
      </w:r>
      <w:r>
        <w:rPr>
          <w:rFonts w:ascii="Arial" w:cs="Arial" w:eastAsia="Arial" w:hAnsi="Arial"/>
          <w:i/>
          <w:iCs/>
          <w:color w:val="000000"/>
          <w:sz w:val="22"/>
          <w:szCs w:val="22"/>
        </w:rPr>
        <w:t xml:space="preserve">Un estándar subjetivo no cumple la función de un estándar. </w:t>
      </w:r>
      <w:r>
        <w:rPr>
          <w:rFonts w:ascii="Arial" w:cs="Arial" w:eastAsia="Arial" w:hAnsi="Arial"/>
          <w:color w:val="000000"/>
          <w:sz w:val="22"/>
          <w:szCs w:val="22"/>
        </w:rPr>
        <w:t xml:space="preserve">1.9. </w:t>
      </w:r>
      <w:r>
        <w:rPr>
          <w:rFonts w:ascii="Arial" w:cs="Arial" w:eastAsia="Arial" w:hAnsi="Arial"/>
          <w:i/>
          <w:iCs/>
          <w:color w:val="000000"/>
          <w:sz w:val="22"/>
          <w:szCs w:val="22"/>
        </w:rPr>
        <w:t xml:space="preserve">La motivación convierte la decisión en objeto de control externo. </w:t>
      </w:r>
      <w:r>
        <w:rPr>
          <w:rFonts w:ascii="Arial" w:cs="Arial" w:eastAsia="Arial" w:hAnsi="Arial"/>
          <w:color w:val="000000"/>
          <w:sz w:val="22"/>
          <w:szCs w:val="22"/>
        </w:rPr>
        <w:t xml:space="preserve">1.10. </w:t>
      </w:r>
      <w:r>
        <w:rPr>
          <w:rFonts w:ascii="Arial" w:cs="Arial" w:eastAsia="Arial" w:hAnsi="Arial"/>
          <w:i/>
          <w:iCs/>
          <w:color w:val="000000"/>
          <w:sz w:val="22"/>
          <w:szCs w:val="22"/>
        </w:rPr>
        <w:t xml:space="preserve">Recapitulación. </w:t>
      </w:r>
    </w:p>
    <w:p>
      <w:pPr>
        <w:keepNext/>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 </w:t>
      </w:r>
      <w:r>
        <w:rPr>
          <w:rFonts w:ascii="Arial" w:cs="Arial" w:eastAsia="Arial" w:hAnsi="Arial"/>
          <w:i/>
          <w:iCs/>
          <w:color w:val="000000"/>
          <w:sz w:val="24"/>
          <w:szCs w:val="24"/>
        </w:rPr>
        <w:t xml:space="preserve">La decisión sobre los hechos es una operación de conocimiento sujeta a control racional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valoración de la prueba admite control racional o queda entregada a la conciencia del juzgador, y entre esas dos posibilidades no existe término medio. La elección condiciona todo lo que este trabajo propone, porque un protocolo de adminiculación y un umbral de suficiencia solo tienen sentido bajo la primera. Ambos instrumentos presuponen que la fijación judicial de los hechos constituye una operación de conocimiento, susceptible de acierto y de error. Este apartado sostiene que lo es y fija las categorías de la epistemología jurídica que permiten demostrarlo. Tres razones sustentan la conclusión: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1.1.1. </w:t>
      </w:r>
      <w:r>
        <w:rPr>
          <w:rFonts w:ascii="Arial" w:cs="Arial" w:eastAsia="Arial" w:hAnsi="Arial"/>
          <w:i/>
          <w:iCs/>
          <w:color w:val="000000"/>
          <w:sz w:val="24"/>
          <w:szCs w:val="24"/>
        </w:rPr>
        <w:t xml:space="preserve">La racionalidad probatoria es una conquista histórica y no un rasgo definitorio de la función judicial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 De ese examen depende el estatuto de toda la propuesta que sigue, porque una racionalidad conquistada es una racionalidad que puede perderse.</w:t>
      </w:r>
    </w:p>
    <w:p>
      <w:pPr>
        <w:spacing w:after="0" w:before="0" w:line="360"/>
        <w:ind w:firstLine="708"/>
        <w:jc w:val="both"/>
      </w:pPr>
      <w:r>
        <w:rPr>
          <w:rFonts w:ascii="Arial" w:cs="Arial" w:eastAsia="Arial" w:hAnsi="Arial"/>
          <w:b w:val="false"/>
          <w:bCs w:val="false"/>
          <w:i w:val="false"/>
          <w:iCs w:val="false"/>
          <w:color w:val="000000"/>
          <w:sz w:val="24"/>
          <w:szCs w:val="24"/>
        </w:rPr>
        <w:t xml:space="preserve">Durante un largo periodo la construcción de la premisa fáctica se apoyó en ritos y procedimientos mágicos donde no cabía apelación alguna a la razón. Gascón Abellán (2010) describe esa etapa como una experiencia mística de búsqueda de la verdad. Añade que a veces se trató, más simplemente, de la búsqueda de una decisión aleatoria o de un dictamen sobrenatural, antes que de un método con apariencias de racionalidad (p. 12).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 La diferencia entre constituir y averiguar recorre todo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reconstrucción se sigue una consecuencia que interesa de manera directa a esta investigación.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El capítulo segundo documenta un episodio de esa naturaleza en la justicia electoral mexicana. Una práctica valorativa construida durante casi tres décadas dejó de aplicarse allí sin que ningún criterio fuera abandonado de manera expresa. La contingencia histórica de la racionalidad probatoria es, por tanto, el supuesto que vuelve necesaria una propuesta como la presente.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1.1.2. </w:t>
      </w:r>
      <w:r>
        <w:rPr>
          <w:rFonts w:ascii="Arial" w:cs="Arial" w:eastAsia="Arial" w:hAnsi="Arial"/>
          <w:i/>
          <w:iCs/>
          <w:color w:val="000000"/>
          <w:sz w:val="24"/>
          <w:szCs w:val="24"/>
        </w:rPr>
        <w:t xml:space="preserve">Una epistemología moderadamente realista evita tanto la infalibilidad como el escepticismo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color w:val="000000"/>
          <w:sz w:val="24"/>
          <w:szCs w:val="24"/>
        </w:rPr>
        <w:t xml:space="preserve">common law</w:t>
      </w:r>
      <w:r>
        <w:rPr>
          <w:rFonts w:ascii="Arial" w:cs="Arial" w:eastAsia="Arial" w:hAnsi="Arial"/>
          <w:b w:val="false"/>
          <w:bCs w:val="false"/>
          <w:i w:val="false"/>
          <w:iCs w:val="false"/>
          <w:color w:val="000000"/>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Abellán formula la objeción con una precisión difícil de mejorar. La distinción entre esos dos conceptos, escribe,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La consecuencia práctica de esa cancelación es considerable. Un sistema que no puede pensar su propio error tampoco puede diseñar garantías contra él. Menos aún puede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una elección entre reconstrucciones posibles de los hechos de la causa. Taruffo (2013) precisa el criterio de esa elección al exponer la regla de la probabilidad prevalente. Resulta racional escoger, respecto de un enunciado de hecho, la hipótesis confirmada en un nivel mayor al de la hipótesis contraria (p. 61). Cuando concurren varias hipótesis sobre el mismo hecho, el criterio racional consiste en elegir la que aparece sustentada por un grado de corroboración probatoria relativamente mayor al de todas las demás (Taruffo, 2013, p. 62). La fórmula anticipa con exactitud el estándar escalonado que se propone en el capítulo cuarto de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realismo moderado tiene un rendimiento metodológico que conviene subrayar. La distinción entre verdad y prueba pone de manifiesto la necesidad de establecer garantías epistemológicas para que la declaración de hechos se aproxime lo más posible a la verdad (Gascón Abellán, 2010, p. 41). El protocolo de adminiculación que se propone en el capítulo tercero pertenece íntegramente a esa categoría. No promete verdad, sino que reduce la probabilidad de error y hace visible el recorrido por el que se llegó a la conclusión. La simetría del argumento merece atención. Un tribunal que se declara infalible no necesita garantías epistemológicas, porque por hipótesis nunca yerra, y un tribunal que niega la posibilidad de conocer tampoco las necesita, porque no hay nada que garantizar. Solo el realismo moderado las vuelve exigibles, y por eso constituye el presupuesto de toda la propuesta.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1.1.3. </w:t>
      </w:r>
      <w:r>
        <w:rPr>
          <w:rFonts w:ascii="Arial" w:cs="Arial" w:eastAsia="Arial" w:hAnsi="Arial"/>
          <w:i/>
          <w:iCs/>
          <w:color w:val="000000"/>
          <w:sz w:val="24"/>
          <w:szCs w:val="24"/>
        </w:rPr>
        <w:t xml:space="preserve">El modelo cognoscitivista exige enunciados fácticos verdaderos y controlables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realismo moderado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color w:val="000000"/>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color w:val="000000"/>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La ventaja consiste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en la prueba por indicios, que es la que ocupa a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esas tres dificultades deriva la exigencia que atraviesa el presente trabajo, pues reforzar al máximo las garantías de verdad del proceso supone, al final, una exigencia de motivación (Gascón Abellán, 2010, p. 50). La primera dificultad resulta especialmente pertinente para la prueba indiciaria en materia electoral. El juzgador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constituye el segundo paso del protocolo que se propone más adelante. La omisión de ese paso explica buena parte de los defectos que documenta el capítulo segundo. Un tribunal que no fija el hecho fuente carece de material sobre el cual razonar.</w:t>
      </w:r>
    </w:p>
    <w:p>
      <w:pPr>
        <w:spacing w:after="0" w:before="0" w:line="360"/>
        <w:ind w:firstLine="708"/>
        <w:jc w:val="both"/>
      </w:pPr>
      <w:r>
        <w:rPr>
          <w:rFonts w:ascii="Arial" w:cs="Arial" w:eastAsia="Arial" w:hAnsi="Arial"/>
          <w:b w:val="false"/>
          <w:bCs w:val="false"/>
          <w:i w:val="false"/>
          <w:iCs w:val="false"/>
          <w:color w:val="000000"/>
          <w:sz w:val="24"/>
          <w:szCs w:val="24"/>
        </w:rPr>
        <w:t xml:space="preserve">El modelo cumple dos funciones que conviene distinguir con cuidado. Como esquema teórico permite describir de manera simplificada realidades que en la práctica son complejas, y como parámetro permite medir esas mismas realidades desde el propio modelo (Gascón Abellán, 2010, p. 47). Gascón Abellán (2010) precisa que lo buscado es un modelo epistemológico teórico y útil (p. 48). Su utilidad consiste en examinar los procedimientos reales y en realizar una crítica epistémica sobre ellos. Esa crítica compara tales procedimientos con los principios derivados del modelo y propone la reforma de los aspectos que se separen de él. Esta investigación adopta la doble función sin alteraciones. El capítulo segundo describe una práctica jurisdiccional, y los capítulos tercero y cuarto la miden contra un modelo y formulan la propuesta correspondiente. Describir y proponer son operaciones distintas, y el trabajo las mantiene separadas para que la crítica no se confunda con el diagnóstico.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 autora acompaña el modelo de una advertencia que este trabajo asume como límite propio.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y un protocolo de valoración corre exactamente ese peligro. Puede degradarse hasta convertirse en una plantilla que legitime formalmente decisiones que no ejecutaron ninguno de sus pasos. El capítulo tercero atiende la objeción mediante una exigencia precisa: cada paso debe constar de manera verificable en el texto de la sentencia, y no basta con invocarlo en abstracto. La diferencia entre ejecutar un método y nombrarlo resulta central para el diagnóstico de este trabajo.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1.1.4. </w:t>
      </w:r>
      <w:r>
        <w:rPr>
          <w:rFonts w:ascii="Arial" w:cs="Arial" w:eastAsia="Arial" w:hAnsi="Arial"/>
          <w:i/>
          <w:iCs/>
          <w:color w:val="000000"/>
          <w:sz w:val="24"/>
          <w:szCs w:val="24"/>
        </w:rPr>
        <w:t xml:space="preserve">La epistemología jurídica opera en dos proyectos: describir las reglas y reformarlas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color w:val="000000"/>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Este trabajo se sitúa precisamente en ese espacio vacante. No discute qué pruebas pueden ofrecerse ni cómo deben desahogarse, sino qué debe hacer el juzgador con las que ya obran en el expediente. El desplazamiento del objeto es deliberado, porque el problema diagnosticado no está en la entrada del material probatorio sino en su tratamiento posterior. La diferencia de objeto explica por qué la propuesta no requiere modificar el catálogo legal de medios probatorios, que permanece intacto en cuanto se refiere a su ofrecimiento y desahogo.</w:t>
      </w:r>
    </w:p>
    <w:p>
      <w:pPr>
        <w:spacing w:after="0" w:before="0" w:line="360"/>
        <w:ind w:firstLine="708"/>
        <w:jc w:val="both"/>
      </w:pPr>
      <w:r>
        <w:rPr>
          <w:rFonts w:ascii="Arial" w:cs="Arial" w:eastAsia="Arial" w:hAnsi="Arial"/>
          <w:b w:val="false"/>
          <w:bCs w:val="false"/>
          <w:i w:val="false"/>
          <w:iCs w:val="false"/>
          <w:color w:val="000000"/>
          <w:sz w:val="24"/>
          <w:szCs w:val="24"/>
        </w:rPr>
        <w:t xml:space="preserve">La estructura de esta tesis reproduce los dos proyectos con una diferencia relevante. El capítulo segundo desarrolla el proyecto descriptivo, al determinar cómo operó y cómo dejó de operar una regla vigente de valoración relacional. Los capítulos tercero y cuarto desarrollan el proyecto normativo, aunque no de la manera que Laudan describe. La diferencia consiste en que aquí no se proponen cambios en las reglas existentes. Se propone explicitar el contenido de reglas que ya rigen, porque el diagnóstico no identifica una regla defectuosa sino una regla nunca desarrollada. La propuesta resulta por ello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precisión final delimita el alcance de este apartado. Gascón Abellán y Laudan construyen sus modelos con la mirada puesta en el proceso penal, y Laudan (2013) organiza el suyo alrededor de la distribución del error entre condenas falsas y absoluciones falsas (p. 22). Este trabajo no traslada ese régimen de garantías a la materia electoral, donde no rige la presunción de inocencia ni existe una asimetría equivalente entre los tipos de error. Toma de ambos autores algo distinto y más básico. Toma la tesis de que la fijación judicial de los hechos constituye una operación de conocimiento y admite, por tanto, criterios de corrección verificables. Esa tesis no depende de la materia en que se aplique. La justificación específica del traslado de categorías se desarrolla en el apartado 3.0.3, cuando el protocolo deba apoyarse en precedentes penales de la Suprema Corte.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1.2. </w:t>
      </w:r>
      <w:r>
        <w:rPr>
          <w:rFonts w:ascii="Arial" w:cs="Arial" w:eastAsia="Arial" w:hAnsi="Arial"/>
          <w:i/>
          <w:iCs/>
          <w:color w:val="000000"/>
          <w:sz w:val="24"/>
          <w:szCs w:val="24"/>
        </w:rPr>
        <w:t xml:space="preserve">La averiguación de la verdad es la función epistémica del proceso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estableció que la fijación judicial de los hechos constituye una operación de conocimiento. Queda por determinar qué lugar ocupa ese conocimiento dentro del proceso, y la respuesta no es obvia. Buena parte de la teoría procesal contemporánea niega que la averiguación de la verdad sea una finalidad del proceso, o la subordina a la resolución del conflicto y a la legitimación social de la decisión. Este apartado sostiene la tesis contraria y precisa su alcance. La averiguación de la verdad no es un ideal externo que el proceso persigue cuando puede, sino la condición que permite al derecho funcionar. De esa tesis se siguen dos consecuencias que gobiernan el resto del trabajo. La prueba es el único instrumento epistémico admisible dentro del proceso. Y la verdad alcanzable resulta relativa a la cantidad y la calidad de las pruebas disponibles, lo que la vuelve graduable y, por tanto, mensurable.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1.2.1. </w:t>
      </w:r>
      <w:r>
        <w:rPr>
          <w:rFonts w:ascii="Arial" w:cs="Arial" w:eastAsia="Arial" w:hAnsi="Arial"/>
          <w:i/>
          <w:iCs/>
          <w:color w:val="000000"/>
          <w:sz w:val="24"/>
          <w:szCs w:val="24"/>
        </w:rPr>
        <w:t xml:space="preserve">Sin averiguación de la verdad el derecho fracasa como mecanismo de dirección de conducta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aborda el problema desde las condiciones de éxito de la institución probatoria. Sostiene que para determinar los objetivos de una institución conviene establecer primero cuáles son esas condiciones (p. 29).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prueba la tesis mediante un experimento mental. Supone que la sanción se atribuya aleatoriamente, de modo que los órganos de adjudicación sorteen cada mes quién debe ser sancionado y cuántas sanciones se impondrán (Ferrer Beltrán, 2007, p. 30).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de Ferrer Beltrán (2007) es que la prueba tiene la función de comprobar la producción de los hechos condicionantes a los que el derecho vincula consecuencias jurídicas (p. 30). El éxito de la institución probatoria se produce, en consecuencia,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tesis admite un matiz que conviene incorporar desde ahora. Que la averiguación de la verdad sea el objetivo institucional de la prueba no significa que sea el único objetivo del proceso. Ferrer Beltrán (2007) advierte que afirmar la finalidad de una institución no excluye la existencia de otras finalidades o propósitos (p. 31). La regulación jurídica de la prueba impone, en muchos casos, excepciones a las reglas de la epistemología general.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1.2.2. </w:t>
      </w:r>
      <w:r>
        <w:rPr>
          <w:rFonts w:ascii="Arial" w:cs="Arial" w:eastAsia="Arial" w:hAnsi="Arial"/>
          <w:i/>
          <w:iCs/>
          <w:color w:val="000000"/>
          <w:sz w:val="24"/>
          <w:szCs w:val="24"/>
        </w:rPr>
        <w:t xml:space="preserve">La verdad de los hechos es condición necesaria, aunque no suficiente, de la justicia de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Taruffo (2013) formula la tesis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 La corrección jurídica de la sentencia depende, así, de la corrección de su base fáctica.</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admite una lectura desmedida que conviene descartar de entrada, y el propio Taruffo introduce la precisión. La averiguación de la verdad constituye solo una de las condiciones de justicia de la decisión, que además presupone un proceso desarrollado de manera correcta y legítima y una norma interpretada correctamente (Taruffo, 2013, p. 14).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La distinción entre condición necesaria y condición suficiente sostiene todo el argumento. Quien la pasa por alto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identifica y descarta las principales objeciones a esa concepción. Menciona las filosofías que niegan la posibilidad de conocer la realidad externa al sujeto, entre ellas el relativismo radical según el cual cada quien tiene su verdad y nadie se equivoca (Taruffo, 2013, p. 14). Menciona también las concepciones que orientan el proceso solo a resolver controversias, de las que se sigue que la averiguación de la verdad no figura entre sus finalidades (Taruffo, 2013, p. 15). A los sostenedores de esas posiciones los denomina </w:t>
      </w:r>
      <w:r>
        <w:rPr>
          <w:rFonts w:ascii="Arial" w:cs="Arial" w:eastAsia="Arial" w:hAnsi="Arial"/>
          <w:b w:val="false"/>
          <w:bCs w:val="false"/>
          <w:i/>
          <w:iCs/>
          <w:color w:val="000000"/>
          <w:sz w:val="24"/>
          <w:szCs w:val="24"/>
        </w:rPr>
        <w:t xml:space="preserve">veriphobics</w:t>
      </w:r>
      <w:r>
        <w:rPr>
          <w:rFonts w:ascii="Arial" w:cs="Arial" w:eastAsia="Arial" w:hAnsi="Arial"/>
          <w:b w:val="false"/>
          <w:bCs w:val="false"/>
          <w:i w:val="false"/>
          <w:iCs w:val="false"/>
          <w:color w:val="000000"/>
          <w:sz w:val="24"/>
          <w:szCs w:val="24"/>
        </w:rPr>
        <w:t xml:space="preserve">, o enemigos de la verdad, y observa que son muchos y de clases distintas (Taruffo, 2013, p. 15). Su crítica global es que, si a esas concepciones no les interesa el fundamento factual de la decisión judicial, entonces carecen de interés para quien se ocupa de cómo resolver litigios mediante decisiones justas (Taruffo, 2013, p. 16).</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1.2.3. </w:t>
      </w:r>
      <w:r>
        <w:rPr>
          <w:rFonts w:ascii="Arial" w:cs="Arial" w:eastAsia="Arial" w:hAnsi="Arial"/>
          <w:i/>
          <w:iCs/>
          <w:color w:val="000000"/>
          <w:sz w:val="24"/>
          <w:szCs w:val="24"/>
        </w:rPr>
        <w:t xml:space="preserve">Las concepciones ritual y retórica de la prueba renuncian a la función epistémica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(Taruffo, 2013, p. 81).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extrae la consecuencia sin suavizarla. El procedimiento de creación y asunción de la prueba sirve, bajo esa concepción, para crear una apariencia, de un modo no distinto de lo que sucede en una representación teatral (p. 82).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La aceptación social sustituye entonces a la corrección, y ninguna de las dos garantiza la otra.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(Taruffo, 2013, pp. 82-83). Esta concepción tampoco es extraña ni marginal, pues resulta típica de quienes participan en el proceso con el fin de que su cliente venza. Taruffo (2013) objeta que también ella deja de lado el contenido y la calidad de la decisión (p. 83). Ocurre con frecuencia que la victoria corresponde a la parte que desarrolló la mejor narración por ser retóricamente más eficaz, sin que esa narración tenga relación con la realidad de los hechos. La función de la prueba se vuelve entonces puramente retórica.</w:t>
      </w:r>
    </w:p>
    <w:p>
      <w:pPr>
        <w:spacing w:after="0" w:before="0" w:line="360"/>
        <w:ind w:firstLine="708"/>
        <w:jc w:val="both"/>
      </w:pPr>
      <w:r>
        <w:rPr>
          <w:rFonts w:ascii="Arial" w:cs="Arial" w:eastAsia="Arial" w:hAnsi="Arial"/>
          <w:b w:val="false"/>
          <w:bCs w:val="false"/>
          <w:i w:val="false"/>
          <w:iCs w:val="false"/>
          <w:color w:val="000000"/>
          <w:sz w:val="24"/>
          <w:szCs w:val="24"/>
        </w:rPr>
        <w:t xml:space="preserve">Estas dos concepciones interesan a la presente investigación por una razón que conviene adelantar. Ninguna de ellas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El capítulo segundo documenta una resolución con esas características, en la que el verbo valorar no aparece una sola vez.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1.2.4. </w:t>
      </w:r>
      <w:r>
        <w:rPr>
          <w:rFonts w:ascii="Arial" w:cs="Arial" w:eastAsia="Arial" w:hAnsi="Arial"/>
          <w:i/>
          <w:iCs/>
          <w:color w:val="000000"/>
          <w:sz w:val="24"/>
          <w:szCs w:val="24"/>
        </w:rPr>
        <w:t xml:space="preserve">La verdad procesal es relativa a la cantidad y la calidad de las pruebas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color w:val="000000"/>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color w:val="000000"/>
          <w:sz w:val="24"/>
          <w:szCs w:val="24"/>
        </w:rPr>
        <w:t xml:space="preserve">Esa última idea suministra el fundamento conceptual del capítulo cuarto.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que este trabajo aborda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color w:val="000000"/>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consecuencia que el capítulo tercero convierte en regla operativa. La prueba constituye un instrumento epistémico exclusivo, por ser la única manera posible de adquirir conocimiento de los hechos en el proceso.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cierra el razonamiento con una precisión sobre el déficit probatorio. Cuando un hecho no resulta suficientemente probado, el juez no puede pronunciar un </w:t>
      </w:r>
      <w:r>
        <w:rPr>
          <w:rFonts w:ascii="Arial" w:cs="Arial" w:eastAsia="Arial" w:hAnsi="Arial"/>
          <w:b w:val="false"/>
          <w:bCs w:val="false"/>
          <w:i/>
          <w:iCs/>
          <w:color w:val="000000"/>
          <w:sz w:val="24"/>
          <w:szCs w:val="24"/>
        </w:rPr>
        <w:t xml:space="preserve">non liquet</w:t>
      </w:r>
      <w:r>
        <w:rPr>
          <w:rFonts w:ascii="Arial" w:cs="Arial" w:eastAsia="Arial" w:hAnsi="Arial"/>
          <w:b w:val="false"/>
          <w:bCs w:val="false"/>
          <w:i w:val="false"/>
          <w:iCs w:val="false"/>
          <w:color w:val="000000"/>
          <w:sz w:val="24"/>
          <w:szCs w:val="24"/>
        </w:rPr>
        <w:t xml:space="preserve"> y debe decidir de todos modos. Habrá de hacerlo, entonces, aplicando la regla de juicio basada en la carga de la prueba, en lugar del conocimiento de los hechos (Taruffo, 2013, p. 86). La observación importa para el diagnóstico de este trabajo. Un tribunal que estima insuficiente el material probatorio dispone de una salida legítima y nombrable, que consiste en declararlo y resolver conforme a la carga de la prueba. Lo que no resulta admisible es omitir la valoración y, al mismo tiempo, omitir la invocación de esa regla de juicio. El capítulo segundo muestra que esa doble omisión es precisamente lo ocurrido en el caso de referencia.</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1.3. </w:t>
      </w:r>
      <w:r>
        <w:rPr>
          <w:rFonts w:ascii="Arial" w:cs="Arial" w:eastAsia="Arial" w:hAnsi="Arial"/>
          <w:i/>
          <w:iCs/>
          <w:color w:val="000000"/>
          <w:sz w:val="24"/>
          <w:szCs w:val="24"/>
        </w:rPr>
        <w:t xml:space="preserve">La actividad probatoria se descompone en tres momentos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dos secciones anteriores establecieron que la fijación de los hechos es una operación de conocimiento y que el proceso persigue una finalidad epistémica. Falta descomponer esa operación en sus fases, porque el diagnóstico de esta tesis depende de distinguirlas. Ferrer Beltrán (2007) propone una descomposición en tres momentos que este trabajo adopta como armazón. La utilidad de la distinción es doble. Permite localizar con precisión en qué fase opera cada restricción jurídica, y permite advertir que la valoración, por sí sola, no decide nada. Esta última consecuencia resulta decisiva para el planteamiento del problema. Entre valorar y resolver media un estándar, y cuando ese estándar no se enuncia el tránsito queda sin control. El apartado reconstruye los tres momentos y muestra a cuál pertenece cada uno de los defectos que documenta el capítulo segundo.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1.3.1. </w:t>
      </w:r>
      <w:r>
        <w:rPr>
          <w:rFonts w:ascii="Arial" w:cs="Arial" w:eastAsia="Arial" w:hAnsi="Arial"/>
          <w:i/>
          <w:iCs/>
          <w:color w:val="000000"/>
          <w:sz w:val="24"/>
          <w:szCs w:val="24"/>
        </w:rPr>
        <w:t xml:space="preserve">La conformación del conjunto de elementos de juicio concentra las restricciones jurídicas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distingue tres momentos fundamentales en la toma de decisiones sobre hechos probados. Son la conformación del conjunto de elementos de juicio sobre cuya base se adoptará la decisión, la valoración de esos elementos y la adopción de la decisión propiamente dicha (p. 41). El autor advierte que se trata de tres momentos lógicamente distintos y sucesivos, aunque en los procesos reales puedan presentarse entrelazados (Ferrer Beltrán, 2007, p. 41). La advertencia importa. Que aparezcan entrelazados en la práctica no autoriza a confundirlos en el análisis, porque cada uno se rige por criterios distintos. Confundirlos produce, como se verá, errores que resultan invisibles mientras la distinción no se traza. El capítulo segundo muestra tres defectos superpuestos que solo se dejan nombrar por separado una vez que los momentos se distinguen.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momento consiste en conformar, mediante la proposición y la práctica de las pruebas, un conjunto de elementos de juicio que apoyen o refuten las distintas hipótesis sobre los hechos del caso (Ferrer Beltrán, 2007, p. 41). Aquí aparece la especificidad jurídica de mayor calado.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(Ferrer Beltrán, 2007, p. 42). El juzgador no puede resolver con lo que sabe, sino con lo que consta. Esa restricción explica por qué el estudio de los filtros de admisión adquiere relevancia destacada.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filtro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un número considerable de reglas de exclusión. Ferrer Beltrán (2007) señala que buena parte de ellas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(Ferrer Beltrán, 2007, p. 43).</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correspondencia con la ley mexicana es exacta y conviene fijarla desde ahora.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Es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color w:val="000000"/>
          <w:sz w:val="24"/>
          <w:szCs w:val="24"/>
        </w:rPr>
        <w:t xml:space="preserve">Ferrer Beltrán (2007) formula una consecuencia que enlaza con el capítulo tercero de este trabajo. Sostiene que el control de racionalidad puede funcionar a posteriori bajo una condición. Debe exigirse al decisor que justifique por qué declaró probados esos hechos y cuál fue el apoyo empírico en el que basó su decisión (p. 44). Los sistemas que carecen de esa exigencia de motivación deben compensarla con reglas de exclusión abundantes, fijadas por anticipado. Los que sí la imponen pueden admitir más material y controlar después. El derecho electoral mexicano pertenece a este segundo grupo, porque los artículos 14 y 16 de la Constitución imponen fundar y motivar. De ahí se sigue que el control por vía de motivación no es en este ordenamiento un complemento, sino el mecanismo principal de racionalidad.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1.3.2. </w:t>
      </w:r>
      <w:r>
        <w:rPr>
          <w:rFonts w:ascii="Arial" w:cs="Arial" w:eastAsia="Arial" w:hAnsi="Arial"/>
          <w:i/>
          <w:iCs/>
          <w:color w:val="000000"/>
          <w:sz w:val="24"/>
          <w:szCs w:val="24"/>
        </w:rPr>
        <w:t xml:space="preserve">La valoración es el momento de la racionalidad y su resultado es contextual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Cerrada la composición del conjunto, comienza el segundo momento. Ferrer Beltrán (2007) establece que, bajo un régimen de libre valoración, deberá valorarse el apoyo que cada elemento de juicio aporta a las hipótesis en conflicto, de forma individual y en conjunto (p. 45). La fórmula merece subrayarse porque contiene las dos operaciones que el artículo 16, párrafo 3, de la ley mexicana también exige. El resultado buscado consiste en saber el grado de confirmación del que dispone cada una de esas hipótesis (Ferrer Beltrán, 2007, p. 45). La valoración no produce, por tanto, un veredicto sobre la verdad. Produce una magnitud, que es el grado de apoyo conferido a cada hipótesis en competencia. Esa magnitud admite comparación, y sobre ella opera después el umbral. Confundir la magnitud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añade dos observaciones que este trabajo utiliza más adelante. La primera es que el resultado de la valoración es siempre contextual, esto es, referido a un determinado conjunto de elementos de juicio (Ferrer Beltrán, 2007, p. 45). Si el conjunto cambia por adición o sustracción de algún elemento, el resultado puede perfectamente ser otro. La consecuencia es de enorme importancia práctica.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desmonta un equívoco extendido sobre la libre valoración. Ferrer Beltrán (2007) precisa que esa libertad existe solo en el sentido de que la valoración no está sujeta a normas jurídicas que predeterminen su resultado (p. 45). La operación de juzgar el apoyo empírico que un conjunto de elementos aporta a una hipótesis permanece sujeta a los criterios generales de la lógica y de la racionalidad (Ferrer Beltrán, 2007, p. 45). Libertad frente a la prueba tasada no equivale, en consecuencia, a libertad frente a la razón. El autor califica este segundo momento como el momento de la racionalidad. Sostiene que, una vez delimitado el conjunto, la operación de valorar lo que de él puede inferirse no difiere de la que se realiza en cualquier otro ámbito de la experiencia (Ferrer Beltrán, 2007, p. 46).</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caracterización deriva un argumento que conviene retener para el capítulo segundo.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 distinción permite responder a quien alegue que las restricciones del proceso electoral impiden valorar con rigor. Las restricciones acotan el material; no autorizan a tratarlo con menor cuidado.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1.3.3. </w:t>
      </w:r>
      <w:r>
        <w:rPr>
          <w:rFonts w:ascii="Arial" w:cs="Arial" w:eastAsia="Arial" w:hAnsi="Arial"/>
          <w:i/>
          <w:iCs/>
          <w:color w:val="000000"/>
          <w:sz w:val="24"/>
          <w:szCs w:val="24"/>
        </w:rPr>
        <w:t xml:space="preserve">Sin estándar de prueba la valoración no determina decisión alguna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tercer momento corresponde a la toma de la decisión, y es donde este trabajo localiza el vacío que pretende llenar.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enuncia entonces la tesis que sostiene todo el planteamiento del presente trabajo:</w:t>
      </w:r>
    </w:p>
    <w:p>
      <w:pPr>
        <w:spacing w:after="0" w:before="0" w:line="360"/>
        <w:ind w:left="708"/>
        <w:jc w:val="both"/>
      </w:pPr>
      <w:r>
        <w:rPr>
          <w:rFonts w:ascii="Arial" w:cs="Arial" w:eastAsia="Arial" w:hAnsi="Arial"/>
          <w:b w:val="false"/>
          <w:bCs w:val="false"/>
          <w:i w:val="false"/>
          <w:iCs w:val="false"/>
          <w:color w:val="000000"/>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tiene consecuencias que conviene desplegar. Entre la valoración y la decisión media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Radica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color w:val="000000"/>
          <w:sz w:val="24"/>
          <w:szCs w:val="24"/>
        </w:rPr>
        <w:t xml:space="preserve">La última observación de Ferrer Beltrán en este punto refuerza el argumento desde un ángulo inesperado. El autor advierte que ni siquiera cabe presumir que la hipótesis más confirmada sea la que deba tenerse por probada (2007, p. 48). El estándar penal de la duda razonable ilustra esa posibilidad.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Un sistema que lo mantiene tácito deja esa inversión fuera de todo escrutinio. Quien no lo enuncia se reserva un poder considerable, porque conserva la facultad de fijarlo después de conocer el grado alcanzado. Esa facultad es justamente la que un estándar explícito suprime.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1.3.4. </w:t>
      </w:r>
      <w:r>
        <w:rPr>
          <w:rFonts w:ascii="Arial" w:cs="Arial" w:eastAsia="Arial" w:hAnsi="Arial"/>
          <w:i/>
          <w:iCs/>
          <w:color w:val="000000"/>
          <w:sz w:val="24"/>
          <w:szCs w:val="24"/>
        </w:rPr>
        <w:t xml:space="preserve">La distinción de los tres momentos ordena el protocolo y el umbral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descomposición en tres momentos organiza los dos entregables de esta tesis y conviene dejar explícita la correspondencia. Los dos primeros pasos del protocolo que se propone en el capítulo tercero —el inventario del material indiciario y la acreditación autónoma de cada fuente— pertenecen al primer momento, el de la conformación del conjunto. Los pasos tercero a quinto —la explicitación de la máxima de experiencia, la adminiculación relacional y la contrastación con hipótesis rivales— pertenecen al segundo, el de la valoración. El sexto paso y el estándar escalonado del capítulo cuarto pertenecen al tercero, el de la decisión. La correspondencia no es decorativa. Cada momento se rige por criterios distintos, de modo que un instrumento diseñado para uno no sirve para otro. Exigir motivación donde falta prueba, o reclamar pruebas donde falta umbral, son errores de diagnóstico antes que de 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permite también precisar el diagnóstico del capítulo segundo.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El protocolo del capítulo tercero y el estándar del cuarto operan, por eso, sobre momentos distintos y no son intercambiables entre sí.</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1.4. </w:t>
      </w:r>
      <w:r>
        <w:rPr>
          <w:rFonts w:ascii="Arial" w:cs="Arial" w:eastAsia="Arial" w:hAnsi="Arial"/>
          <w:i/>
          <w:iCs/>
          <w:color w:val="000000"/>
          <w:sz w:val="24"/>
          <w:szCs w:val="24"/>
        </w:rPr>
        <w:t xml:space="preserve">La inferencia probatoria tiene una estructura identificable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fijaron que la decisión sobre los hechos es cognoscitiva, que persigue la verdad y que se descompone en tres momentos. Queda por examinar la operación que ocupa el segundo de esos momentos. González Lagier (2005) se propone reconstruir el tipo de razonamiento por medio del cual se prueban los hechos de un caso, y llama a ese razonamiento inferencia probatoria (p. 53). La reconstrucción interesa a este trabajo por una razón práctica. Una operación cuya estructura puede describirse admite un control que la mera invocación de la sana crítica no permite. Este apartado identifica los elementos de esa estructura. Muestra después que cada uno de ellos genera una exigencia de explicitación distinta, y que esas exigencias se convierten en pasos del protocolo del capítulo tercero. La estructura no determina el resultado de ninguna valoración concreta, pero fija qué debe aparecer en una sentencia para que la valoración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1.4.1. </w:t>
      </w:r>
      <w:r>
        <w:rPr>
          <w:rFonts w:ascii="Arial" w:cs="Arial" w:eastAsia="Arial" w:hAnsi="Arial"/>
          <w:i/>
          <w:iCs/>
          <w:color w:val="000000"/>
          <w:sz w:val="24"/>
          <w:szCs w:val="24"/>
        </w:rPr>
        <w:t xml:space="preserve">La prueba se descompone en dos fases y la segunda encadena inferencias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distingue, a efectos analíticos, dos fases dentro de la ambigua palabra prueba. La primera consiste en la práctica de las pruebas y en la obtención de información a partir de ellas, esto es, a partir de lo que dicen los testigos, los documentos y los peritos (pp. 53-54). La segunda consiste en extraer una conclusión a partir de la información obtenida en la primera (González Lagier, 2005, p. 54). La primera fase establece las premisas del argumento que trata de probar una hipótesis, y la segunda realiza la inferencia que permite pasar de esas premisas a la conclusión. La distinción coincide con la que el apartado anterior tomó de Ferrer Beltrán, aunque González Lagier la traza dentro del razonamiento y no dentro del procedimiento. Las dos reconstrucciones convergen en lo esencial. Obtener información y extraer de ella una conclusión son operaciones distintas, y confundirlas lleva a tratar como dato lo que ya es resultado de un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razonamiento de la segunda fase rara vez consta de un solo paso. El autor advierte que puede ser muy complejo y constar de un encadenamiento de argumentos o inferencias parciales (González Lagier, 2005, p. 54). En el extremo inicial de la cadena figura la información obtenida directamente de las pruebas practicadas, y en el extremo final una hipótesis sobre lo ocurrido. Entre ambos extremos se sitúan premisas y conclusiones intermedias, cada una de las cuales resulta de una inferencia previa. La consecuencia metodológica es considerable. Controlar una inferencia probatoria no consiste en examinar un salto único. Consiste en examinar cada eslabón de una cadena que puede ser larga. Un eslabón defectuoso compromete todo lo que pende de él, por sólido que sea el resto del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ilustra el punto con un ejemplo que conviene reproducir por su precisión. Un policía declara que se encontró en la vivienda de Ticio un arma del mismo calibre que la que causó la muerte de Cayo. González Lagier (2005) observa que la información obtenida directamente es que el policía declara que el arma fue encontrada, no que realmente el arma fuera encontrada (p. 54). Lo segundo ya es el resultado de la valoración de la fiabilidad de tal declaración, esto es, el resultado de un razonamiento y de una inferencia (González Lagier, 2005, p. 54). La observación parece obvia y no lo es. Entre el documento y el hecho media siempre una inferencia que suele quedar tácita. Esa inferencia tácita es la que el paso segundo del protocolo obliga a exteriorizar. Cuando un tribunal afirma que un acordeón impreso acredita la existencia de una estrategia de distribución, o cuando niega que la acredite, está resolviendo esa inferencia sin enunciarla.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1.4.2. </w:t>
      </w:r>
      <w:r>
        <w:rPr>
          <w:rFonts w:ascii="Arial" w:cs="Arial" w:eastAsia="Arial" w:hAnsi="Arial"/>
          <w:i/>
          <w:iCs/>
          <w:color w:val="000000"/>
          <w:sz w:val="24"/>
          <w:szCs w:val="24"/>
        </w:rPr>
        <w:t xml:space="preserve">Cuatro elementos componen toda inferencia probatoria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reconstruye la inferencia probatoria con un esquema argumentativo de cuatro elementos, que atribuye a Toulmin. La pretensión es aquello que se sostiene y las razones son los datos que la apoyan. La garantía explica por qué esas razones apoyan esa pretensión, y el respaldo muestra la corrección o vigencia de la garantía. El autor precisa que la garantía consiste siempre en una regla, norma o enunciado general (González Lagier, 2005, p. 56). Los dos primeros elementos son particulares del caso y los dos últimos son generales. La distinción explica por qué unos se acreditan con pruebas y otros con argumentos. Añade que los cuatro elementos deben estar presentes en toda argumentación, sea jurídica, científica o de la vida cotidiana (González Lagier, 2005, p. 56). La generalidad del esquema es lo que permite trasladarlo sin forzarlo a un ámbito determinado.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traslado al razonamiento judicial sobre hechos resulta directo. Los hechos probatorios constituyen las razones del argumento, y los hechos a probar, la pretensión o hipótesis del caso (González Lagier, 2005, p. 57). La garantía queda constituida por las máximas de experiencia, las presunciones y otros enunciados generales. Esos enunciados correlacionan el tipo de hechos señalado en las razones con el señalado en la pretensión. El respaldo queda configurado, por su parte, por la información necesaria para fundamentar la garantía (González Lagier, 2005, p. 57). La inferencia probatoria se deja describir, en consecuencia, como el paso de unos hechos probatorios a unos hechos a probar mediante una garantía apoyada en un respaldo. La descripción es sencilla, y por eso resulta utilizable como rejilla de lectura de cualquier sentencia. Basta preguntar, ante cada conclusión fáctica, cuáles fueron las razones, cuál la garantía y cuál el respaldo.</w:t>
      </w:r>
    </w:p>
    <w:p>
      <w:pPr>
        <w:spacing w:after="0" w:before="0" w:line="360"/>
        <w:ind w:firstLine="708"/>
        <w:jc w:val="both"/>
      </w:pPr>
      <w:r>
        <w:rPr>
          <w:rFonts w:ascii="Arial" w:cs="Arial" w:eastAsia="Arial" w:hAnsi="Arial"/>
          <w:b w:val="false"/>
          <w:bCs w:val="false"/>
          <w:i w:val="false"/>
          <w:iCs w:val="false"/>
          <w:color w:val="000000"/>
          <w:sz w:val="24"/>
          <w:szCs w:val="24"/>
        </w:rPr>
        <w:t xml:space="preserve">Esa descripción tiene un rendimiento inmediato para el control de la decisión. Cada uno de los cuatro elementos puede faltar, y la falta de cada uno produce un vicio distinto. Si faltan las razones, no hay material sobre el cual razonar. Si falta la garantía, el paso de las razones a la pretensión queda sin justificar y solo cabe aceptarlo por autoridad. Si falta el respaldo, la garantía se afirma sin fundamento y puede ser una generalización arbitraria. Y si la pretensión no se enuncia con precisión, no se sabe qué se está probando ni, por tanto, cuándo quedaría probado. Un protocolo de valoración que exija exteriorizar los cuatro elementos permite localizar cuál de ellos falló, en lugar de descalificar el razonamiento en bloque.</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Suprema Corte llegó por su cuenta a una exigencia equivalente, aunque con otro vocabulario. Al fijar los requisitos de la inferencia lógica en la prueba indiciaria, estableció que de los hechos base acreditados debe fluir la conclusión como consecuencia natural, con enlace directo entre unos y otra (Tesis 2004755, 2013). El enlace del que habla la Corte es la garantía del esquema. Añadió también que, cuando los mismos hechos probados permiten arribar a diversas conclusiones, el juzgador debe tener en cuenta todas ellas y razonar por qué elige la que estima conveniente (Tesis 2004755, 2013). Esa segunda exigencia no pertenece a la estructura de la inferencia, sino a su contraste con hipótesis rivales, y se examina en el apartado siguiente. Doctrina y jurisprudencia convergen, en todo caso, sobre el mismo punto: el enlace debe mostrarse, no suponerse.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mexicana ofrece un ejemplo poco advertido de garantía explícita. La Jurisprudencia 38/2002 no se limita a afirmar que las notas periodísticas arrojan indicios. Enuncia la regla general que gradúa su fuerza. Cuando se aportan varias notas provenientes de distintos órganos de información, atribuidas a diferentes autores y coincidentes en lo sustancial, y además no obra mentís del afectado, cabe otorgarles mayor calidad indiciaria. El criterio hace visible aquello que suele quedar tácito, porque enuncia la correlación entre el tipo de hecho probatorio y el tipo de hecho a probar. Es, en los términos del esquema, una garantía formulada por el propio tribunal. El capítulo segundo examina por qué ese modelo, ya disponible desde 2002, no se aplicó al material periodístico del caso de referencia.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1.4.3. </w:t>
      </w:r>
      <w:r>
        <w:rPr>
          <w:rFonts w:ascii="Arial" w:cs="Arial" w:eastAsia="Arial" w:hAnsi="Arial"/>
          <w:i/>
          <w:iCs/>
          <w:color w:val="000000"/>
          <w:sz w:val="24"/>
          <w:szCs w:val="24"/>
        </w:rPr>
        <w:t xml:space="preserve">La garantía admite tres fuentes y solo dos de ellas son probatorias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desagrega la garantía en tres clases (p. 61). La primera son las máximas de experiencia, que el autor subdivide a su vez. Pueden ser de carácter científico o especializado, como las que aportan los peritos, o de carácter jurídico, como las derivadas del ejercicio profesional del juez. Pueden ser también de carácter privado, derivadas de las experiencias del juzgador al margen de su profesión. La segunda clase son las presunciones, que se establecen legal o jurisprudencialmente. La tercera son las definiciones o teorías, que suelen provenir de la doctrina, aunque también de la jurisprudencia o de la ley. La clasificación importa porque el respaldo exigible difiere en cada caso. Una máxima científica se respalda con el dictamen pericial; una presunción jurisprudencial, con el precedente que la estableció; y una experiencia corriente, solo con la observación de casos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clase merece una advertencia que el autor formula de inmediato. Cuando la unión entre los hechos probatorios y el hecho a probar viene dada por una teoría o una definición, el vínculo es conceptual. En ese supuesto no estamos en sentido estricto ante un caso de prueba, sino ante uno de interpretación o calificación de los hechos (González Lagier, 2005, p. 61). La distinción resulta especialmente pertinente en materia electoral. Determinar si unos hechos acreditados constituyen coacción del voto, o si una irregularidad merece el calificativo de grave, no es una operación probatoria sino calificatoria. Confundir ambas permite presentar como insuficiencia de prueba lo que en realidad es un desacuerdo sobre la calificación. Ese desplazamiento resulta difícil de detectar cuando la garantía no se explicita, porque el lector no puede saber si el tribunal discute los hechos o su encuadre jurídico.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Las máximas de experiencia de carácter privado plantean el problema inverso y más frecuente. Al proceder de la experiencia corriente del juzgador, tienden a operar sin enunciarse, porque quien las emplea las considera evidentes. El artículo 16, párrafo 1, de la Ley General del Sistema de Medios de Impugnación en Materia Electoral remite de forma expresa a la experiencia como criterio de valoración. No exige, en cambio, que la máxima empleada se declare. Esa remisión sin carga de explicitación es una de las puertas por las que entra la discrecionalidad no controlable. Una máxima enunciada puede discutirse y refutarse. Una máxima tácita solo puede intuirse a partir del resultado, de modo que la parte que quiera combatirla debe adivinarla primero.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1.4.4. </w:t>
      </w:r>
      <w:r>
        <w:rPr>
          <w:rFonts w:ascii="Arial" w:cs="Arial" w:eastAsia="Arial" w:hAnsi="Arial"/>
          <w:i/>
          <w:iCs/>
          <w:color w:val="000000"/>
          <w:sz w:val="24"/>
          <w:szCs w:val="24"/>
        </w:rPr>
        <w:t xml:space="preserve">Explicitar la estructura es lo que vuelve criticable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observaciones adicionales del autor completan el cuadro y afectan de manera directa al diseño del protocolo. La primera es que los hechos probatorios admiten grados de interpretación, según se sitúen más cerca de lo meramente percibido o incorporen el sentido que se atribuye a lo percibido (González Lagier, 2005, p. 60). El autor añade una regla de tendencia: cuanto más se avanza en la cadena de razonamientos, más interpretados resultan los hechos probatorios (González Lagier, 2005, p. 60). El material que sirve de base a los últimos eslabones no tiene, por tanto, la misma calidad epistémica que el de los primeros. Tratar todos los hechos probatorios como equivalentes ignora esa degradación progresiva, y conduce a exigir lo mismo a un hecho percibido directamente que a uno reconstruido tras varios eslabones.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es que los hechos probatorios pueden ser a su vez el resultado de otra inferencia del mismo tipo (González Lagier, 2005, p. 60). La prueba consiste entonces en el encadenamiento de varias inferencias sustancialmente análogas, y cada una de ellas reproduce la estructura de cuatro elementos. La consecuencia converge con lo que la Suprema Corte estableció al fijar los alcances de la prueba indiciaria. La eficacia de la prueba circunstancial disminuye en la medida en que las conclusiones deban obtenerse a través de mayores inferencias y cadenas de silogismos (Tesis 2004753, 2013). Doctrina y jurisprudencia coinciden, así, en que la longitud de la cadena degrada el apoyo. La coincidencia es valiosa para el capítulo tercero, porque permite anclar una exigencia epistemológica en un criterio vigente del propio sistema mexicano. El protocolo no importa una doctrina extranjera: recoge lo que la Suprema Corte ya resolvió.</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conjunto se sigue la tesis del apartado. Una inferencia probatoria cuya estructura permanece implícita no puede criticarse, porque no se sabe qué se está criticando. Quien impugna una valoración sin conocer la máxima de experiencia aplicada solo puede oponer su propia conclusión a la del tribunal, y el desacuerdo se vuelve irresoluble. Exteriorizar los cuatro elementos no obliga al juzgador a decidir de un modo determinado. Le obliga a mostrar el recorrido, que es cosa distinta y mucho más modesta. El paso tercero del protocolo recoge precisamente esa exigencia. La limita, además, a lo que el artículo 16, párrafo 1, ya presupone cuando remite a la lógica, la sana crítica y la experiencia. No se pide al juzgador nada que la ley no dé por supuesto. Se le pide que lo escriba, que es la única forma de que un tercero pueda comprobarlo.</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2026-08-08T19:23:13.692Z</dcterms:created>
  <dcterms:modified xsi:type="dcterms:W3CDTF">2026-08-08T19:23:13.692Z</dcterms:modified>
</cp:coreProperties>
</file>

<file path=docProps/custom.xml><?xml version="1.0" encoding="utf-8"?>
<Properties xmlns="http://schemas.openxmlformats.org/officeDocument/2006/custom-properties" xmlns:vt="http://schemas.openxmlformats.org/officeDocument/2006/docPropsVTypes"/>
</file>