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sz w:val="24"/>
          <w:szCs w:val="24"/>
        </w:rPr>
        <w:t xml:space="preserve">El déficit de estándares de valoración probatoria en la justicia electoral mexicana:</w:t>
      </w:r>
    </w:p>
    <w:p>
      <w:pPr>
        <w:spacing w:line="360"/>
        <w:jc w:val="center"/>
      </w:pPr>
      <w:r>
        <w:rPr>
          <w:rFonts w:ascii="Arial" w:cs="Arial" w:eastAsia="Arial" w:hAnsi="Arial"/>
          <w:b/>
          <w:bCs/>
          <w:sz w:val="24"/>
          <w:szCs w:val="24"/>
        </w:rPr>
        <w:t xml:space="preserve">protocolo de adminiculación indiciaria y umbral de suficiencia verificables</w:t>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sz w:val="24"/>
          <w:szCs w:val="24"/>
        </w:rPr>
        <w:t xml:space="preserve">Índice</w:t>
      </w:r>
    </w:p>
    <w:p>
      <w:pPr>
        <w:spacing w:after="0" w:before="0" w:line="360"/>
      </w:pPr>
      <w:r>
        <w:rPr>
          <w:rFonts w:ascii="Arial" w:cs="Arial" w:eastAsia="Arial" w:hAnsi="Arial"/>
          <w:sz w:val="24"/>
          <w:szCs w:val="24"/>
        </w:rPr>
        <w:t xml:space="preserve"/>
      </w:r>
    </w:p>
    <w:sdt>
      <w:sdtPr>
        <w:alias w:val="Índice"/>
      </w:sdtPr>
      <w:sdtContent>
        <w:p>
          <w:r>
            <w:fldChar w:fldCharType="begin" w:dirty="true"/>
            <w:instrText xml:space="preserve">TOC \h \o "1-3"</w:instrText>
            <w:fldChar w:fldCharType="separate"/>
          </w:r>
        </w:p>
        <w:p>
          <w:r>
            <w:fldChar w:fldCharType="end"/>
          </w:r>
        </w:p>
      </w:sdtContent>
    </w:sdt>
    <w:p>
      <w:pPr>
        <w:sectPr>
          <w:footerReference w:type="default" r:id="rId7"/>
          <w:pgSz w:w="12240" w:h="15840" w:orient="portrait"/>
          <w:pgMar w:top="1417" w:right="1701" w:bottom="1417" w:left="1701" w:header="708" w:footer="708" w:gutter="0"/>
          <w:pgNumType w:start="1" w:fmt="lowerRoman"/>
          <w:docGrid w:linePitch="360"/>
        </w:sectPr>
      </w:pPr>
    </w:p>
    <w:p>
      <w:r>
        <w:br w:type="pag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pStyle w:val="Heading1"/>
        <w:spacing w:after="0" w:before="0" w:line="360"/>
        <w:jc w:val="center"/>
      </w:pPr>
      <w:r>
        <w:rPr>
          <w:rFonts w:ascii="Arial" w:cs="Arial" w:eastAsia="Arial" w:hAnsi="Arial"/>
          <w:b/>
          <w:bCs/>
          <w:sz w:val="24"/>
          <w:szCs w:val="24"/>
        </w:rPr>
        <w:t xml:space="preserve">Capítulo 1</w:t>
      </w:r>
    </w:p>
    <w:p>
      <w:pPr>
        <w:spacing w:after="0" w:before="0" w:line="360"/>
        <w:jc w:val="center"/>
      </w:pPr>
      <w:r>
        <w:rPr>
          <w:rFonts w:ascii="Arial" w:cs="Arial" w:eastAsia="Arial" w:hAnsi="Arial"/>
          <w:b/>
          <w:bCs/>
          <w:sz w:val="24"/>
          <w:szCs w:val="24"/>
        </w:rPr>
        <w:t xml:space="preserve">Categorías de epistemología jurídica para la prueba por indicios</w:t>
      </w:r>
    </w:p>
    <w:p>
      <w:pPr>
        <w:spacing w:after="0" w:before="0" w:line="360"/>
      </w:pPr>
      <w:r>
        <w:rPr>
          <w:rFonts w:ascii="Arial" w:cs="Arial" w:eastAsia="Arial" w:hAnsi="Arial"/>
          <w:sz w:val="24"/>
          <w:szCs w:val="24"/>
        </w:rPr>
        <w:t xml:space="preserve"/>
      </w:r>
    </w:p>
    <w:p>
      <w:pPr>
        <w:spacing w:after="0" w:before="0" w:line="360"/>
        <w:ind w:left="567" w:right="567"/>
        <w:jc w:val="both"/>
      </w:pPr>
      <w:r>
        <w:rPr>
          <w:rFonts w:ascii="Arial" w:cs="Arial" w:eastAsia="Arial" w:hAnsi="Arial"/>
          <w:smallCaps/>
          <w:sz w:val="22"/>
          <w:szCs w:val="22"/>
        </w:rPr>
        <w:t xml:space="preserve">Sumario: </w:t>
      </w:r>
      <w:r>
        <w:rPr>
          <w:rFonts w:ascii="Arial" w:cs="Arial" w:eastAsia="Arial" w:hAnsi="Arial"/>
          <w:sz w:val="22"/>
          <w:szCs w:val="22"/>
        </w:rPr>
        <w:t xml:space="preserve">1.1. </w:t>
      </w:r>
      <w:r>
        <w:rPr>
          <w:rFonts w:ascii="Arial" w:cs="Arial" w:eastAsia="Arial" w:hAnsi="Arial"/>
          <w:i/>
          <w:iCs/>
          <w:sz w:val="22"/>
          <w:szCs w:val="22"/>
        </w:rPr>
        <w:t xml:space="preserve">La decisión sobre los hechos es una operación de conocimiento sujeta a control racional. </w:t>
      </w:r>
      <w:r>
        <w:rPr>
          <w:rFonts w:ascii="Arial" w:cs="Arial" w:eastAsia="Arial" w:hAnsi="Arial"/>
          <w:sz w:val="22"/>
          <w:szCs w:val="22"/>
        </w:rPr>
        <w:t xml:space="preserve">1.2. </w:t>
      </w:r>
      <w:r>
        <w:rPr>
          <w:rFonts w:ascii="Arial" w:cs="Arial" w:eastAsia="Arial" w:hAnsi="Arial"/>
          <w:i/>
          <w:iCs/>
          <w:sz w:val="22"/>
          <w:szCs w:val="22"/>
        </w:rPr>
        <w:t xml:space="preserve">La averiguación de la verdad es la función epistémica del proceso. </w:t>
      </w:r>
      <w:r>
        <w:rPr>
          <w:rFonts w:ascii="Arial" w:cs="Arial" w:eastAsia="Arial" w:hAnsi="Arial"/>
          <w:sz w:val="22"/>
          <w:szCs w:val="22"/>
        </w:rPr>
        <w:t xml:space="preserve">1.3. </w:t>
      </w:r>
      <w:r>
        <w:rPr>
          <w:rFonts w:ascii="Arial" w:cs="Arial" w:eastAsia="Arial" w:hAnsi="Arial"/>
          <w:i/>
          <w:iCs/>
          <w:sz w:val="22"/>
          <w:szCs w:val="22"/>
        </w:rPr>
        <w:t xml:space="preserve">La actividad probatoria se descompone en tres momentos. </w:t>
      </w:r>
      <w:r>
        <w:rPr>
          <w:rFonts w:ascii="Arial" w:cs="Arial" w:eastAsia="Arial" w:hAnsi="Arial"/>
          <w:sz w:val="22"/>
          <w:szCs w:val="22"/>
        </w:rPr>
        <w:t xml:space="preserve">1.4. </w:t>
      </w:r>
      <w:r>
        <w:rPr>
          <w:rFonts w:ascii="Arial" w:cs="Arial" w:eastAsia="Arial" w:hAnsi="Arial"/>
          <w:i/>
          <w:iCs/>
          <w:sz w:val="22"/>
          <w:szCs w:val="22"/>
        </w:rPr>
        <w:t xml:space="preserve">La inferencia probatoria tiene una estructura identificable. </w:t>
      </w:r>
      <w:r>
        <w:rPr>
          <w:rFonts w:ascii="Arial" w:cs="Arial" w:eastAsia="Arial" w:hAnsi="Arial"/>
          <w:sz w:val="22"/>
          <w:szCs w:val="22"/>
        </w:rPr>
        <w:t xml:space="preserve">1.5. </w:t>
      </w:r>
      <w:r>
        <w:rPr>
          <w:rFonts w:ascii="Arial" w:cs="Arial" w:eastAsia="Arial" w:hAnsi="Arial"/>
          <w:i/>
          <w:iCs/>
          <w:sz w:val="22"/>
          <w:szCs w:val="22"/>
        </w:rPr>
        <w:t xml:space="preserve">La solidez de la inferencia admite criterios de control. </w:t>
      </w:r>
      <w:r>
        <w:rPr>
          <w:rFonts w:ascii="Arial" w:cs="Arial" w:eastAsia="Arial" w:hAnsi="Arial"/>
          <w:sz w:val="22"/>
          <w:szCs w:val="22"/>
        </w:rPr>
        <w:t xml:space="preserve">1.6. </w:t>
      </w:r>
      <w:r>
        <w:rPr>
          <w:rFonts w:ascii="Arial" w:cs="Arial" w:eastAsia="Arial" w:hAnsi="Arial"/>
          <w:i/>
          <w:iCs/>
          <w:sz w:val="22"/>
          <w:szCs w:val="22"/>
        </w:rPr>
        <w:t xml:space="preserve">El conjunto probatorio excede la suma de sus elementos. </w:t>
      </w:r>
      <w:r>
        <w:rPr>
          <w:rFonts w:ascii="Arial" w:cs="Arial" w:eastAsia="Arial" w:hAnsi="Arial"/>
          <w:sz w:val="22"/>
          <w:szCs w:val="22"/>
        </w:rPr>
        <w:t xml:space="preserve">1.7. </w:t>
      </w:r>
      <w:r>
        <w:rPr>
          <w:rFonts w:ascii="Arial" w:cs="Arial" w:eastAsia="Arial" w:hAnsi="Arial"/>
          <w:i/>
          <w:iCs/>
          <w:sz w:val="22"/>
          <w:szCs w:val="22"/>
        </w:rPr>
        <w:t xml:space="preserve">La libre convicción no es un criterio de valoración. </w:t>
      </w:r>
      <w:r>
        <w:rPr>
          <w:rFonts w:ascii="Arial" w:cs="Arial" w:eastAsia="Arial" w:hAnsi="Arial"/>
          <w:sz w:val="22"/>
          <w:szCs w:val="22"/>
        </w:rPr>
        <w:t xml:space="preserve">1.8. </w:t>
      </w:r>
      <w:r>
        <w:rPr>
          <w:rFonts w:ascii="Arial" w:cs="Arial" w:eastAsia="Arial" w:hAnsi="Arial"/>
          <w:i/>
          <w:iCs/>
          <w:sz w:val="22"/>
          <w:szCs w:val="22"/>
        </w:rPr>
        <w:t xml:space="preserve">Un estándar subjetivo no cumple la función de un estándar. </w:t>
      </w:r>
      <w:r>
        <w:rPr>
          <w:rFonts w:ascii="Arial" w:cs="Arial" w:eastAsia="Arial" w:hAnsi="Arial"/>
          <w:sz w:val="22"/>
          <w:szCs w:val="22"/>
        </w:rPr>
        <w:t xml:space="preserve">1.9. </w:t>
      </w:r>
      <w:r>
        <w:rPr>
          <w:rFonts w:ascii="Arial" w:cs="Arial" w:eastAsia="Arial" w:hAnsi="Arial"/>
          <w:i/>
          <w:iCs/>
          <w:sz w:val="22"/>
          <w:szCs w:val="22"/>
        </w:rPr>
        <w:t xml:space="preserve">La motivación convierte la decisión en objeto de control externo. </w:t>
      </w:r>
      <w:r>
        <w:rPr>
          <w:rFonts w:ascii="Arial" w:cs="Arial" w:eastAsia="Arial" w:hAnsi="Arial"/>
          <w:sz w:val="22"/>
          <w:szCs w:val="22"/>
        </w:rPr>
        <w:t xml:space="preserve">1.10. </w:t>
      </w:r>
      <w:r>
        <w:rPr>
          <w:rFonts w:ascii="Arial" w:cs="Arial" w:eastAsia="Arial" w:hAnsi="Arial"/>
          <w:i/>
          <w:iCs/>
          <w:sz w:val="22"/>
          <w:szCs w:val="22"/>
        </w:rPr>
        <w:t xml:space="preserve">Recapitulación. </w:t>
      </w:r>
    </w:p>
    <w:p>
      <w:pPr>
        <w:spacing w:after="0" w:before="0" w:line="360"/>
      </w:pPr>
      <w:r>
        <w:rPr>
          <w:rFonts w:ascii="Arial" w:cs="Arial" w:eastAsia="Arial" w:hAnsi="Arial"/>
          <w:sz w:val="24"/>
          <w:szCs w:val="24"/>
        </w:rPr>
        <w:t xml:space="preserve"/>
      </w:r>
    </w:p>
    <w:p>
      <w:pPr>
        <w:spacing w:after="0" w:before="0" w:line="360"/>
      </w:pPr>
      <w:r>
        <w:rPr>
          <w:rFonts w:ascii="Arial" w:cs="Arial" w:eastAsia="Arial" w:hAnsi="Arial"/>
          <w:sz w:val="24"/>
          <w:szCs w:val="24"/>
        </w:rPr>
        <w:t xml:space="preserve"/>
      </w:r>
    </w:p>
    <w:p>
      <w:pPr>
        <w:pStyle w:val="Heading2"/>
        <w:spacing w:after="0" w:before="0" w:line="360"/>
        <w:ind w:left="283" w:hanging="283"/>
        <w:jc w:val="left"/>
      </w:pPr>
      <w:r>
        <w:rPr>
          <w:rFonts w:ascii="Arial" w:cs="Arial" w:eastAsia="Arial" w:hAnsi="Arial"/>
          <w:sz w:val="24"/>
          <w:szCs w:val="24"/>
        </w:rPr>
        <w:t xml:space="preserve">1.1. </w:t>
      </w:r>
      <w:r>
        <w:rPr>
          <w:rFonts w:ascii="Arial" w:cs="Arial" w:eastAsia="Arial" w:hAnsi="Arial"/>
          <w:i/>
          <w:iCs/>
          <w:sz w:val="24"/>
          <w:szCs w:val="24"/>
        </w:rPr>
        <w:t xml:space="preserve">La decisión sobre los hechos es una operación de conocimiento sujeta a control racional</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valoración de la prueba admite control racional o queda entregada a la conciencia del juzgador, y entre esas dos posibilidades no existe término medio. La elección condiciona todo lo que este trabajo propone, porque un protocolo de adminiculación y un umbral de suficiencia solo tienen sentido bajo la primera. Ambos instrumentos presuponen que la fijación judicial de los hechos constituye una operación de conocimiento, susceptible de acierto y de error. Este apartado sostiene que lo es y fija las categorías de la epistemología jurídica que permiten demostrarlo. Tres razones sustentan la conclusión: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1.1.1. </w:t>
      </w:r>
      <w:r>
        <w:rPr>
          <w:rFonts w:ascii="Arial" w:cs="Arial" w:eastAsia="Arial" w:hAnsi="Arial"/>
          <w:i/>
          <w:iCs/>
          <w:sz w:val="24"/>
          <w:szCs w:val="24"/>
        </w:rPr>
        <w:t xml:space="preserve">La racionalidad probatoria es una conquista histórica y no un rasgo definitorio de la función judicial</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 De ese examen depende el estatuto de toda la propuesta que sigue, porque una racionalidad conquistada es una racionalidad que puede perderse.</w:t>
      </w:r>
    </w:p>
    <w:p>
      <w:pPr>
        <w:spacing w:after="0" w:before="0" w:line="360"/>
        <w:ind w:firstLine="708"/>
        <w:jc w:val="both"/>
      </w:pPr>
      <w:r>
        <w:rPr>
          <w:rFonts w:ascii="Arial" w:cs="Arial" w:eastAsia="Arial" w:hAnsi="Arial"/>
          <w:b w:val="false"/>
          <w:bCs w:val="false"/>
          <w:i w:val="false"/>
          <w:iCs w:val="false"/>
          <w:sz w:val="24"/>
          <w:szCs w:val="24"/>
        </w:rPr>
        <w:t xml:space="preserve">Durante un largo periodo la construcción de la premisa fáctica se apoyó en ritos y procedimientos mágicos donde no cabía apelación alguna a la razón. La ordalía designa cualquier experimento gnoseológico-místico que postula un orden oculto del mundo diagnosticable por vías adivinatorias (Cordero, 1981, como se citó en Gascón Abellán, 2010, pp. 12-13).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 La diferencia entre constituir y averiguar recorre todo este trabajo.</w:t>
      </w:r>
    </w:p>
    <w:p>
      <w:pPr>
        <w:spacing w:after="0" w:before="0" w:line="360"/>
        <w:ind w:firstLine="708"/>
        <w:jc w:val="both"/>
      </w:pPr>
      <w:r>
        <w:rPr>
          <w:rFonts w:ascii="Arial" w:cs="Arial" w:eastAsia="Arial" w:hAnsi="Arial"/>
          <w:b w:val="false"/>
          <w:bCs w:val="false"/>
          <w:i w:val="false"/>
          <w:iCs w:val="false"/>
          <w:sz w:val="24"/>
          <w:szCs w:val="24"/>
        </w:rPr>
        <w:t xml:space="preserve">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sz w:val="24"/>
          <w:szCs w:val="24"/>
        </w:rPr>
        <w:t xml:space="preserve">De esa reconstrucción se sigue una consecuencia que interesa de manera directa a esta investigación.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El capítulo segundo documenta un episodio de esa naturaleza en la justicia electoral mexicana. Una práctica valorativa construida durante casi tres décadas dejó de aplicarse allí sin que ningún criterio fuera abandonado de manera expresa. La contingencia histórica de la racionalidad probatoria es, por tanto, el supuesto que vuelve necesaria una propuesta como la presente.</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1.1.2. </w:t>
      </w:r>
      <w:r>
        <w:rPr>
          <w:rFonts w:ascii="Arial" w:cs="Arial" w:eastAsia="Arial" w:hAnsi="Arial"/>
          <w:i/>
          <w:iCs/>
          <w:sz w:val="24"/>
          <w:szCs w:val="24"/>
        </w:rPr>
        <w:t xml:space="preserve">Una epistemología moderadamente realista evita tanto la infalibilidad como el escepticismo</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sz w:val="24"/>
          <w:szCs w:val="24"/>
        </w:rPr>
        <w:t xml:space="preserve">common law</w:t>
      </w:r>
      <w:r>
        <w:rPr>
          <w:rFonts w:ascii="Arial" w:cs="Arial" w:eastAsia="Arial" w:hAnsi="Arial"/>
          <w:b w:val="false"/>
          <w:bCs w:val="false"/>
          <w:i w:val="false"/>
          <w:iCs w:val="false"/>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sz w:val="24"/>
          <w:szCs w:val="24"/>
        </w:rPr>
        <w:t xml:space="preserve">Alchourrón y Bulygin formularon la objeción con una precisión difícil de mejorar. La decisión del tribunal es final porque pone fin a la controversia, pero poner punto final a la discusión de la verdad no hace verdadero el enunciado (1991, como se citó en Gascón Abellán, 2010, p. 41). La distinción entre verdad y prueba permite dar cuenta del carácter autorizado, aunque falible, de la declaración judicial de hechos. Mantenerla obliga a reconocer que la sentencia puede equivocarse, y cancelarla convierte el error judicial en una categoría conceptualmente imposible. La consecuencia práctica de esa cancelación es considerable. Un sistema que no puede pensar su propio error tampoco puede diseñar garantías contra él. Menos aún puede admitir que una parte demuestre haberlo padecido, que es precisamente lo que un recurso pretende.</w:t>
      </w:r>
    </w:p>
    <w:p>
      <w:pPr>
        <w:spacing w:after="0" w:before="0" w:line="360"/>
        <w:ind w:firstLine="708"/>
        <w:jc w:val="both"/>
      </w:pPr>
      <w:r>
        <w:rPr>
          <w:rFonts w:ascii="Arial" w:cs="Arial" w:eastAsia="Arial" w:hAnsi="Arial"/>
          <w:b w:val="false"/>
          <w:bCs w:val="false"/>
          <w:i w:val="false"/>
          <w:iCs w:val="false"/>
          <w:sz w:val="24"/>
          <w:szCs w:val="24"/>
        </w:rPr>
        <w:t xml:space="preserve">La salida no consiste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la elección de la hipótesis racionalmente más atendible entre las distintas reconstrucciones posibles de los hechos de la causa. La verdad de los hechos nunca resulta absoluta bajo ese paradigma, sino que viene dada por la hipótesis más probable o sostenida por mayores elementos de confirmación (Taruffo, 1990, como se citó en Gascón Abellán, 2010, p. 43). La fórmula anticipa con notable exactitud el estándar escalonado que se propone en el capítulo cuarto de este trabajo.</w:t>
      </w:r>
    </w:p>
    <w:p>
      <w:pPr>
        <w:spacing w:after="0" w:before="0" w:line="360"/>
        <w:ind w:firstLine="708"/>
        <w:jc w:val="both"/>
      </w:pPr>
      <w:r>
        <w:rPr>
          <w:rFonts w:ascii="Arial" w:cs="Arial" w:eastAsia="Arial" w:hAnsi="Arial"/>
          <w:b w:val="false"/>
          <w:bCs w:val="false"/>
          <w:i w:val="false"/>
          <w:iCs w:val="false"/>
          <w:sz w:val="24"/>
          <w:szCs w:val="24"/>
        </w:rPr>
        <w:t xml:space="preserve">El realismo moderado tiene un rendimiento metodológico que conviene subrayar. La distinción entre verdad y prueba pone de manifiesto la necesidad de establecer garantías epistemológicas para que la declaración de hechos se aproxime lo más posible a la verdad (Gascón Abellán, 2010, p. 41). El protocolo de adminiculación que se propone en el capítulo tercero pertenece íntegramente a esa categoría. No promete verdad, sino que reduce la probabilidad de error y hace visible el recorrido por el que se llegó a la conclusión. La simetría del argumento merece atención. Un tribunal que se declara infalible no necesita garantías epistemológicas, porque por hipótesis nunca yerra, y un tribunal que niega la posibilidad de conocer tampoco las necesita, porque no hay nada que garantizar. Solo el realismo moderado las vuelve exigibles, y por eso constituye el presupuesto de toda la propuesta.</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1.1.3. </w:t>
      </w:r>
      <w:r>
        <w:rPr>
          <w:rFonts w:ascii="Arial" w:cs="Arial" w:eastAsia="Arial" w:hAnsi="Arial"/>
          <w:i/>
          <w:iCs/>
          <w:sz w:val="24"/>
          <w:szCs w:val="24"/>
        </w:rPr>
        <w:t xml:space="preserve">El modelo cognoscitivista exige enunciados fácticos verdaderos y controlables</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El realismo moderado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La ventaja consiste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en la prueba por indicios, que es la que ocupa a este trabajo.</w:t>
      </w:r>
    </w:p>
    <w:p>
      <w:pPr>
        <w:spacing w:after="0" w:before="0" w:line="360"/>
        <w:ind w:firstLine="708"/>
        <w:jc w:val="both"/>
      </w:pPr>
      <w:r>
        <w:rPr>
          <w:rFonts w:ascii="Arial" w:cs="Arial" w:eastAsia="Arial" w:hAnsi="Arial"/>
          <w:b w:val="false"/>
          <w:bCs w:val="false"/>
          <w:i w:val="false"/>
          <w:iCs w:val="false"/>
          <w:sz w:val="24"/>
          <w:szCs w:val="24"/>
        </w:rPr>
        <w:t xml:space="preserve">De esas tres dificultades deriva la exigencia que atraviesa el presente trabajo, pues reforzar al máximo las garantías de verdad del proceso supone, al final, una exigencia de motivación (Gascón Abellán, 2010, p. 50). La primera dificultad resulta especialmente pertinente para la prueba indiciaria en materia electoral. El juzgador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constituye el segundo paso del protocolo que se propone más adelante. La omisión de ese paso explica buena parte de los defectos que documenta el capítulo segundo. Un tribunal que no fija el hecho fuente carece de material sobre el cual razonar.</w:t>
      </w:r>
    </w:p>
    <w:p>
      <w:pPr>
        <w:spacing w:after="0" w:before="0" w:line="360"/>
        <w:ind w:firstLine="708"/>
        <w:jc w:val="both"/>
      </w:pPr>
      <w:r>
        <w:rPr>
          <w:rFonts w:ascii="Arial" w:cs="Arial" w:eastAsia="Arial" w:hAnsi="Arial"/>
          <w:b w:val="false"/>
          <w:bCs w:val="false"/>
          <w:i w:val="false"/>
          <w:iCs w:val="false"/>
          <w:sz w:val="24"/>
          <w:szCs w:val="24"/>
        </w:rPr>
        <w:t xml:space="preserve">El modelo cumple dos funciones que conviene distinguir con cuidado. Como esquema teórico permite describir de manera simplificada realidades que en la práctica son complejas, y como parámetro permite medir esas mismas realidades desde el propio modelo (Gascón Abellán, 2010, p. 47). Gascón Abellán (2010) precisa que lo buscado es un modelo epistemológico teórico y útil (p. 48). Su utilidad consiste en examinar los procedimientos reales y en realizar una crítica epistémica sobre ellos. Esa crítica compara tales procedimientos con los principios derivados del modelo y propone la reforma de los aspectos que se separen de él. Esta investigación adopta la doble función sin alteraciones. El capítulo segundo describe una práctica jurisdiccional, y los capítulos tercero y cuarto la miden contra un modelo y formulan la propuesta correspondiente. Describir y proponer son operaciones distintas, y el trabajo las mantiene separadas para que la crítica no se confunda con el diagnóstico.</w:t>
      </w:r>
    </w:p>
    <w:p>
      <w:pPr>
        <w:spacing w:after="0" w:before="0" w:line="360"/>
        <w:ind w:firstLine="708"/>
        <w:jc w:val="both"/>
      </w:pPr>
      <w:r>
        <w:rPr>
          <w:rFonts w:ascii="Arial" w:cs="Arial" w:eastAsia="Arial" w:hAnsi="Arial"/>
          <w:b w:val="false"/>
          <w:bCs w:val="false"/>
          <w:i w:val="false"/>
          <w:iCs w:val="false"/>
          <w:sz w:val="24"/>
          <w:szCs w:val="24"/>
        </w:rPr>
        <w:t xml:space="preserve">La autora acompaña el modelo de una advertencia que este trabajo asume como límite propio.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y un protocolo de valoración corre exactamente ese peligro. Puede degradarse hasta convertirse en una plantilla que legitime formalmente decisiones que no ejecutaron ninguno de sus pasos. El capítulo tercero atiende la objeción mediante una exigencia precisa: cada paso debe constar de manera verificable en el texto de la sentencia, y no basta con invocarlo en abstracto. La diferencia entre ejecutar un método y nombrarlo resulta central para el diagnóstico de este trabajo.</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1.1.4. </w:t>
      </w:r>
      <w:r>
        <w:rPr>
          <w:rFonts w:ascii="Arial" w:cs="Arial" w:eastAsia="Arial" w:hAnsi="Arial"/>
          <w:i/>
          <w:iCs/>
          <w:sz w:val="24"/>
          <w:szCs w:val="24"/>
        </w:rPr>
        <w:t xml:space="preserve">La epistemología jurídica opera en dos proyectos: describir las reglas y reformarlas</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Este trabajo se sitúa precisamente en ese espacio vacante. No discute qué pruebas pueden ofrecerse ni cómo deben desahogarse, sino qué debe hacer el juzgador con las que ya obran en el expediente. El desplazamiento del objeto es deliberado, porque el problema diagnosticado no está en la entrada del material probatorio sino en su tratamiento posterior. La diferencia de objeto explica por qué la propuesta no requiere modificar el catálogo legal de medios probatorios, que permanece intacto en cuanto se refiere a su ofrecimiento y desahogo.</w:t>
      </w:r>
    </w:p>
    <w:p>
      <w:pPr>
        <w:spacing w:after="0" w:before="0" w:line="360"/>
        <w:ind w:firstLine="708"/>
        <w:jc w:val="both"/>
      </w:pPr>
      <w:r>
        <w:rPr>
          <w:rFonts w:ascii="Arial" w:cs="Arial" w:eastAsia="Arial" w:hAnsi="Arial"/>
          <w:b w:val="false"/>
          <w:bCs w:val="false"/>
          <w:i w:val="false"/>
          <w:iCs w:val="false"/>
          <w:sz w:val="24"/>
          <w:szCs w:val="24"/>
        </w:rPr>
        <w:t xml:space="preserve">La estructura de esta tesis reproduce los dos proyectos con una diferencia relevante. El capítulo segundo desarrolla el proyecto descriptivo, al determinar cómo operó y cómo dejó de operar una regla vigente de valoración relacional. Los capítulos tercero y cuarto desarrollan el proyecto normativo, aunque no de la manera que Laudan describe. La diferencia consiste en que aquí no se proponen cambios en las reglas existentes. Se propone explicitar el contenido de reglas que ya rigen, porque el diagnóstico no identifica una regla defectuosa sino una regla nunca desarrollada. La propuesta resulta por ello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sz w:val="24"/>
          <w:szCs w:val="24"/>
        </w:rPr>
        <w:t xml:space="preserve">Una precisión final delimita el alcance de este apartado. Gascón Abellán y Laudan construyen sus modelos con la mirada puesta en el proceso penal, y Laudan (2013) organiza el suyo alrededor de la distribución del error entre condenas falsas y absoluciones falsas (p. 22). Este trabajo no traslada ese régimen de garantías a la materia electoral, donde no rige la presunción de inocencia ni existe una asimetría equivalente entre los tipos de error. Toma de ambos autores algo distinto y más básico. Toma la tesis de que la fijación judicial de los hechos constituye una operación de conocimiento y admite, por tanto, criterios de corrección verificables. Esa tesis no depende de la materia en que se aplique. La justificación específica del traslado de categorías se desarrolla en el apartado 3.0.3, cuando el protocolo deba apoyarse en precedentes penales de la Suprema Corte.</w:t>
      </w:r>
    </w:p>
    <w:p>
      <w:pPr>
        <w:spacing w:after="0" w:before="0" w:line="360"/>
      </w:pPr>
      <w:r>
        <w:rPr>
          <w:rFonts w:ascii="Arial" w:cs="Arial" w:eastAsia="Arial" w:hAnsi="Arial"/>
          <w:sz w:val="24"/>
          <w:szCs w:val="24"/>
        </w:rPr>
        <w:t xml:space="preserve"/>
      </w:r>
    </w:p>
    <w:p>
      <w:pPr>
        <w:pStyle w:val="Heading2"/>
        <w:spacing w:after="0" w:before="0" w:line="360"/>
        <w:ind w:left="283" w:hanging="283"/>
        <w:jc w:val="left"/>
      </w:pPr>
      <w:r>
        <w:rPr>
          <w:rFonts w:ascii="Arial" w:cs="Arial" w:eastAsia="Arial" w:hAnsi="Arial"/>
          <w:sz w:val="24"/>
          <w:szCs w:val="24"/>
        </w:rPr>
        <w:t xml:space="preserve">1.2. </w:t>
      </w:r>
      <w:r>
        <w:rPr>
          <w:rFonts w:ascii="Arial" w:cs="Arial" w:eastAsia="Arial" w:hAnsi="Arial"/>
          <w:i/>
          <w:iCs/>
          <w:sz w:val="24"/>
          <w:szCs w:val="24"/>
        </w:rPr>
        <w:t xml:space="preserve">La averiguación de la verdad es la función epistémica del proceso</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El apartado anterior estableció que la fijación judicial de los hechos constituye una operación de conocimiento. Queda por determinar qué lugar ocupa ese conocimiento dentro del proceso, y la respuesta no es obvia. Buena parte de la teoría procesal contemporánea niega que la averiguación de la verdad sea una finalidad del proceso, o la subordina a la resolución del conflicto y a la legitimación social de la decisión. Este apartado sostiene la tesis contraria y precisa su alcance. La averiguación de la verdad no es un ideal externo que el proceso persigue cuando puede, sino la condición que permite al derecho funcionar. De esa tesis se siguen dos consecuencias que gobiernan el resto del trabajo. La prueba es el único instrumento epistémico admisible dentro del proceso. Y la verdad alcanzable resulta relativa a la cantidad y la calidad de las pruebas disponibles, lo que la vuelve graduable y, por tanto, mensurable.</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1.2.1. </w:t>
      </w:r>
      <w:r>
        <w:rPr>
          <w:rFonts w:ascii="Arial" w:cs="Arial" w:eastAsia="Arial" w:hAnsi="Arial"/>
          <w:i/>
          <w:iCs/>
          <w:sz w:val="24"/>
          <w:szCs w:val="24"/>
        </w:rPr>
        <w:t xml:space="preserve">Sin averiguación de la verdad el derecho fracasa como mecanismo de dirección de conducta</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Ferrer Beltrán (2007) aborda el problema desde las condiciones de éxito de la institución probatoria. Retoma de Van Fraassen la idea de que para determinar los objetivos de una institución conviene determinar primero cuáles son sus condiciones de éxito (Ferrer Beltrán, 2007, p. 29).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Si ese eslabón falla, fallan todos los que penden de él.</w:t>
      </w:r>
    </w:p>
    <w:p>
      <w:pPr>
        <w:spacing w:after="0" w:before="0" w:line="360"/>
        <w:ind w:firstLine="708"/>
        <w:jc w:val="both"/>
      </w:pPr>
      <w:r>
        <w:rPr>
          <w:rFonts w:ascii="Arial" w:cs="Arial" w:eastAsia="Arial" w:hAnsi="Arial"/>
          <w:b w:val="false"/>
          <w:bCs w:val="false"/>
          <w:i w:val="false"/>
          <w:iCs w:val="false"/>
          <w:sz w:val="24"/>
          <w:szCs w:val="24"/>
        </w:rPr>
        <w:t xml:space="preserve">El autor prueba la tesis mediante un experimento mental. Supone que la sanción se atribuya aleatoriamente, de modo que los órganos de adjudicación sorteen cada mes quién debe ser sancionado y cuántas sanciones se impondrán (Ferrer Beltrán, 2007, p. 30).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de Ferrer Beltrán (2007) es que la prueba tiene la función de comprobar la producción de los hechos condicionantes a los que el derecho vincula consecuencias jurídicas (p. 30). El éxito de la institución probatoria se produce, en consecuencia,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sz w:val="24"/>
          <w:szCs w:val="24"/>
        </w:rPr>
        <w:t xml:space="preserve">La tesis admite un matiz que conviene incorporar desde ahora. Que la averiguación de la verdad sea el objetivo institucional de la prueba no significa que sea el único objetivo del proceso. Ferrer Beltrán (2007) recuerda, con Van Fraassen, que afirmar la finalidad de una institución no excluye la existencia de otras finalidades o propósitos (p. 31). La regulación jurídica de la prueba impone, en muchos casos, excepciones a las reglas de la epistemología general.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1.2.2. </w:t>
      </w:r>
      <w:r>
        <w:rPr>
          <w:rFonts w:ascii="Arial" w:cs="Arial" w:eastAsia="Arial" w:hAnsi="Arial"/>
          <w:i/>
          <w:iCs/>
          <w:sz w:val="24"/>
          <w:szCs w:val="24"/>
        </w:rPr>
        <w:t xml:space="preserve">La verdad de los hechos es condición necesaria, aunque no suficiente, de la justicia de la decisión</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Taruffo (2013) formula la tesis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 La corrección jurídica de la sentencia depende, así, de la corrección de su base fáctica.</w:t>
      </w:r>
    </w:p>
    <w:p>
      <w:pPr>
        <w:spacing w:after="0" w:before="0" w:line="360"/>
        <w:ind w:firstLine="708"/>
        <w:jc w:val="both"/>
      </w:pPr>
      <w:r>
        <w:rPr>
          <w:rFonts w:ascii="Arial" w:cs="Arial" w:eastAsia="Arial" w:hAnsi="Arial"/>
          <w:b w:val="false"/>
          <w:bCs w:val="false"/>
          <w:i w:val="false"/>
          <w:iCs w:val="false"/>
          <w:sz w:val="24"/>
          <w:szCs w:val="24"/>
        </w:rPr>
        <w:t xml:space="preserve">La afirmación exige una precisión que Taruffo introduce de inmediato. La averiguación de la verdad constituye solo una de las condiciones de justicia de la decisión, que además presupone un proceso desarrollado de manera correcta y legítima y una norma interpretada correctamente (Taruffo, 2013, p. 14).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La distinción entre condición necesaria y condición suficiente sostiene todo el argumento. Quien la pasa por alto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sz w:val="24"/>
          <w:szCs w:val="24"/>
        </w:rPr>
        <w:t xml:space="preserve">El autor identifica y descarta las principales objeciones a esa concepción. Menciona las filosofías que niegan la posibilidad de conocer la realidad externa al sujeto, entre ellas el relativismo radical según el cual cada quien tiene su verdad y nadie se equivoca (Taruffo, 2013, p. 14). Menciona también las concepciones que orientan el proceso solo a resolver controversias, de las que se sigue que la averiguación de la verdad no figura entre sus finalidades (Taruffo, 2013, p. 15). A los sostenedores de esas posiciones los denomina </w:t>
      </w:r>
      <w:r>
        <w:rPr>
          <w:rFonts w:ascii="Arial" w:cs="Arial" w:eastAsia="Arial" w:hAnsi="Arial"/>
          <w:b w:val="false"/>
          <w:bCs w:val="false"/>
          <w:i/>
          <w:iCs/>
          <w:sz w:val="24"/>
          <w:szCs w:val="24"/>
        </w:rPr>
        <w:t xml:space="preserve">veriphobics</w:t>
      </w:r>
      <w:r>
        <w:rPr>
          <w:rFonts w:ascii="Arial" w:cs="Arial" w:eastAsia="Arial" w:hAnsi="Arial"/>
          <w:b w:val="false"/>
          <w:bCs w:val="false"/>
          <w:i w:val="false"/>
          <w:iCs w:val="false"/>
          <w:sz w:val="24"/>
          <w:szCs w:val="24"/>
        </w:rPr>
        <w:t xml:space="preserve">, o enemigos de la verdad, y observa que son muchos y de clases distintas (Taruffo, 2013, p. 15). Su crítica global es que, si a esas concepciones no les interesa el fundamento factual de la decisión judicial, entonces carecen de interés para quien se ocupa de cómo resolver litigios mediante decisiones justas (Taruffo, 2013, p. 16).</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1.2.3. </w:t>
      </w:r>
      <w:r>
        <w:rPr>
          <w:rFonts w:ascii="Arial" w:cs="Arial" w:eastAsia="Arial" w:hAnsi="Arial"/>
          <w:i/>
          <w:iCs/>
          <w:sz w:val="24"/>
          <w:szCs w:val="24"/>
        </w:rPr>
        <w:t xml:space="preserve">Las concepciones ritual y retórica de la prueba renuncian a la función epistémica</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(Taruffo, 2013, p. 81).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sz w:val="24"/>
          <w:szCs w:val="24"/>
        </w:rPr>
        <w:t xml:space="preserve">Taruffo (2013) extrae la consecuencia sin suavizarla. El procedimiento de creación y asunción de la prueba sirve, bajo esa concepción, para crear una apariencia, de un modo no distinto de lo que sucede en una representación teatral (p. 82).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La aceptación social sustituye entonces a la corrección, y ninguna de las dos garantiza la otra.</w:t>
      </w:r>
    </w:p>
    <w:p>
      <w:pPr>
        <w:spacing w:after="0" w:before="0" w:line="360"/>
        <w:ind w:firstLine="708"/>
        <w:jc w:val="both"/>
      </w:pPr>
      <w:r>
        <w:rPr>
          <w:rFonts w:ascii="Arial" w:cs="Arial" w:eastAsia="Arial" w:hAnsi="Arial"/>
          <w:b w:val="false"/>
          <w:bCs w:val="false"/>
          <w:i w:val="false"/>
          <w:iCs w:val="false"/>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(Taruffo, 2013, pp. 82-83). Esta concepción tampoco es extraña ni marginal, pues resulta típica de quienes participan en el proceso con el fin de que su cliente venza. Taruffo (2013) objeta que también ella deja de lado el contenido y la calidad de la decisión (p. 83). Ocurre con frecuencia que la victoria corresponde a la parte que desarrolló la mejor narración por ser retóricamente más eficaz, sin que esa narración tenga relación con la realidad de los hechos. La función de la prueba se vuelve entonces puramente retórica.</w:t>
      </w:r>
    </w:p>
    <w:p>
      <w:pPr>
        <w:spacing w:after="0" w:before="0" w:line="360"/>
        <w:ind w:firstLine="708"/>
        <w:jc w:val="both"/>
      </w:pPr>
      <w:r>
        <w:rPr>
          <w:rFonts w:ascii="Arial" w:cs="Arial" w:eastAsia="Arial" w:hAnsi="Arial"/>
          <w:b w:val="false"/>
          <w:bCs w:val="false"/>
          <w:i w:val="false"/>
          <w:iCs w:val="false"/>
          <w:sz w:val="24"/>
          <w:szCs w:val="24"/>
        </w:rPr>
        <w:t xml:space="preserve">Estas dos concepciones interesan a la presente investigación por una razón que conviene adelantar. Ninguna de ellas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El capítulo segundo documenta una resolución con esas características, en la que el verbo valorar no aparece una sola vez.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spacing w:after="0" w:before="0" w:line="360"/>
      </w:pPr>
      <w:r>
        <w:rPr>
          <w:rFonts w:ascii="Arial" w:cs="Arial" w:eastAsia="Arial" w:hAnsi="Arial"/>
          <w:sz w:val="24"/>
          <w:szCs w:val="24"/>
        </w:rPr>
        <w:t xml:space="preserve"/>
      </w:r>
    </w:p>
    <w:p>
      <w:pPr>
        <w:pStyle w:val="Heading3"/>
        <w:spacing w:after="0" w:before="0" w:line="360"/>
        <w:ind w:left="567" w:hanging="425"/>
        <w:jc w:val="left"/>
      </w:pPr>
      <w:r>
        <w:rPr>
          <w:rFonts w:ascii="Arial" w:cs="Arial" w:eastAsia="Arial" w:hAnsi="Arial"/>
          <w:sz w:val="24"/>
          <w:szCs w:val="24"/>
        </w:rPr>
        <w:t xml:space="preserve">1.2.4. </w:t>
      </w:r>
      <w:r>
        <w:rPr>
          <w:rFonts w:ascii="Arial" w:cs="Arial" w:eastAsia="Arial" w:hAnsi="Arial"/>
          <w:i/>
          <w:iCs/>
          <w:sz w:val="24"/>
          <w:szCs w:val="24"/>
        </w:rPr>
        <w:t xml:space="preserve">La verdad procesal es relativa a la cantidad y la calidad de las pruebas</w:t>
      </w:r>
    </w:p>
    <w:p>
      <w:pPr>
        <w:spacing w:after="0" w:before="0" w:line="360"/>
      </w:pPr>
      <w:r>
        <w:rPr>
          <w:rFonts w:ascii="Arial" w:cs="Arial" w:eastAsia="Arial" w:hAnsi="Arial"/>
          <w:sz w:val="24"/>
          <w:szCs w:val="24"/>
        </w:rPr>
        <w:t xml:space="preserve"/>
      </w:r>
    </w:p>
    <w:p>
      <w:pPr>
        <w:spacing w:after="0" w:before="0" w:line="360"/>
        <w:jc w:val="both"/>
      </w:pPr>
      <w:r>
        <w:rPr>
          <w:rFonts w:ascii="Arial" w:cs="Arial" w:eastAsia="Arial" w:hAnsi="Arial"/>
          <w:b w:val="false"/>
          <w:bCs w:val="false"/>
          <w:i w:val="false"/>
          <w:iCs w:val="false"/>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w:t>
      </w:r>
    </w:p>
    <w:p>
      <w:pPr>
        <w:spacing w:after="0" w:before="0" w:line="360"/>
        <w:ind w:firstLine="708"/>
        <w:jc w:val="both"/>
      </w:pPr>
      <w:r>
        <w:rPr>
          <w:rFonts w:ascii="Arial" w:cs="Arial" w:eastAsia="Arial" w:hAnsi="Arial"/>
          <w:b w:val="false"/>
          <w:bCs w:val="false"/>
          <w:i w:val="false"/>
          <w:iCs w:val="false"/>
          <w:sz w:val="24"/>
          <w:szCs w:val="24"/>
        </w:rPr>
        <w:t xml:space="preserve">La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sz w:val="24"/>
          <w:szCs w:val="24"/>
        </w:rPr>
        <w:t xml:space="preserve">Esa última idea suministra el fundamento conceptual del capítulo cuarto.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que este trabajo aborda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consecuencia que el capítulo tercero convierte en regla operativa. La prueba constituye un instrumento epistémico exclusivo, por ser la única manera posible de adquirir conocimiento de los hechos en el proceso.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sz w:val="24"/>
          <w:szCs w:val="24"/>
        </w:rPr>
        <w:t xml:space="preserve">El autor cierra el razonamiento con una precisión sobre el déficit probatorio. Cuando un hecho no resulta suficientemente probado, el juez no puede pronunciar un </w:t>
      </w:r>
      <w:r>
        <w:rPr>
          <w:rFonts w:ascii="Arial" w:cs="Arial" w:eastAsia="Arial" w:hAnsi="Arial"/>
          <w:b w:val="false"/>
          <w:bCs w:val="false"/>
          <w:i/>
          <w:iCs/>
          <w:sz w:val="24"/>
          <w:szCs w:val="24"/>
        </w:rPr>
        <w:t xml:space="preserve">non liquet</w:t>
      </w:r>
      <w:r>
        <w:rPr>
          <w:rFonts w:ascii="Arial" w:cs="Arial" w:eastAsia="Arial" w:hAnsi="Arial"/>
          <w:b w:val="false"/>
          <w:bCs w:val="false"/>
          <w:i w:val="false"/>
          <w:iCs w:val="false"/>
          <w:sz w:val="24"/>
          <w:szCs w:val="24"/>
        </w:rPr>
        <w:t xml:space="preserve"> y debe decidir de todos modos. Habrá de hacerlo, entonces, aplicando la regla de juicio basada en la carga de la prueba, en lugar del conocimiento de los hechos (Taruffo, 2013, p. 86). La observación importa para el diagnóstico de este trabajo. Un tribunal que estima insuficiente el material probatorio dispone de una salida legítima y nombrable, que consiste en declararlo y resolver conforme a la carga de la prueba. Lo que no resulta admisible es omitir la valoración y, al mismo tiempo, omitir la invocación de esa regla de juicio. El capítulo segundo muestra que esa doble omisión es precisamente lo ocurrido en el caso de referencia.</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2026-08-08T15:39:24.252Z</dcterms:created>
  <dcterms:modified xsi:type="dcterms:W3CDTF">2026-08-08T15:39:24.266Z</dcterms:modified>
</cp:coreProperties>
</file>

<file path=docProps/custom.xml><?xml version="1.0" encoding="utf-8"?>
<Properties xmlns="http://schemas.openxmlformats.org/officeDocument/2006/custom-properties" xmlns:vt="http://schemas.openxmlformats.org/officeDocument/2006/docPropsVTypes"/>
</file>