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Times New Roman" w:cs="Times New Roman" w:eastAsia="Times New Roman" w:hAnsi="Times New Roman"/>
          <w:b/>
          <w:bCs/>
          <w:sz w:val="28"/>
          <w:szCs w:val="28"/>
        </w:rPr>
        <w:t xml:space="preserve">El déficit de estándares de valoración probatoria en la justicia electoral mexicana:</w:t>
      </w:r>
    </w:p>
    <w:p>
      <w:pPr>
        <w:spacing w:after="900" w:line="360"/>
        <w:jc w:val="center"/>
      </w:pPr>
      <w:r>
        <w:rPr>
          <w:rFonts w:ascii="Times New Roman" w:cs="Times New Roman" w:eastAsia="Times New Roman" w:hAnsi="Times New Roman"/>
          <w:b/>
          <w:bCs/>
          <w:sz w:val="28"/>
          <w:szCs w:val="28"/>
        </w:rPr>
        <w:t xml:space="preserve">protocolo de adminiculación indiciaria y umbral de suficiencia verificables</w:t>
      </w:r>
    </w:p>
    <w:p>
      <w:pPr>
        <w:spacing w:after="240"/>
        <w:jc w:val="center"/>
      </w:pPr>
      <w:r>
        <w:rPr>
          <w:rFonts w:ascii="Times New Roman" w:cs="Times New Roman" w:eastAsia="Times New Roman" w:hAnsi="Times New Roman"/>
          <w:sz w:val="26"/>
          <w:szCs w:val="26"/>
        </w:rPr>
        <w:t xml:space="preserve">Protocolo de investigación</w:t>
      </w:r>
    </w:p>
    <w:p>
      <w:pPr>
        <w:spacing w:after="1400"/>
        <w:jc w:val="center"/>
      </w:pPr>
      <w:r>
        <w:rPr>
          <w:rFonts w:ascii="Times New Roman" w:cs="Times New Roman" w:eastAsia="Times New Roman" w:hAnsi="Times New Roman"/>
          <w:sz w:val="24"/>
          <w:szCs w:val="24"/>
        </w:rPr>
        <w:t xml:space="preserve">Tesis de Maestría</w:t>
      </w:r>
    </w:p>
    <w:p>
      <w:pPr>
        <w:spacing w:after="120"/>
        <w:jc w:val="center"/>
      </w:pPr>
      <w:r>
        <w:rPr>
          <w:rFonts w:ascii="Times New Roman" w:cs="Times New Roman" w:eastAsia="Times New Roman" w:hAnsi="Times New Roman"/>
          <w:sz w:val="24"/>
          <w:szCs w:val="24"/>
        </w:rPr>
        <w:t xml:space="preserve">8 de agosto de 2026</w:t>
      </w:r>
    </w:p>
    <w:p>
      <w:r>
        <w:br w:type="page"/>
      </w:r>
    </w:p>
    <w:p>
      <w:pPr>
        <w:pStyle w:val="Heading1"/>
        <w:spacing w:after="200" w:before="320" w:line="480"/>
      </w:pPr>
      <w:r>
        <w:rPr>
          <w:rFonts w:ascii="Times New Roman" w:cs="Times New Roman" w:eastAsia="Times New Roman" w:hAnsi="Times New Roman"/>
          <w:b/>
          <w:bCs/>
          <w:sz w:val="24"/>
          <w:szCs w:val="24"/>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line="480"/>
      </w:pPr>
      <w:r>
        <w:rPr>
          <w:rFonts w:ascii="Times New Roman" w:cs="Times New Roman" w:eastAsia="Times New Roman" w:hAnsi="Times New Roman"/>
          <w:b/>
          <w:bCs/>
          <w:sz w:val="24"/>
          <w:szCs w:val="24"/>
        </w:rPr>
        <w:t xml:space="preserve">1. Planteamiento del problema</w:t>
      </w:r>
    </w:p>
    <w:p>
      <w:pPr>
        <w:spacing w:after="0" w:line="480"/>
        <w:jc w:val="both"/>
      </w:pPr>
      <w:r>
        <w:rPr>
          <w:rFonts w:ascii="Times New Roman" w:cs="Times New Roman" w:eastAsia="Times New Roman" w:hAnsi="Times New Roman"/>
          <w:sz w:val="24"/>
          <w:szCs w:val="24"/>
        </w:rPr>
        <w:t xml:space="preserve">El artículo 16, párrafo 3, de la Ley General del Sistema de Medios de Impugnación en Materia Electoral condiciona la prueba plena de los medios imperfectos a que cuatro operadores generen convicción sobre la veracidad de los hechos afirmados. Esos operadores son los demás elementos que obren en el expediente, las afirmaciones de las partes, la verdad conocida y el recto raciocinio de la relación que guardan entre sí. El precepto ordena, por tanto, una valoración relacional.</w:t>
      </w:r>
    </w:p>
    <w:p>
      <w:pPr>
        <w:spacing w:after="0" w:line="480"/>
        <w:ind w:firstLine="720"/>
        <w:jc w:val="both"/>
      </w:pPr>
      <w:r>
        <w:rPr>
          <w:rFonts w:ascii="Times New Roman" w:cs="Times New Roman" w:eastAsia="Times New Roman" w:hAnsi="Times New Roman"/>
          <w:sz w:val="24"/>
          <w:szCs w:val="24"/>
        </w:rPr>
        <w:t xml:space="preserve">Esa orden nunca se convirtió en método. El Tribunal Electoral desarrolló durante casi tres décadas un vocabulario preciso para nombrar la operación —adminiculación, enlace, calidad indiciaria graduable, prueba de contexto—, pero no fijó los pasos que la componen ni la medida que debe alcanzarse. El resultado es una discrecionalidad que no puede controlarse desde fuera: como no hay protocolo, no hay incumplimiento verificable; como no hay umbral, no hay insuficiencia demostrable.</w:t>
      </w:r>
    </w:p>
    <w:p>
      <w:pPr>
        <w:spacing w:after="0" w:line="480"/>
        <w:ind w:firstLine="720"/>
        <w:jc w:val="both"/>
      </w:pPr>
      <w:r>
        <w:rPr>
          <w:rFonts w:ascii="Times New Roman" w:cs="Times New Roman" w:eastAsia="Times New Roman" w:hAnsi="Times New Roman"/>
          <w:sz w:val="24"/>
          <w:szCs w:val="24"/>
        </w:rPr>
        <w:t xml:space="preserve">El problema no es de escasez normativa. Es de falta de explicitación de normas y precedentes vigentes.</w:t>
      </w:r>
    </w:p>
    <w:p>
      <w:pPr>
        <w:pStyle w:val="Heading1"/>
        <w:spacing w:after="200" w:before="320" w:line="480"/>
      </w:pPr>
      <w:r>
        <w:rPr>
          <w:rFonts w:ascii="Times New Roman" w:cs="Times New Roman" w:eastAsia="Times New Roman" w:hAnsi="Times New Roman"/>
          <w:b/>
          <w:bCs/>
          <w:sz w:val="24"/>
          <w:szCs w:val="24"/>
        </w:rPr>
        <w:t xml:space="preserve">2. Pregunta de investigación</w:t>
      </w:r>
    </w:p>
    <w:p>
      <w:pPr>
        <w:spacing w:after="160" w:before="160" w:line="480"/>
        <w:ind w:left="720"/>
        <w:jc w:val="both"/>
      </w:pPr>
      <w:r>
        <w:rPr>
          <w:rFonts w:ascii="Times New Roman" w:cs="Times New Roman" w:eastAsia="Times New Roman" w:hAnsi="Times New Roman"/>
          <w:sz w:val="24"/>
          <w:szCs w:val="24"/>
        </w:rPr>
        <w:t xml:space="preserve">¿Cómo construir, con el derecho vigente, un método verificable de valoración de la prueba indiciaria y un estándar de suficiencia probatoria que reduzcan el margen de arbitrariedad en la decisión sobre los hechos en materia electoral?</w:t>
      </w:r>
    </w:p>
    <w:p>
      <w:pPr>
        <w:spacing w:after="0" w:line="480"/>
        <w:jc w:val="both"/>
      </w:pPr>
      <w:r>
        <w:rPr>
          <w:rFonts w:ascii="Times New Roman" w:cs="Times New Roman" w:eastAsia="Times New Roman" w:hAnsi="Times New Roman"/>
          <w:sz w:val="24"/>
          <w:szCs w:val="24"/>
        </w:rPr>
        <w:t xml:space="preserve">Cuatro preguntas subordinadas ordenan la investigación. Primera, qué categorías de la epistemología jurídica permiten reconstruir la inferencia probatoria y evaluar su corrección. Segunda, cómo evolucionó el criterio de valoración del Tribunal Electoral entre 1997 y 2025 y en qué consiste la discontinuidad de este último año. Tercera, qué pasos concretos y verificables se derivan de los cuatro operadores. Cuarta, qué umbral de suficiencia es exigible y cómo opera de cara a 2028.</w:t>
      </w:r>
    </w:p>
    <w:p>
      <w:pPr>
        <w:pStyle w:val="Heading1"/>
        <w:spacing w:after="200" w:before="320" w:line="480"/>
      </w:pPr>
      <w:r>
        <w:rPr>
          <w:rFonts w:ascii="Times New Roman" w:cs="Times New Roman" w:eastAsia="Times New Roman" w:hAnsi="Times New Roman"/>
          <w:b/>
          <w:bCs/>
          <w:sz w:val="24"/>
          <w:szCs w:val="24"/>
        </w:rPr>
        <w:t xml:space="preserve">3. Hipótesis</w:t>
      </w:r>
    </w:p>
    <w:p>
      <w:pPr>
        <w:pStyle w:val="Heading2"/>
        <w:spacing w:after="200" w:before="320" w:line="480"/>
      </w:pPr>
      <w:r>
        <w:rPr>
          <w:rFonts w:ascii="Times New Roman" w:cs="Times New Roman" w:eastAsia="Times New Roman" w:hAnsi="Times New Roman"/>
          <w:b/>
          <w:bCs/>
          <w:sz w:val="24"/>
          <w:szCs w:val="24"/>
        </w:rPr>
        <w:t xml:space="preserve">3.1 Hipótesis central</w:t>
      </w:r>
    </w:p>
    <w:p>
      <w:pPr>
        <w:spacing w:after="160" w:before="160" w:line="480"/>
        <w:ind w:left="720"/>
        <w:jc w:val="both"/>
      </w:pPr>
      <w:r>
        <w:rPr>
          <w:rFonts w:ascii="Times New Roman" w:cs="Times New Roman" w:eastAsia="Times New Roman" w:hAnsi="Times New Roman"/>
          <w:sz w:val="24"/>
          <w:szCs w:val="24"/>
        </w:rPr>
        <w:t xml:space="preserve">Los cuatro operadores del artículo 16, párrafo 3, no han sido convertidos en método. Esa omisión, y no la insuficiencia del material probatorio, es lo que permite que un órgano jurisdiccional valore los indicios de forma atomizada y, sobre esa atomización, clausure el análisis sin llegar a valorar. Leídos con las categorías de la epistemología jurídica y con la jurisprudencia vigente del Tribunal Electoral y de la Suprema Corte, esos operadores permiten construir un protocolo de adminiculación de seis pasos y un estándar de suficiencia escalonado, ambos controlables por las partes, sin reforma legislativa previa.</w:t>
      </w:r>
    </w:p>
    <w:p>
      <w:pPr>
        <w:pStyle w:val="Heading2"/>
        <w:spacing w:after="200" w:before="320" w:line="480"/>
      </w:pPr>
      <w:r>
        <w:rPr>
          <w:rFonts w:ascii="Times New Roman" w:cs="Times New Roman" w:eastAsia="Times New Roman" w:hAnsi="Times New Roman"/>
          <w:b/>
          <w:bCs/>
          <w:sz w:val="24"/>
          <w:szCs w:val="24"/>
        </w:rPr>
        <w:t xml:space="preserve">3.2 La relación entre atomización y clausura</w:t>
      </w:r>
    </w:p>
    <w:p>
      <w:pPr>
        <w:spacing w:after="0" w:line="480"/>
        <w:jc w:val="both"/>
      </w:pPr>
      <w:r>
        <w:rPr>
          <w:rFonts w:ascii="Times New Roman" w:cs="Times New Roman" w:eastAsia="Times New Roman" w:hAnsi="Times New Roman"/>
          <w:sz w:val="24"/>
          <w:szCs w:val="24"/>
        </w:rPr>
        <w:t xml:space="preserve">El examen de la sentencia SUP-JIN-818/2025 obligó a corregir el planteamiento inicial. No se trata de dos defectos independientes —valoración fragmentaria por un lado, umbral inalcanzable por otro—, sino de una relación de fundamentación: la atomización es la razón expresa de la clausura. El pasaje relevante es el siguiente:</w:t>
      </w:r>
    </w:p>
    <w:p>
      <w:pPr>
        <w:spacing w:after="160" w:before="160" w:line="480"/>
        <w:ind w:left="720"/>
        <w:jc w:val="both"/>
      </w:pPr>
      <w:r>
        <w:rPr>
          <w:rFonts w:ascii="Times New Roman" w:cs="Times New Roman" w:eastAsia="Times New Roman" w:hAnsi="Times New Roman"/>
          <w:sz w:val="24"/>
          <w:szCs w:val="24"/>
        </w:rPr>
        <w:t xml:space="preserve">Esos elementos solo constituyen un indicio, sin que se aporten otros elementos de prueba para acreditar cómo tales hechos, de suponer su existencia, impactan en la elección en la que participó.</w:t>
      </w:r>
    </w:p>
    <w:p>
      <w:pPr>
        <w:spacing w:after="0" w:line="480"/>
        <w:ind w:firstLine="720"/>
        <w:jc w:val="both"/>
      </w:pPr>
      <w:r>
        <w:rPr>
          <w:rFonts w:ascii="Times New Roman" w:cs="Times New Roman" w:eastAsia="Times New Roman" w:hAnsi="Times New Roman"/>
          <w:sz w:val="24"/>
          <w:szCs w:val="24"/>
        </w:rPr>
        <w:t xml:space="preserve">La mayoría funde dos pruebas distintas en un indicio singular, declara inexistentes elementos que constan en el expediente, omite la verdad conocida y se niega a fijar el hecho base. De esa atomización deriva la inoperancia. El material probatorio no fue insuficiente: no fue valorado. Las palabras «valorar» y «valoración» no aparecen en ningún lugar del documento.</w:t>
      </w:r>
    </w:p>
    <w:p>
      <w:pPr>
        <w:spacing w:after="40" w:before="300" w:line="240"/>
      </w:pPr>
      <w:r>
        <w:rPr>
          <w:rFonts w:ascii="Times New Roman" w:cs="Times New Roman" w:eastAsia="Times New Roman" w:hAnsi="Times New Roman"/>
          <w:b/>
          <w:bCs/>
          <w:sz w:val="24"/>
          <w:szCs w:val="24"/>
        </w:rPr>
        <w:t xml:space="preserve">Tabla 1</w:t>
      </w:r>
    </w:p>
    <w:p>
      <w:pPr>
        <w:spacing w:after="120" w:line="240"/>
      </w:pPr>
      <w:r>
        <w:rPr>
          <w:rFonts w:ascii="Times New Roman" w:cs="Times New Roman" w:eastAsia="Times New Roman" w:hAnsi="Times New Roman"/>
          <w:i/>
          <w:iCs/>
          <w:sz w:val="24"/>
          <w:szCs w:val="24"/>
        </w:rPr>
        <w:t xml:space="preserve">Operadores del artículo 16.3 omitidos en el pasaje decisivo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00"/>
        <w:gridCol w:w="4460"/>
      </w:tblGrid>
      <w:tr>
        <w:trPr>
          <w:tblHeader/>
        </w:trPr>
        <w:tc>
          <w:tcPr>
            <w:tcW w:type="dxa" w:w="4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Operación defectuosa</w:t>
            </w:r>
          </w:p>
        </w:tc>
        <w:tc>
          <w:tcPr>
            <w:tcW w:type="dxa" w:w="44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Operador omitido</w:t>
            </w:r>
          </w:p>
        </w:tc>
      </w:tr>
      <w:tr>
        <w:tc>
          <w:tcPr>
            <w:tcW w:type="dxa" w:w="4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Funde dos pruebas distintas en «un indicio» singular</w:t>
            </w:r>
          </w:p>
        </w:tc>
        <w:tc>
          <w:tcPr>
            <w:tcW w:type="dxa" w:w="44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El recto raciocinio de la relación que guardan entre sí</w:t>
            </w:r>
          </w:p>
        </w:tc>
      </w:tr>
      <w:tr>
        <w:tc>
          <w:tcPr>
            <w:tcW w:type="dxa" w:w="4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Declara que no se aportaron otros elementos, pese a la nota periodística</w:t>
            </w:r>
          </w:p>
        </w:tc>
        <w:tc>
          <w:tcPr>
            <w:tcW w:type="dxa" w:w="44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Los demás elementos que obren en el expediente</w:t>
            </w:r>
          </w:p>
        </w:tc>
      </w:tr>
      <w:tr>
        <w:tc>
          <w:tcPr>
            <w:tcW w:type="dxa" w:w="4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Ignora el reconocimiento administrativo previo de los hechos</w:t>
            </w:r>
          </w:p>
        </w:tc>
        <w:tc>
          <w:tcPr>
            <w:tcW w:type="dxa" w:w="44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La verdad conocida</w:t>
            </w:r>
          </w:p>
        </w:tc>
      </w:tr>
      <w:tr>
        <w:tc>
          <w:tcPr>
            <w:tcW w:type="dxa" w:w="4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Se niega a fijar el hecho base: «de suponer su existencia»</w:t>
            </w:r>
          </w:p>
        </w:tc>
        <w:tc>
          <w:tcPr>
            <w:tcW w:type="dxa" w:w="44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Las afirmaciones de las partes</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SUP-JIN-818/2025 y del artículo 16, párrafo 3, de la LGSMIME.</w:t>
      </w:r>
    </w:p>
    <w:p>
      <w:pPr>
        <w:pStyle w:val="Heading2"/>
        <w:spacing w:after="200" w:before="320" w:line="480"/>
      </w:pPr>
      <w:r>
        <w:rPr>
          <w:rFonts w:ascii="Times New Roman" w:cs="Times New Roman" w:eastAsia="Times New Roman" w:hAnsi="Times New Roman"/>
          <w:b/>
          <w:bCs/>
          <w:sz w:val="24"/>
          <w:szCs w:val="24"/>
        </w:rPr>
        <w:t xml:space="preserve">3.3 Hipótesis secundarias</w:t>
      </w:r>
    </w:p>
    <w:p>
      <w:pPr>
        <w:pStyle w:val="ListParagraph"/>
        <w:numPr>
          <w:ilvl w:val="0"/>
          <w:numId w:val="2"/>
        </w:numPr>
        <w:spacing w:after="0" w:line="480"/>
        <w:jc w:val="both"/>
      </w:pPr>
      <w:r>
        <w:rPr>
          <w:rFonts w:ascii="Times New Roman" w:cs="Times New Roman" w:eastAsia="Times New Roman" w:hAnsi="Times New Roman"/>
          <w:sz w:val="24"/>
          <w:szCs w:val="24"/>
        </w:rPr>
        <w:t xml:space="preserve">H2. Entre 1997 y 2024 la Sala Superior construyó una gramática de valoración relacional que nunca se formalizó como protocolo, y que por eso pudo abandonarse sin derogar ningún criterio.</w:t>
      </w:r>
    </w:p>
    <w:p>
      <w:pPr>
        <w:pStyle w:val="ListParagraph"/>
        <w:numPr>
          <w:ilvl w:val="0"/>
          <w:numId w:val="2"/>
        </w:numPr>
        <w:spacing w:after="0" w:line="480"/>
        <w:jc w:val="both"/>
      </w:pPr>
      <w:r>
        <w:rPr>
          <w:rFonts w:ascii="Times New Roman" w:cs="Times New Roman" w:eastAsia="Times New Roman" w:hAnsi="Times New Roman"/>
          <w:sz w:val="24"/>
          <w:szCs w:val="24"/>
        </w:rPr>
        <w:t xml:space="preserve">H3. La ausencia de umbral produce asimetría: el material que basta para presumir la regularidad de la actuación administrativa no basta para acreditar la irregularidad alegada.</w:t>
      </w:r>
    </w:p>
    <w:p>
      <w:pPr>
        <w:pStyle w:val="ListParagraph"/>
        <w:numPr>
          <w:ilvl w:val="0"/>
          <w:numId w:val="2"/>
        </w:numPr>
        <w:spacing w:after="0" w:line="480"/>
        <w:jc w:val="both"/>
      </w:pPr>
      <w:r>
        <w:rPr>
          <w:rFonts w:ascii="Times New Roman" w:cs="Times New Roman" w:eastAsia="Times New Roman" w:hAnsi="Times New Roman"/>
          <w:sz w:val="24"/>
          <w:szCs w:val="24"/>
        </w:rPr>
        <w:t xml:space="preserve">H4. El estándar propuesto es operable en 2028 sin cambio legislativo, porque el artículo 70, párrafo 2, exige acreditación objetiva y material sin definir la medida, y la Tesis VII/2023 ya admite el balance de probabilidades para hechos contextuales.</w:t>
      </w:r>
    </w:p>
    <w:p>
      <w:pPr>
        <w:pStyle w:val="Heading2"/>
        <w:spacing w:after="200" w:before="320" w:line="480"/>
      </w:pPr>
      <w:r>
        <w:rPr>
          <w:rFonts w:ascii="Times New Roman" w:cs="Times New Roman" w:eastAsia="Times New Roman" w:hAnsi="Times New Roman"/>
          <w:b/>
          <w:bCs/>
          <w:sz w:val="24"/>
          <w:szCs w:val="24"/>
        </w:rPr>
        <w:t xml:space="preserve">3.4 Hipótesis descartada</w:t>
      </w:r>
    </w:p>
    <w:p>
      <w:pPr>
        <w:spacing w:after="0" w:line="480"/>
        <w:jc w:val="both"/>
      </w:pPr>
      <w:r>
        <w:rPr>
          <w:rFonts w:ascii="Times New Roman" w:cs="Times New Roman" w:eastAsia="Times New Roman" w:hAnsi="Times New Roman"/>
          <w:sz w:val="24"/>
          <w:szCs w:val="24"/>
        </w:rPr>
        <w:t xml:space="preserve">La lectura del corpus no sostiene la idea de una erosión gradual del criterio probatorio. La densidad de vocabulario relacional oscila sin tendencia y alcanza su máximo histórico en 2024, doce meses antes del caso de referencia. Lo que hay es una discontinuidad, no un declive. El capítulo segundo debe descartar la hipótesis gradualista de forma expresa.</w:t>
      </w:r>
    </w:p>
    <w:p>
      <w:pPr>
        <w:pStyle w:val="Heading1"/>
        <w:spacing w:after="200" w:before="320" w:line="480"/>
      </w:pPr>
      <w:r>
        <w:rPr>
          <w:rFonts w:ascii="Times New Roman" w:cs="Times New Roman" w:eastAsia="Times New Roman" w:hAnsi="Times New Roman"/>
          <w:b/>
          <w:bCs/>
          <w:sz w:val="24"/>
          <w:szCs w:val="24"/>
        </w:rPr>
        <w:t xml:space="preserve">4. Objetivos</w:t>
      </w:r>
    </w:p>
    <w:p>
      <w:pPr>
        <w:spacing w:after="0" w:line="480"/>
        <w:jc w:val="both"/>
      </w:pPr>
      <w:r>
        <w:rPr>
          <w:rFonts w:ascii="Times New Roman" w:cs="Times New Roman" w:eastAsia="Times New Roman" w:hAnsi="Times New Roman"/>
          <w:b/>
          <w:bCs/>
          <w:sz w:val="24"/>
          <w:szCs w:val="24"/>
        </w:rPr>
        <w:t xml:space="preserve">Objetivo general. </w:t>
      </w:r>
      <w:r>
        <w:rPr>
          <w:rFonts w:ascii="Times New Roman" w:cs="Times New Roman" w:eastAsia="Times New Roman" w:hAnsi="Times New Roman"/>
          <w:sz w:val="24"/>
          <w:szCs w:val="24"/>
        </w:rPr>
        <w:t xml:space="preserve">Formular un método de valoración indiciaria y un estándar de suficiencia probatoria, ambos verificables, que protejan la integridad y limpieza electoral sin renunciar al rigor probatorio.</w:t>
      </w:r>
    </w:p>
    <w:p>
      <w:pPr>
        <w:spacing w:after="40" w:before="300" w:line="240"/>
      </w:pPr>
      <w:r>
        <w:rPr>
          <w:rFonts w:ascii="Times New Roman" w:cs="Times New Roman" w:eastAsia="Times New Roman" w:hAnsi="Times New Roman"/>
          <w:b/>
          <w:bCs/>
          <w:sz w:val="24"/>
          <w:szCs w:val="24"/>
        </w:rPr>
        <w:t xml:space="preserve">Tabla 2</w:t>
      </w:r>
    </w:p>
    <w:p>
      <w:pPr>
        <w:spacing w:after="120" w:line="240"/>
      </w:pPr>
      <w:r>
        <w:rPr>
          <w:rFonts w:ascii="Times New Roman" w:cs="Times New Roman" w:eastAsia="Times New Roman" w:hAnsi="Times New Roman"/>
          <w:i/>
          <w:iCs/>
          <w:sz w:val="24"/>
          <w:szCs w:val="24"/>
        </w:rPr>
        <w:t xml:space="preserve">Objetivos específicos y su correspondencia capitular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60"/>
        <w:gridCol w:w="1300"/>
      </w:tblGrid>
      <w:tr>
        <w:trPr>
          <w:tblHeader/>
        </w:trPr>
        <w:tc>
          <w:tcPr>
            <w:tcW w:type="dxa" w:w="80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Objetivo específico</w:t>
            </w:r>
          </w:p>
        </w:tc>
        <w:tc>
          <w:tcPr>
            <w:tcW w:type="dxa" w:w="13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Capítulo</w:t>
            </w:r>
          </w:p>
        </w:tc>
      </w:tr>
      <w:tr>
        <w:tc>
          <w:tcPr>
            <w:tcW w:type="dxa" w:w="8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Fijar las categorías de la epistemología jurídica pertinentes para analizar la prueba racional y la estructura de la inferencia a partir de indicios</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1</w:t>
            </w:r>
          </w:p>
        </w:tc>
      </w:tr>
      <w:tr>
        <w:tc>
          <w:tcPr>
            <w:tcW w:type="dxa" w:w="8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Reconstruir la evolución del criterio de valoración del Tribunal Electoral desde 1997 hasta identificar el punto exacto de la discontinuidad de 2025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2</w:t>
            </w:r>
          </w:p>
        </w:tc>
      </w:tr>
      <w:tr>
        <w:tc>
          <w:tcPr>
            <w:tcW w:type="dxa" w:w="8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Convertir el mandato de valoración relacional del artículo 16, párrafo 3, en un protocolo de adminiculación verificable en seis pasos</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3</w:t>
            </w:r>
          </w:p>
        </w:tc>
      </w:tr>
      <w:tr>
        <w:tc>
          <w:tcPr>
            <w:tcW w:type="dxa" w:w="80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Fijar un estándar de suficiencia probatoria aplicable y proyectar sus efectos de cara a la elección judicial federal de 2028</w:t>
            </w:r>
          </w:p>
        </w:tc>
        <w:tc>
          <w:tcPr>
            <w:tcW w:type="dxa" w:w="13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4</w:t>
            </w:r>
          </w:p>
        </w:tc>
      </w:tr>
    </w:tbl>
    <w:p>
      <w:pPr>
        <w:pStyle w:val="Heading1"/>
        <w:spacing w:after="200" w:before="320" w:line="480"/>
      </w:pPr>
      <w:r>
        <w:rPr>
          <w:rFonts w:ascii="Times New Roman" w:cs="Times New Roman" w:eastAsia="Times New Roman" w:hAnsi="Times New Roman"/>
          <w:b/>
          <w:bCs/>
          <w:sz w:val="24"/>
          <w:szCs w:val="24"/>
        </w:rPr>
        <w:t xml:space="preserve">5. Marco metodológico</w:t>
      </w:r>
    </w:p>
    <w:p>
      <w:pPr>
        <w:spacing w:after="0" w:line="480"/>
        <w:jc w:val="both"/>
      </w:pPr>
      <w:r>
        <w:rPr>
          <w:rFonts w:ascii="Times New Roman" w:cs="Times New Roman" w:eastAsia="Times New Roman" w:hAnsi="Times New Roman"/>
          <w:sz w:val="24"/>
          <w:szCs w:val="24"/>
        </w:rPr>
        <w:t xml:space="preserve">La investigación es dogmática y de reconstrucción racional, con un componente empírico acotado. Comprende tres operaciones. La primera es la reconstrucción conceptual de las categorías de la epistemología jurídica. La segunda es el análisis de contenido de catorce resoluciones del Tribunal Electoral mediante una matriz de siete indicadores. La tercera es la construcción normativa del protocolo y del estándar desde el derecho vigente, con validación por aplicación retrospectiva a dos casos del propio corpus.</w:t>
      </w:r>
    </w:p>
    <w:p>
      <w:pPr>
        <w:spacing w:after="0" w:line="480"/>
        <w:ind w:firstLine="720"/>
        <w:jc w:val="both"/>
      </w:pPr>
      <w:r>
        <w:rPr>
          <w:rFonts w:ascii="Times New Roman" w:cs="Times New Roman" w:eastAsia="Times New Roman" w:hAnsi="Times New Roman"/>
          <w:sz w:val="24"/>
          <w:szCs w:val="24"/>
        </w:rPr>
        <w:t xml:space="preserve">El corpus reúne catorce sentencias del Tribunal Electoral dictadas entre 1997 y 2025, seis jurisprudencias, once tesis del Tribunal Electoral y de la Suprema Corte, diez obras doctrinales y cuatro cuerpos normativos o convencionales.</w:t>
      </w:r>
    </w:p>
    <w:p>
      <w:pPr>
        <w:spacing w:after="0" w:line="480"/>
        <w:ind w:firstLine="720"/>
        <w:jc w:val="both"/>
      </w:pPr>
      <w:r>
        <w:rPr>
          <w:rFonts w:ascii="Times New Roman" w:cs="Times New Roman" w:eastAsia="Times New Roman" w:hAnsi="Times New Roman"/>
          <w:sz w:val="24"/>
          <w:szCs w:val="24"/>
        </w:rPr>
        <w:t xml:space="preserve">El análisis se ejecuta con la herramienta analisis_corpus.py, incluida en el repositorio. Cualquier lector puede regenerar las tablas del anexo A. Que el soporte empírico sea reproducible por un tercero no es un adorno: es coherencia con lo que la tesis exige a los tribunales.</w:t>
      </w:r>
    </w:p>
    <w:p>
      <w:pPr>
        <w:spacing w:after="0" w:line="480"/>
        <w:ind w:firstLine="720"/>
        <w:jc w:val="both"/>
      </w:pPr>
      <w:r>
        <w:rPr>
          <w:rFonts w:ascii="Times New Roman" w:cs="Times New Roman" w:eastAsia="Times New Roman" w:hAnsi="Times New Roman"/>
          <w:b/>
          <w:bCs/>
          <w:sz w:val="24"/>
          <w:szCs w:val="24"/>
        </w:rPr>
        <w:t xml:space="preserve">Límite reconocido. </w:t>
      </w:r>
      <w:r>
        <w:rPr>
          <w:rFonts w:ascii="Times New Roman" w:cs="Times New Roman" w:eastAsia="Times New Roman" w:hAnsi="Times New Roman"/>
          <w:sz w:val="24"/>
          <w:szCs w:val="24"/>
        </w:rPr>
        <w:t xml:space="preserve">La densidad léxica mide presencia de vocabulario, no calidad argumentativa. Un tribunal puede escribir «adminiculación» sin adminicular. El indicador sirve para localizar la discontinuidad, no para demostrarla; la demostración es cualitativa y descansa en la lectura de los pasajes.</w:t>
      </w:r>
    </w:p>
    <w:p>
      <w:r>
        <w:br w:type="page"/>
      </w:r>
    </w:p>
    <w:p>
      <w:pPr>
        <w:pStyle w:val="Heading1"/>
        <w:spacing w:after="200" w:before="320" w:line="480"/>
      </w:pPr>
      <w:r>
        <w:rPr>
          <w:rFonts w:ascii="Times New Roman" w:cs="Times New Roman" w:eastAsia="Times New Roman" w:hAnsi="Times New Roman"/>
          <w:b/>
          <w:bCs/>
          <w:sz w:val="24"/>
          <w:szCs w:val="24"/>
        </w:rPr>
        <w:t xml:space="preserve">6. Los dos entregables técnicos</w:t>
      </w:r>
    </w:p>
    <w:p>
      <w:pPr>
        <w:pStyle w:val="Heading2"/>
        <w:spacing w:after="200" w:before="320" w:line="480"/>
      </w:pPr>
      <w:r>
        <w:rPr>
          <w:rFonts w:ascii="Times New Roman" w:cs="Times New Roman" w:eastAsia="Times New Roman" w:hAnsi="Times New Roman"/>
          <w:b/>
          <w:bCs/>
          <w:sz w:val="24"/>
          <w:szCs w:val="24"/>
        </w:rPr>
        <w:t xml:space="preserve">6.1 Protocolo de adminiculación en seis pasos</w:t>
      </w:r>
    </w:p>
    <w:p>
      <w:pPr>
        <w:spacing w:after="0" w:line="480"/>
        <w:jc w:val="both"/>
      </w:pPr>
      <w:r>
        <w:rPr>
          <w:rFonts w:ascii="Times New Roman" w:cs="Times New Roman" w:eastAsia="Times New Roman" w:hAnsi="Times New Roman"/>
          <w:sz w:val="24"/>
          <w:szCs w:val="24"/>
        </w:rPr>
        <w:t xml:space="preserve">Cada paso se construye con triple anclaje: norma vigente, precedente vigente y categoría epistemológica. Es lo que hace innecesaria la reforma legislativa, porque el protocolo no añade deberes: explicita los que ya existen.</w:t>
      </w:r>
    </w:p>
    <w:p>
      <w:pPr>
        <w:spacing w:after="40" w:before="300" w:line="240"/>
      </w:pPr>
      <w:r>
        <w:rPr>
          <w:rFonts w:ascii="Times New Roman" w:cs="Times New Roman" w:eastAsia="Times New Roman" w:hAnsi="Times New Roman"/>
          <w:b/>
          <w:bCs/>
          <w:sz w:val="24"/>
          <w:szCs w:val="24"/>
        </w:rPr>
        <w:t xml:space="preserve">Tabla 3</w:t>
      </w:r>
    </w:p>
    <w:p>
      <w:pPr>
        <w:spacing w:after="120" w:line="240"/>
      </w:pPr>
      <w:r>
        <w:rPr>
          <w:rFonts w:ascii="Times New Roman" w:cs="Times New Roman" w:eastAsia="Times New Roman" w:hAnsi="Times New Roman"/>
          <w:i/>
          <w:iCs/>
          <w:sz w:val="24"/>
          <w:szCs w:val="24"/>
        </w:rPr>
        <w:t xml:space="preserve">Protocolo de adminiculación y su fundamento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60"/>
        <w:gridCol w:w="2100"/>
        <w:gridCol w:w="3200"/>
      </w:tblGrid>
      <w:tr>
        <w:trPr>
          <w:tblHeader/>
        </w:trPr>
        <w:tc>
          <w:tcPr>
            <w:tcW w:type="dxa" w:w="7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Paso</w:t>
            </w:r>
          </w:p>
        </w:tc>
        <w:tc>
          <w:tcPr>
            <w:tcW w:type="dxa" w:w="33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Operación</w:t>
            </w:r>
          </w:p>
        </w:tc>
        <w:tc>
          <w:tcPr>
            <w:tcW w:type="dxa" w:w="21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Anclaje legal</w:t>
            </w:r>
          </w:p>
        </w:tc>
        <w:tc>
          <w:tcPr>
            <w:tcW w:type="dxa" w:w="3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Anclaje jurisprudencial</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P1</w:t>
            </w:r>
          </w:p>
        </w:tc>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Inventario del material indiciario e identificación del hecho fuente</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Art. 15 LGSMIME</w:t>
            </w:r>
          </w:p>
        </w:tc>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Tesis 2004753; Tesis 235868</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P2</w:t>
            </w:r>
          </w:p>
        </w:tc>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Acreditación autónoma y fiabilidad de cada fuente</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Art. 16.1 y 16.2</w:t>
            </w:r>
          </w:p>
        </w:tc>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Jurisprudencia 11/2003; Tesis XLV/98</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P3</w:t>
            </w:r>
          </w:p>
        </w:tc>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Explicitación de la máxima de experiencia y del enlace</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Art. 16.1</w:t>
            </w:r>
          </w:p>
        </w:tc>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Tesis 2004755; Jurisprudencia 38/2002</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P4</w:t>
            </w:r>
          </w:p>
        </w:tc>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Adminiculación relacional: los cuatro operadores</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Art. 16.3</w:t>
            </w:r>
          </w:p>
        </w:tc>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Jurisprudencia 4/2014; Jurisprudencia 19/2008</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P5</w:t>
            </w:r>
          </w:p>
        </w:tc>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Contrastación con hipótesis rivales y refutación</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Art. 16.3</w:t>
            </w:r>
          </w:p>
        </w:tc>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Tesis 2004757 y 2004755; Tesis VII/2023</w:t>
            </w:r>
          </w:p>
        </w:tc>
      </w:tr>
      <w:tr>
        <w:tc>
          <w:tcPr>
            <w:tcW w:type="dxa" w:w="7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P6</w:t>
            </w:r>
          </w:p>
        </w:tc>
        <w:tc>
          <w:tcPr>
            <w:tcW w:type="dxa" w:w="33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Motivación analítica y grado de corroboración alcanzado</w:t>
            </w:r>
          </w:p>
        </w:tc>
        <w:tc>
          <w:tcPr>
            <w:tcW w:type="dxa" w:w="21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Arts. 14 y 16 CPEUM</w:t>
            </w:r>
          </w:p>
        </w:tc>
        <w:tc>
          <w:tcPr>
            <w:tcW w:type="dxa" w:w="3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Tesis 2004753</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Regla de cierre: el fallo de un paso no habilita el salto al siguiente. La exclusión de un elemento debe motivarse, no presuponerse.</w:t>
      </w:r>
    </w:p>
    <w:p>
      <w:pPr>
        <w:pStyle w:val="Heading2"/>
        <w:spacing w:after="200" w:before="320" w:line="480"/>
      </w:pPr>
      <w:r>
        <w:rPr>
          <w:rFonts w:ascii="Times New Roman" w:cs="Times New Roman" w:eastAsia="Times New Roman" w:hAnsi="Times New Roman"/>
          <w:b/>
          <w:bCs/>
          <w:sz w:val="24"/>
          <w:szCs w:val="24"/>
        </w:rPr>
        <w:t xml:space="preserve">6.2 Estándar escalonado de suficiencia</w:t>
      </w:r>
    </w:p>
    <w:p>
      <w:pPr>
        <w:spacing w:after="0" w:line="480"/>
        <w:jc w:val="both"/>
      </w:pPr>
      <w:r>
        <w:rPr>
          <w:rFonts w:ascii="Times New Roman" w:cs="Times New Roman" w:eastAsia="Times New Roman" w:hAnsi="Times New Roman"/>
          <w:sz w:val="24"/>
          <w:szCs w:val="24"/>
        </w:rPr>
        <w:t xml:space="preserve">La escala no inventa medidas: recoge las que la propia jurisprudencia ya emplea, las nombra y las ordena.</w:t>
      </w:r>
    </w:p>
    <w:p>
      <w:pPr>
        <w:spacing w:after="40" w:before="300" w:line="240"/>
      </w:pPr>
      <w:r>
        <w:rPr>
          <w:rFonts w:ascii="Times New Roman" w:cs="Times New Roman" w:eastAsia="Times New Roman" w:hAnsi="Times New Roman"/>
          <w:b/>
          <w:bCs/>
          <w:sz w:val="24"/>
          <w:szCs w:val="24"/>
        </w:rPr>
        <w:t xml:space="preserve">Tabla 4</w:t>
      </w:r>
    </w:p>
    <w:p>
      <w:pPr>
        <w:spacing w:after="120" w:line="240"/>
      </w:pPr>
      <w:r>
        <w:rPr>
          <w:rFonts w:ascii="Times New Roman" w:cs="Times New Roman" w:eastAsia="Times New Roman" w:hAnsi="Times New Roman"/>
          <w:i/>
          <w:iCs/>
          <w:sz w:val="24"/>
          <w:szCs w:val="24"/>
        </w:rPr>
        <w:t xml:space="preserve">Niveles del estándar de suficiencia probatoria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160"/>
        <w:gridCol w:w="2500"/>
      </w:tblGrid>
      <w:tr>
        <w:trPr>
          <w:tblHeader/>
        </w:trPr>
        <w:tc>
          <w:tcPr>
            <w:tcW w:type="dxa" w:w="7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Nivel</w:t>
            </w:r>
          </w:p>
        </w:tc>
        <w:tc>
          <w:tcPr>
            <w:tcW w:type="dxa" w:w="2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Objeto</w:t>
            </w:r>
          </w:p>
        </w:tc>
        <w:tc>
          <w:tcPr>
            <w:tcW w:type="dxa" w:w="41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Medida</w:t>
            </w:r>
          </w:p>
        </w:tc>
        <w:tc>
          <w:tcPr>
            <w:tcW w:type="dxa" w:w="25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Fundamento vigente</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U1</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Hechos contextuales o periféricos</w:t>
            </w:r>
          </w:p>
        </w:tc>
        <w:tc>
          <w:tcPr>
            <w:tcW w:type="dxa" w:w="4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Probabilidad prevaleciente</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Tesis VI/2023 y VII/2023</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U2</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Hechos específicos e imputación</w:t>
            </w:r>
          </w:p>
        </w:tc>
        <w:tc>
          <w:tcPr>
            <w:tcW w:type="dxa" w:w="4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Corroboración robusta: pluralidad de elementos independientes, refutación de hipótesis alternativas y ausencia de descargo no refutado</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Jurisprudencia 4/2014; Tesis 2004755</w:t>
            </w:r>
          </w:p>
        </w:tc>
      </w:tr>
      <w:tr>
        <w:tc>
          <w:tcPr>
            <w:tcW w:type="dxa" w:w="7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U3</w:t>
            </w:r>
          </w:p>
        </w:tc>
        <w:tc>
          <w:tcPr>
            <w:tcW w:type="dxa" w:w="2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Determinancia</w:t>
            </w:r>
          </w:p>
        </w:tc>
        <w:tc>
          <w:tcPr>
            <w:tcW w:type="dxa" w:w="41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Doble factor cualitativo y cuantitativo, con carga de enunciar cuál se aplica</w:t>
            </w:r>
          </w:p>
        </w:tc>
        <w:tc>
          <w:tcPr>
            <w:tcW w:type="dxa" w:w="2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Tesis XXXI/2004; Jurisprudencias 39/2002 y 44/2024</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Dos exigencias transversales: el umbral se enuncia antes de valorar y es el mismo para acreditar la regularidad y la irregularidad.</w:t>
      </w:r>
    </w:p>
    <w:p>
      <w:pPr>
        <w:pStyle w:val="Heading1"/>
        <w:spacing w:after="200" w:before="320" w:line="480"/>
      </w:pPr>
      <w:r>
        <w:rPr>
          <w:rFonts w:ascii="Times New Roman" w:cs="Times New Roman" w:eastAsia="Times New Roman" w:hAnsi="Times New Roman"/>
          <w:b/>
          <w:bCs/>
          <w:sz w:val="24"/>
          <w:szCs w:val="24"/>
        </w:rPr>
        <w:t xml:space="preserve">7. Estructura capitular</w:t>
      </w:r>
    </w:p>
    <w:p>
      <w:pPr>
        <w:spacing w:after="40" w:before="300" w:line="240"/>
      </w:pPr>
      <w:r>
        <w:rPr>
          <w:rFonts w:ascii="Times New Roman" w:cs="Times New Roman" w:eastAsia="Times New Roman" w:hAnsi="Times New Roman"/>
          <w:b/>
          <w:bCs/>
          <w:sz w:val="24"/>
          <w:szCs w:val="24"/>
        </w:rPr>
        <w:t xml:space="preserve">Tabla 5</w:t>
      </w:r>
    </w:p>
    <w:p>
      <w:pPr>
        <w:spacing w:after="120" w:line="240"/>
      </w:pPr>
      <w:r>
        <w:rPr>
          <w:rFonts w:ascii="Times New Roman" w:cs="Times New Roman" w:eastAsia="Times New Roman" w:hAnsi="Times New Roman"/>
          <w:i/>
          <w:iCs/>
          <w:sz w:val="24"/>
          <w:szCs w:val="24"/>
        </w:rPr>
        <w:t xml:space="preserve">Capitulado y extensión orientativa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660"/>
        <w:gridCol w:w="1600"/>
      </w:tblGrid>
      <w:tr>
        <w:trPr>
          <w:tblHeader/>
        </w:trPr>
        <w:tc>
          <w:tcPr>
            <w:tcW w:type="dxa" w:w="11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Capítulo</w:t>
            </w:r>
          </w:p>
        </w:tc>
        <w:tc>
          <w:tcPr>
            <w:tcW w:type="dxa" w:w="66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Título</w:t>
            </w:r>
          </w:p>
        </w:tc>
        <w:tc>
          <w:tcPr>
            <w:tcW w:type="dxa" w:w="1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Páginas</w:t>
            </w:r>
          </w:p>
        </w:tc>
      </w:tr>
      <w:tr>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w:t>
            </w:r>
          </w:p>
        </w:tc>
        <w:tc>
          <w:tcPr>
            <w:tcW w:type="dxa" w:w="6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Introducción</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12-15</w:t>
            </w:r>
          </w:p>
        </w:tc>
      </w:tr>
      <w:tr>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1</w:t>
            </w:r>
          </w:p>
        </w:tc>
        <w:tc>
          <w:tcPr>
            <w:tcW w:type="dxa" w:w="6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Categorías de epistemología jurídica para la prueba por indicios</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40-50</w:t>
            </w:r>
          </w:p>
        </w:tc>
      </w:tr>
      <w:tr>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2</w:t>
            </w:r>
          </w:p>
        </w:tc>
        <w:tc>
          <w:tcPr>
            <w:tcW w:type="dxa" w:w="6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El criterio del TEPJF de 1997 a 2025: reconstrucción y discontinuidad</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50-60</w:t>
            </w:r>
          </w:p>
        </w:tc>
      </w:tr>
      <w:tr>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3</w:t>
            </w:r>
          </w:p>
        </w:tc>
        <w:tc>
          <w:tcPr>
            <w:tcW w:type="dxa" w:w="6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Del artículo 16.3 a un protocolo de adminiculación en seis pasos</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45-55</w:t>
            </w:r>
          </w:p>
        </w:tc>
      </w:tr>
      <w:tr>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4</w:t>
            </w:r>
          </w:p>
        </w:tc>
        <w:tc>
          <w:tcPr>
            <w:tcW w:type="dxa" w:w="6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El umbral de suficiencia y su proyección a 2028</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40-50</w:t>
            </w:r>
          </w:p>
        </w:tc>
      </w:tr>
      <w:tr>
        <w:tc>
          <w:tcPr>
            <w:tcW w:type="dxa" w:w="11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w:t>
            </w:r>
          </w:p>
        </w:tc>
        <w:tc>
          <w:tcPr>
            <w:tcW w:type="dxa" w:w="66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Conclusiones</w:t>
            </w:r>
          </w:p>
        </w:tc>
        <w:tc>
          <w:tcPr>
            <w:tcW w:type="dxa" w:w="1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10-12</w:t>
            </w:r>
          </w:p>
        </w:tc>
      </w:tr>
    </w:tbl>
    <w:p>
      <w:r>
        <w:br w:type="page"/>
      </w:r>
    </w:p>
    <w:p>
      <w:pPr>
        <w:pStyle w:val="Heading1"/>
        <w:spacing w:after="200" w:before="320" w:line="480"/>
      </w:pPr>
      <w:r>
        <w:rPr>
          <w:rFonts w:ascii="Times New Roman" w:cs="Times New Roman" w:eastAsia="Times New Roman" w:hAnsi="Times New Roman"/>
          <w:b/>
          <w:bCs/>
          <w:sz w:val="24"/>
          <w:szCs w:val="24"/>
        </w:rPr>
        <w:t xml:space="preserve">8. Cautelas sobre las fuentes</w:t>
      </w:r>
    </w:p>
    <w:p>
      <w:pPr>
        <w:spacing w:after="0" w:line="480"/>
        <w:jc w:val="both"/>
      </w:pPr>
      <w:r>
        <w:rPr>
          <w:rFonts w:ascii="Times New Roman" w:cs="Times New Roman" w:eastAsia="Times New Roman" w:hAnsi="Times New Roman"/>
          <w:sz w:val="24"/>
          <w:szCs w:val="24"/>
        </w:rPr>
        <w:t xml:space="preserve">Verificadas al leer el corpus completo. Ninguna bloquea la investigación; todas deben resolverse antes de citar.</w:t>
      </w:r>
    </w:p>
    <w:p>
      <w:pPr>
        <w:pStyle w:val="ListParagraph"/>
        <w:numPr>
          <w:ilvl w:val="0"/>
          <w:numId w:val="2"/>
        </w:numPr>
        <w:spacing w:after="0" w:line="480"/>
        <w:jc w:val="both"/>
      </w:pPr>
      <w:r>
        <w:rPr>
          <w:rFonts w:ascii="Times New Roman" w:cs="Times New Roman" w:eastAsia="Times New Roman" w:hAnsi="Times New Roman"/>
          <w:sz w:val="24"/>
          <w:szCs w:val="24"/>
        </w:rPr>
        <w:t xml:space="preserve">La ley del repositorio es la «Nueva Ley DOF 02-03-2023», cuyo artículo segundo transitorio abroga la de 1996. Ese decreto fue invalidado. Los artículos 14, 15 y 16 son idénticos en ambos textos, de modo que el eje de la tesis está a salvo; pero la numeración de nulidades difiere. Toda cita en materia de nulidades debe hacerse contra el texto vigente.</w:t>
      </w:r>
    </w:p>
    <w:p>
      <w:pPr>
        <w:pStyle w:val="ListParagraph"/>
        <w:numPr>
          <w:ilvl w:val="0"/>
          <w:numId w:val="2"/>
        </w:numPr>
        <w:spacing w:after="0" w:line="480"/>
        <w:jc w:val="both"/>
      </w:pPr>
      <w:r>
        <w:rPr>
          <w:rFonts w:ascii="Times New Roman" w:cs="Times New Roman" w:eastAsia="Times New Roman" w:hAnsi="Times New Roman"/>
          <w:sz w:val="24"/>
          <w:szCs w:val="24"/>
        </w:rPr>
        <w:t xml:space="preserve">El archivo SUP_AES_67_2006 contiene en realidad SUP-JRC-356/2007, y el archivo SUP_JRC_086_2000 contiene SUP-JRC-086/2002. Citar por el identificador real: el nombre del archivo no es fuente de identificación.</w:t>
      </w:r>
    </w:p>
    <w:p>
      <w:pPr>
        <w:pStyle w:val="ListParagraph"/>
        <w:numPr>
          <w:ilvl w:val="0"/>
          <w:numId w:val="2"/>
        </w:numPr>
        <w:spacing w:after="0" w:line="480"/>
        <w:jc w:val="both"/>
      </w:pPr>
      <w:r>
        <w:rPr>
          <w:rFonts w:ascii="Times New Roman" w:cs="Times New Roman" w:eastAsia="Times New Roman" w:hAnsi="Times New Roman"/>
          <w:sz w:val="24"/>
          <w:szCs w:val="24"/>
        </w:rPr>
        <w:t xml:space="preserve">El volumen de Laudan «Verdad, error y proceso penal» solo comprende quince páginas de índice, prefacios y arranque del capítulo primero. El peso argumental sobre estándares lo lleva el artículo de DOXA de 2005, que sí está íntegro.</w:t>
      </w:r>
    </w:p>
    <w:p>
      <w:pPr>
        <w:pStyle w:val="ListParagraph"/>
        <w:numPr>
          <w:ilvl w:val="0"/>
          <w:numId w:val="2"/>
        </w:numPr>
        <w:spacing w:after="0" w:line="480"/>
        <w:jc w:val="both"/>
      </w:pPr>
      <w:r>
        <w:rPr>
          <w:rFonts w:ascii="Times New Roman" w:cs="Times New Roman" w:eastAsia="Times New Roman" w:hAnsi="Times New Roman"/>
          <w:sz w:val="24"/>
          <w:szCs w:val="24"/>
        </w:rPr>
        <w:t xml:space="preserve">Las obras de Amaya Navarro y de Norris están en inglés y exigen traducción propia, marcada como tal en nota al pie.</w:t>
      </w:r>
    </w:p>
    <w:p>
      <w:pPr>
        <w:pStyle w:val="ListParagraph"/>
        <w:numPr>
          <w:ilvl w:val="0"/>
          <w:numId w:val="2"/>
        </w:numPr>
        <w:spacing w:after="0" w:line="480"/>
        <w:jc w:val="both"/>
      </w:pPr>
      <w:r>
        <w:rPr>
          <w:rFonts w:ascii="Times New Roman" w:cs="Times New Roman" w:eastAsia="Times New Roman" w:hAnsi="Times New Roman"/>
          <w:sz w:val="24"/>
          <w:szCs w:val="24"/>
        </w:rPr>
        <w:t xml:space="preserve">El acuerdo INE/CG535/2025 y la sentencia SUP-REP-179/2025 no constan en el repositorio: aparecen referidos en un voto particular. Deben citarse como referidos, nunca como consultados. Es exigencia de la honestidad probatoria que la propia tesis predica.</w:t>
      </w:r>
    </w:p>
    <w:p>
      <w:pPr>
        <w:pStyle w:val="ListParagraph"/>
        <w:numPr>
          <w:ilvl w:val="0"/>
          <w:numId w:val="2"/>
        </w:numPr>
        <w:spacing w:after="0" w:line="480"/>
        <w:jc w:val="both"/>
      </w:pPr>
      <w:r>
        <w:rPr>
          <w:rFonts w:ascii="Times New Roman" w:cs="Times New Roman" w:eastAsia="Times New Roman" w:hAnsi="Times New Roman"/>
          <w:sz w:val="24"/>
          <w:szCs w:val="24"/>
        </w:rPr>
        <w:t xml:space="preserve">Varios PDF antiguos tienen capas de texto que omiten espacios de forma sistemática. Ninguna cita textual debe copiarse del texto extraído: hay que transcribirla leyendo el documento.</w:t>
      </w:r>
    </w:p>
    <w:p>
      <w:pPr>
        <w:pStyle w:val="Heading1"/>
        <w:spacing w:after="200" w:before="320" w:line="480"/>
      </w:pPr>
      <w:r>
        <w:rPr>
          <w:rFonts w:ascii="Times New Roman" w:cs="Times New Roman" w:eastAsia="Times New Roman" w:hAnsi="Times New Roman"/>
          <w:b/>
          <w:bCs/>
          <w:sz w:val="24"/>
          <w:szCs w:val="24"/>
        </w:rPr>
        <w:t xml:space="preserve">9. Restricción de fuentes</w:t>
      </w:r>
    </w:p>
    <w:p>
      <w:pPr>
        <w:spacing w:after="0" w:line="480"/>
        <w:jc w:val="both"/>
      </w:pPr>
      <w:r>
        <w:rPr>
          <w:rFonts w:ascii="Times New Roman" w:cs="Times New Roman" w:eastAsia="Times New Roman" w:hAnsi="Times New Roman"/>
          <w:sz w:val="24"/>
          <w:szCs w:val="24"/>
        </w:rPr>
        <w:t xml:space="preserve">La investigación se desarrolla exclusivamente con las fuentes del repositorio. De ello se siguen tres consecuencias que deben declararse en la introducción. No se citan sentencias, doctrina ni legislación externas, aunque sean pertinentes. Los hechos de contexto de la elección de 2025 se conocen solo a través de una sentencia, de modo que la tesis no reconstruye ese proceso electoral: lo usa como caso de referencia. Y el corpus jurisprudencial es una muestra intencional, no exhaustiva, por lo que las conclusiones valen para el corpus y se proponen como hipótesis para el universo.</w:t>
      </w:r>
    </w:p>
    <w:p>
      <w:pPr>
        <w:pStyle w:val="Heading1"/>
        <w:spacing w:after="200" w:before="320" w:line="480"/>
      </w:pPr>
      <w:r>
        <w:rPr>
          <w:rFonts w:ascii="Times New Roman" w:cs="Times New Roman" w:eastAsia="Times New Roman" w:hAnsi="Times New Roman"/>
          <w:b/>
          <w:bCs/>
          <w:sz w:val="24"/>
          <w:szCs w:val="24"/>
        </w:rPr>
        <w:t xml:space="preserve">10. Cronograma</w:t>
      </w:r>
    </w:p>
    <w:p>
      <w:pPr>
        <w:spacing w:after="40" w:before="300" w:line="240"/>
      </w:pPr>
      <w:r>
        <w:rPr>
          <w:rFonts w:ascii="Times New Roman" w:cs="Times New Roman" w:eastAsia="Times New Roman" w:hAnsi="Times New Roman"/>
          <w:b/>
          <w:bCs/>
          <w:sz w:val="24"/>
          <w:szCs w:val="24"/>
        </w:rPr>
        <w:t xml:space="preserve">Tabla 6</w:t>
      </w:r>
    </w:p>
    <w:p>
      <w:pPr>
        <w:spacing w:after="120" w:line="240"/>
      </w:pPr>
      <w:r>
        <w:rPr>
          <w:rFonts w:ascii="Times New Roman" w:cs="Times New Roman" w:eastAsia="Times New Roman" w:hAnsi="Times New Roman"/>
          <w:i/>
          <w:iCs/>
          <w:sz w:val="24"/>
          <w:szCs w:val="24"/>
        </w:rPr>
        <w:t xml:space="preserve">Fases de trabajo y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Fase</w:t>
            </w:r>
          </w:p>
        </w:tc>
        <w:tc>
          <w:tcPr>
            <w:tcW w:type="dxa" w:w="66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Producto</w:t>
            </w:r>
          </w:p>
        </w:tc>
        <w:tc>
          <w:tcPr>
            <w:tcW w:type="dxa" w:w="18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Estado</w:t>
            </w:r>
          </w:p>
        </w:tc>
      </w:tr>
      <w:t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F1</w:t>
            </w:r>
          </w:p>
        </w:tc>
        <w:tc>
          <w:tcPr>
            <w:tcW w:type="dxa" w:w="6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Protocolo de investigación y fichas de fuentes</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Completo</w:t>
            </w:r>
          </w:p>
        </w:tc>
      </w:tr>
      <w:t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F2</w:t>
            </w:r>
          </w:p>
        </w:tc>
        <w:tc>
          <w:tcPr>
            <w:tcW w:type="dxa" w:w="6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Herramienta de análisis y matriz del corpus</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Completo</w:t>
            </w:r>
          </w:p>
        </w:tc>
      </w:tr>
      <w:t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F3</w:t>
            </w:r>
          </w:p>
        </w:tc>
        <w:tc>
          <w:tcPr>
            <w:tcW w:type="dxa" w:w="6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Esqueletos capitulares con fuente asignada por apartado</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Completo</w:t>
            </w:r>
          </w:p>
        </w:tc>
      </w:tr>
      <w:t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F4</w:t>
            </w:r>
          </w:p>
        </w:tc>
        <w:tc>
          <w:tcPr>
            <w:tcW w:type="dxa" w:w="6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Codificación manual de los indicadores I1 a I6</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Pendiente</w:t>
            </w:r>
          </w:p>
        </w:tc>
      </w:tr>
      <w:t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F5</w:t>
            </w:r>
          </w:p>
        </w:tc>
        <w:tc>
          <w:tcPr>
            <w:tcW w:type="dxa" w:w="6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Redacción del capítulo 1</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Pendiente</w:t>
            </w:r>
          </w:p>
        </w:tc>
      </w:tr>
      <w:t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F6</w:t>
            </w:r>
          </w:p>
        </w:tc>
        <w:tc>
          <w:tcPr>
            <w:tcW w:type="dxa" w:w="6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Redacción del capítulo 2</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Pendiente</w:t>
            </w:r>
          </w:p>
        </w:tc>
      </w:tr>
      <w:t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F7</w:t>
            </w:r>
          </w:p>
        </w:tc>
        <w:tc>
          <w:tcPr>
            <w:tcW w:type="dxa" w:w="6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Redacción de los capítulos 3 y 4</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Pendiente</w:t>
            </w:r>
          </w:p>
        </w:tc>
      </w:tr>
      <w:tr>
        <w:tc>
          <w:tcPr>
            <w:tcW w:type="dxa" w:w="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F8</w:t>
            </w:r>
          </w:p>
        </w:tc>
        <w:tc>
          <w:tcPr>
            <w:tcW w:type="dxa" w:w="66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Introducción, conclusiones y revisión de estilo</w:t>
            </w:r>
          </w:p>
        </w:tc>
        <w:tc>
          <w:tcPr>
            <w:tcW w:type="dxa" w:w="18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0"/>
                <w:szCs w:val="20"/>
              </w:rPr>
              <w:t xml:space="preserve">Pendiente</w:t>
            </w:r>
          </w:p>
        </w:tc>
      </w:tr>
    </w:tbl>
    <w:p>
      <w:r>
        <w:br w:type="page"/>
      </w:r>
    </w:p>
    <w:p>
      <w:pPr>
        <w:pStyle w:val="Heading1"/>
        <w:spacing w:after="200" w:before="320" w:line="480"/>
      </w:pPr>
      <w:r>
        <w:rPr>
          <w:rFonts w:ascii="Times New Roman" w:cs="Times New Roman" w:eastAsia="Times New Roman" w:hAnsi="Times New Roman"/>
          <w:b/>
          <w:bCs/>
          <w:sz w:val="24"/>
          <w:szCs w:val="24"/>
        </w:rPr>
        <w:t xml:space="preserve">Referencias</w:t>
      </w:r>
    </w:p>
    <w:p>
      <w:pPr>
        <w:spacing w:after="0" w:line="480"/>
        <w:ind w:left="720" w:hanging="720"/>
        <w:jc w:val="left"/>
      </w:pPr>
      <w:r>
        <w:rPr>
          <w:rFonts w:ascii="Times New Roman" w:cs="Times New Roman" w:eastAsia="Times New Roman" w:hAnsi="Times New Roman"/>
          <w:sz w:val="24"/>
          <w:szCs w:val="24"/>
        </w:rPr>
        <w:t xml:space="preserve">Amaya Navarro, A. (2015). The tapestry of reason: An inquiry into the nature of coherence and its role in legal argument. Hart Publishing.</w:t>
      </w:r>
    </w:p>
    <w:p>
      <w:pPr>
        <w:spacing w:after="0" w:line="480"/>
        <w:ind w:left="720" w:hanging="720"/>
        <w:jc w:val="left"/>
      </w:pPr>
      <w:r>
        <w:rPr>
          <w:rFonts w:ascii="Times New Roman" w:cs="Times New Roman" w:eastAsia="Times New Roman" w:hAnsi="Times New Roman"/>
          <w:sz w:val="24"/>
          <w:szCs w:val="24"/>
        </w:rPr>
        <w:t xml:space="preserve">Andrés Ibáñez, P. (1992). Acerca de la motivación de los hechos en la sentencia penal. Doxa, 12, 257-299.</w:t>
      </w:r>
    </w:p>
    <w:p>
      <w:pPr>
        <w:spacing w:after="0" w:line="480"/>
        <w:ind w:left="720" w:hanging="720"/>
        <w:jc w:val="left"/>
      </w:pPr>
      <w:r>
        <w:rPr>
          <w:rFonts w:ascii="Times New Roman" w:cs="Times New Roman" w:eastAsia="Times New Roman" w:hAnsi="Times New Roman"/>
          <w:sz w:val="24"/>
          <w:szCs w:val="24"/>
        </w:rPr>
        <w:t xml:space="preserve">Ferrer Beltrán, J. (2007). La valoración racional de la prueba. Marcial Pons.</w:t>
      </w:r>
    </w:p>
    <w:p>
      <w:pPr>
        <w:spacing w:after="0" w:line="480"/>
        <w:ind w:left="720" w:hanging="720"/>
        <w:jc w:val="left"/>
      </w:pPr>
      <w:r>
        <w:rPr>
          <w:rFonts w:ascii="Times New Roman" w:cs="Times New Roman" w:eastAsia="Times New Roman" w:hAnsi="Times New Roman"/>
          <w:sz w:val="24"/>
          <w:szCs w:val="24"/>
        </w:rPr>
        <w:t xml:space="preserve">Gascón Abellán, M. (2010). Los hechos en el derecho: Bases argumentales de la prueba (3.ª ed.). Marcial Pons.</w:t>
      </w:r>
    </w:p>
    <w:p>
      <w:pPr>
        <w:spacing w:after="0" w:line="480"/>
        <w:ind w:left="720" w:hanging="720"/>
        <w:jc w:val="left"/>
      </w:pPr>
      <w:r>
        <w:rPr>
          <w:rFonts w:ascii="Times New Roman" w:cs="Times New Roman" w:eastAsia="Times New Roman" w:hAnsi="Times New Roman"/>
          <w:sz w:val="24"/>
          <w:szCs w:val="24"/>
        </w:rPr>
        <w:t xml:space="preserve">González Lagier, D. (2005). La inferencia probatoria. En Quaestio facti: Ensayos sobre prueba, causalidad y acción (pp. 53-112). Temis-Palestra.</w:t>
      </w:r>
    </w:p>
    <w:p>
      <w:pPr>
        <w:spacing w:after="0" w:line="480"/>
        <w:ind w:left="720" w:hanging="720"/>
        <w:jc w:val="left"/>
      </w:pPr>
      <w:r>
        <w:rPr>
          <w:rFonts w:ascii="Times New Roman" w:cs="Times New Roman" w:eastAsia="Times New Roman" w:hAnsi="Times New Roman"/>
          <w:sz w:val="24"/>
          <w:szCs w:val="24"/>
        </w:rPr>
        <w:t xml:space="preserve">Laudan, L. (2005). Por qué un estándar de prueba subjetivo y ambiguo no es un estándar. Doxa, 28, 95-113.</w:t>
      </w:r>
    </w:p>
    <w:p>
      <w:pPr>
        <w:spacing w:after="0" w:line="480"/>
        <w:ind w:left="720" w:hanging="720"/>
        <w:jc w:val="left"/>
      </w:pPr>
      <w:r>
        <w:rPr>
          <w:rFonts w:ascii="Times New Roman" w:cs="Times New Roman" w:eastAsia="Times New Roman" w:hAnsi="Times New Roman"/>
          <w:sz w:val="24"/>
          <w:szCs w:val="24"/>
        </w:rPr>
        <w:t xml:space="preserve">Laudan, L. (2013). Verdad, error y proceso penal: Un ensayo sobre epistemología jurídica (C. Vázquez y E. Aguilera, trads.). Marcial Pons.</w:t>
      </w:r>
    </w:p>
    <w:p>
      <w:pPr>
        <w:spacing w:after="0" w:line="480"/>
        <w:ind w:left="720" w:hanging="720"/>
        <w:jc w:val="left"/>
      </w:pPr>
      <w:r>
        <w:rPr>
          <w:rFonts w:ascii="Times New Roman" w:cs="Times New Roman" w:eastAsia="Times New Roman" w:hAnsi="Times New Roman"/>
          <w:sz w:val="24"/>
          <w:szCs w:val="24"/>
        </w:rPr>
        <w:t xml:space="preserve">Monsiváis Carrillo, A. (2021). Integridad electoral, interés en la política y satisfacción con la democracia en México. Foro Internacional, 61(4), 881-923.</w:t>
      </w:r>
    </w:p>
    <w:p>
      <w:pPr>
        <w:spacing w:after="0" w:line="480"/>
        <w:ind w:left="720" w:hanging="720"/>
        <w:jc w:val="left"/>
      </w:pPr>
      <w:r>
        <w:rPr>
          <w:rFonts w:ascii="Times New Roman" w:cs="Times New Roman" w:eastAsia="Times New Roman" w:hAnsi="Times New Roman"/>
          <w:sz w:val="24"/>
          <w:szCs w:val="24"/>
        </w:rPr>
        <w:t xml:space="preserve">Nieva Fenoll, J. (2010). La valoración de la prueba. Marcial Pons.</w:t>
      </w:r>
    </w:p>
    <w:p>
      <w:pPr>
        <w:spacing w:after="0" w:line="480"/>
        <w:ind w:left="720" w:hanging="720"/>
        <w:jc w:val="left"/>
      </w:pPr>
      <w:r>
        <w:rPr>
          <w:rFonts w:ascii="Times New Roman" w:cs="Times New Roman" w:eastAsia="Times New Roman" w:hAnsi="Times New Roman"/>
          <w:sz w:val="24"/>
          <w:szCs w:val="24"/>
        </w:rPr>
        <w:t xml:space="preserve">Nohlen, D. (2016). Arquitectura institucional, contexto sociocultural e integridad electoral. Desafíos, 28(1), 429-453.</w:t>
      </w:r>
    </w:p>
    <w:p>
      <w:pPr>
        <w:spacing w:after="0" w:line="480"/>
        <w:ind w:left="720" w:hanging="720"/>
        <w:jc w:val="left"/>
      </w:pPr>
      <w:r>
        <w:rPr>
          <w:rFonts w:ascii="Times New Roman" w:cs="Times New Roman" w:eastAsia="Times New Roman" w:hAnsi="Times New Roman"/>
          <w:sz w:val="24"/>
          <w:szCs w:val="24"/>
        </w:rPr>
        <w:t xml:space="preserve">Norris, P. (2014). Why electoral integrity matters. Cambridge University Press.</w:t>
      </w:r>
    </w:p>
    <w:p>
      <w:pPr>
        <w:spacing w:after="0" w:line="480"/>
        <w:ind w:left="720" w:hanging="720"/>
        <w:jc w:val="left"/>
      </w:pPr>
      <w:r>
        <w:rPr>
          <w:rFonts w:ascii="Times New Roman" w:cs="Times New Roman" w:eastAsia="Times New Roman" w:hAnsi="Times New Roman"/>
          <w:sz w:val="24"/>
          <w:szCs w:val="24"/>
        </w:rPr>
        <w:t xml:space="preserve">Taruffo, M. (2013). Verdad, prueba y motivación en la decisión sobre los hechos. Tribunal Electoral del Poder Judicial de la Federación.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2026-08-08T08:37:50.856Z</dcterms:created>
  <dcterms:modified xsi:type="dcterms:W3CDTF">2026-08-08T08:37:50.857Z</dcterms:modified>
</cp:coreProperties>
</file>

<file path=docProps/custom.xml><?xml version="1.0" encoding="utf-8"?>
<Properties xmlns="http://schemas.openxmlformats.org/officeDocument/2006/custom-properties" xmlns:vt="http://schemas.openxmlformats.org/officeDocument/2006/docPropsVTypes"/>
</file>