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14:paraId="35FB8274" w14:textId="77777777" w:rsidR="00A32EF9" w:rsidRDefault="00E354C7">
      <w:pPr>
        <w:spacing w:before="0" w:after="0" w:line="360" w:lineRule="auto"/>
        <w:ind w:firstLine="0"/>
        <w:jc w:val="both"/>
      </w:pPr>
      <w:r>
        <w:rPr>
          <w:rFonts w:ascii="Arial" w:eastAsia="Arial" w:hAnsi="Arial" w:cs="Arial"/>
          <w:color w:val="000000"/>
          <w:sz w:val="24"/>
          <w:szCs w:val="24"/>
        </w:rPr>
        <w:t xml:space="preserve">Article 16 of Mexico's General Law of the System of Means of Impugnation in Electoral Matters (LGSMIME) requires judges to weigh evidence according to logic, sound criticism, and experience, yet conditions its sufficiency on the judge's conviction, a psychologistic criterion detached from any objective threshold. This hybrid clause has remained largely unchanged in Mexican electoral case law for twenty-five years, undermining the rationality of fact-finding in electoral litigation. This thesis examines the extent to which this absence of an objective standard of proof compromises rational adjudication of the facts, and proposes a legislative design able to correct this deficiency without sacrificing the circumstantial nature of the evidence available in this field. The study follows a qualitative, documentary and dogmatic methodology, of descriptive and explanatory scope, complemented by a comparative approach to Spanish, Italian, and Anglo-American procedural doctrine and by a case analysis of the ruling SUP-JIN-194/2025. The analysis traced the hybrid clause to its earliest documented judicial application in SUP-JRC-487/2000, and found that this formula persisted virtually unchanged for a quarter of a century, while judicial awareness of the underlying problem has only recently emerged in a single dissenting opinion. The study also identified a category mistake between sound criticism and standard of proof running through the doctrine on the determinative effect of electoral irregularities. On this basis, the thesis confirms its hypothesis and formulates a qualitative standard of proof, grounded in the criteria of best explanation and evidentiary completeness,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60" w:line="276"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14:paraId="35FB827D" w14:textId="77777777" w:rsidR="00A32EF9" w:rsidRPr="002F44CB" w:rsidRDefault="00E354C7" w:rsidP="002F44CB">
      <w:pPr>
        <w:spacing w:before="0" w:after="0" w:line="360" w:lineRule="auto"/>
        <w:ind w:firstLine="0"/>
        <w:jc w:val="both"/>
      </w:pPr>
      <w:r>
        <w:rPr>
          <w:rFonts w:ascii="Arial" w:eastAsia="Arial" w:hAnsi="Arial" w:cs="Arial"/>
          <w:color w:val="000000"/>
          <w:sz w:val="24"/>
          <w:szCs w:val="24"/>
        </w:rPr>
        <w:t xml:space="preserve">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fija el criterio conforme al cual deben valorarse las pruebas, y lo hace mediante una fórmula que combina un vocabulario racionalista, la lógica, la sana crítica y la experiencia, con un vocabulario psicologista, la convicción del juzgador. Esta investigación estudia esa fórmula y la carencia que encubre.</w:t>
      </w:r>
    </w:p>
    <w:p w14:paraId="35FB827E"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propios de la materia electoral permite corregir esa carencia sin sacrificar la naturaleza indiciaria de la prueba disponible.</w:t>
      </w:r>
    </w:p>
    <w:p w14:paraId="35FB8281"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correspondencia entre ellas.</w:t>
      </w:r>
    </w:p>
    <w:p w14:paraId="35FB8284"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 </w:t>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14:paraId="35FB8289" w14:textId="77777777" w:rsidR="00A32EF9" w:rsidRPr="002F44CB" w:rsidRDefault="00E354C7">
      <w:pPr>
        <w:spacing w:before="0" w:after="0" w:line="360" w:lineRule="auto"/>
        <w:ind w:firstLine="0"/>
        <w:jc w:val="both"/>
      </w:pPr>
      <w:r>
        <w:rPr>
          <w:rFonts w:ascii="Arial" w:eastAsia="Arial" w:hAnsi="Arial" w:cs="Arial"/>
          <w:color w:val="000000"/>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diagnóstico crítico que se desarrolla en el capítulo segundo.</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14:paraId="00DCF6A6" w14:textId="11DB6903" w:rsidR="00816622" w:rsidRPr="00816622" w:rsidRDefault="00816622" w:rsidP="00816622">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llega a los criterios del Tribunal Electoral del Poder Judicial de la Federación. Después examina las críticas al uso forense de la adminiculación y la deslinda del estándar de prueba. Un caso hipotético cierra el apartado. </w:t>
      </w:r>
    </w:p>
    <w:p w14:paraId="3926A04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la abolición del tormento, la prueba por indicios quedó atrapada en trabas demasiado estrechas. Mittermaier relata que las leyes alemanas de su tiempo resolvieron el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Mittermaier propuso una tesis más audaz.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14:paraId="4D516E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esa tesis, Mittermaier elaboró una definición que conserva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La definición exige dos hechos. Uno debe estar comprobado. El otro todavía no es manifiesto y se demuestra raciocinando desde el conocido. El autor recurrió a la etimología para ilustrar la idea. El indicio sería 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Aislado, el indicio contiene un hecho diferente sin mayor </w:t>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Ahora bien, Mittermaier no ignoró la fragilidad de la inferencia.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La relación que el juez cree ver entre dos hechos puede ser del todo nula. La coincidencia temporal que atrae la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w:t>
      </w:r>
    </w:p>
    <w:p w14:paraId="1E4F00B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base, 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Se convierte en indicio cuando una regla de experiencia lo pone en relación lógica con el hecho a probar. De ahí deriva el carácter esencialmente relativo de los indicios.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el tránsito hacia la libre valoración tuvo una expresión legislativa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Su artículo 148 permitía calificar el dicho de los testigos conforme a esas reglas. La fórmula pasó después al artículo 317 de la Ley de Enjuiciamiento Civil de 1855. Según Benfeld, su propósito fue </w:t>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w:t>
      </w:r>
    </w:p>
    <w:p w14:paraId="08C0CF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Precisado su origen, el indicio debe distinguirse de las figuras con las que suele confundirse. La práctica judicial utiliza como sinónimos los términos indicio, presunción y prueba circunstancial. Esta indistinción tiene raíces antiguas. Mittermaier afirmó que indicio y presunción eran expresiones sinónimas en el fondo.</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Añadió que prácticos y legisladores las empleaban de manera indiferente. La doctrina posterior se dividió frente a esa sinonimia.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 compartir la misma estructura. La corriente mayoritaria, atribuida a Framarino dei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este orden de ideas, la epistemología jurídica contemporánea ofrece una distinción más precisa.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Los hechos probatorios funcionan como razones. El hecho a probar funciona como pretensión o hipótesis.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lastRenderedPageBreak/>
        <w:t>De lo anterior se desprende la diferencia de fondo entre máxima de experiencia y presunción.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Las máximas de experiencia, en cambio, carecen de esa autoridad y valen solo por su fundamento empírico. Las presunciones pueden verse como máximas institucionalizadas.</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Aunado a lo anterior, Igartua Salaverría introduce una distinción terminológica de gran utilidad analítica.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14:paraId="6BD9B2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Bajo esa lógica, la distinción tradicional entre prueba directa e indirecta pierde nitidez. Gascón Abellán advierte que, si se atiende al carácter mediato del conocimiento, todas las pruebas de hechos pasados son indirectas.</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Solo la observación inmediata del juez sería prueba directa en sentido estricto. González Lagier llega a una conclusión semejante.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w:t>
        <w:lastRenderedPageBreak/>
        <w:t>automático al hecho narrado, mientras que el indicio requiere una regularidad empírica de fuerza variable.</w:t>
      </w:r>
    </w:p>
    <w:p w14:paraId="15BCE4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distinción adoptada en esta investigación tiene una utilidad que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primera de las críticas que se formulan más adelante.</w:t>
      </w:r>
    </w:p>
    <w:p w14:paraId="42308E8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Delimitado el concepto, cabe examinar las clases de indicios. La doctrina clásica los clasificó según la fuerza de su enlace con el hecho a probar. La distinción más difundida separa los indicios necesarios de los contingentes. Según la exposición de Cortés Coto, Framarino dei Malatesta definió los necesarios como aquellos que revelan una causa determinada mediante una relación constante de </w:t>
        <w:lastRenderedPageBreak/>
        <w:t>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Los contingentes, en cambio, revelan de modo más o menos probable cierta causa 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No obstante, Carnelutti cuestionó el valor teórico de estas clasificaciones.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estas clasificaciones se explica la exigencia de pluralidad. Si el indicio contingente solo engendra probabilidad, un indicio aislado no puede fundar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Refirió que la ley austriaca de 1833 exigía, en principio, la reunión de tres indicios. Sin embargo, el autor advirtió un límite fundamental.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w:t>
      </w:r>
    </w:p>
    <w:p w14:paraId="2039CF2F"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Como consecuencia de lo anterior, la pluralidad no es un requisito aritmético. Lo relevante es la independencia de las fuentes y la variedad de los datos. González Lagier </w:t>
        <w:lastRenderedPageBreak/>
        <w:t>sostiene que un solo hecho probatorio muy fiable puede pesar más que varios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Añade que la variedad de los datos refuerza la confirmación. Siguiendo a Cohen, explica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La confirmación de una hipótesis depende de la cantidad de datos favorables y también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la pluralidad, la presencia de contraindicios debilita el conjunto. Mittermaier distinguió dos clases de hechos favorables al acusado.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Los primeros impiden atribuirle el hecho.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3C27A96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el punto de partida.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ese contexto, la primera tarea consiste en identificar el tipo de razonamiento que subyace a la inferencia probatoria. González Lagier examina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premisa, la solidez de la inferencia se evalúa mediante criterios graduales. González Lagier los organiza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lastRenderedPageBreak/>
        <w:t>hipótesis derivadas. También pregunta si se eliminaron las hipótesis alternativas. Finalmente, pregunta si la hipótesis es coherente y simple.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además, cumplimiento en mayor o menor medida.</w:t>
      </w:r>
    </w:p>
    <w:p w14:paraId="63550E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Este catálogo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traducen al plano institucional pautas epistemológicas.</w:t>
      </w:r>
    </w:p>
    <w:p w14:paraId="5123CD1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Frente a la garantía, el análisis exige cuidado particular.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También recomienda desconfiar de las reglas construidas </w:t>
      </w:r>
      <w:r>
        <w:rPr>
          <w:rFonts w:ascii="Arial" w:eastAsia="Arial" w:hAnsi="Arial" w:cs="Arial"/>
          <w:i/>
          <w:iCs/>
          <w:color w:val="000000"/>
          <w:sz w:val="24"/>
          <w:szCs w:val="24"/>
        </w:rPr>
        <w:t>ad hoc</w:t>
      </w:r>
      <w:r>
        <w:rPr>
          <w:rFonts w:ascii="Arial" w:eastAsia="Arial" w:hAnsi="Arial" w:cs="Arial"/>
          <w:color w:val="000000"/>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Aunado a lo anterior, Igartua precisa la diferencia entre la valoración individual y la valoración conjunta. Primero se valora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Solo después se decanta cada elemento como prueba estricta o como indicio. La distinción entre ambas categorías no precede a la valoración, sino que resulta de ella. Luego se inaugura la valoración conjunta. En esta segunda fase cobran sentido la </w:t>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Por su parte, Igartua propone una imagen para comprender la valoración conjunta.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Dentro de este marco, la corroboración conjunta no es automática.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Sin embargo, la combinación no siempre es más fuerte que sus partes. Solo a veces lo es. Todo depende de cómo están unidos los indicios. De ahí que Igartua concluya que los indicios deben resultar concluyentes al unirse. Mittermaier había intuido el mismo fenómeno.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uno suministra la suministra también el otro y, por ello, la confirma.</w:t>
      </w:r>
    </w:p>
    <w:p w14:paraId="12A1C5A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procede del latín </w:t>
      </w:r>
      <w:r>
        <w:rPr>
          <w:rFonts w:ascii="Arial" w:eastAsia="Arial" w:hAnsi="Arial" w:cs="Arial"/>
          <w:i/>
          <w:iCs/>
          <w:color w:val="000000"/>
          <w:sz w:val="24"/>
          <w:szCs w:val="24"/>
        </w:rPr>
        <w:t>adminiculum</w:t>
      </w:r>
      <w:r>
        <w:rPr>
          <w:rFonts w:ascii="Arial" w:eastAsia="Arial" w:hAnsi="Arial" w:cs="Arial"/>
          <w:color w:val="000000"/>
          <w:sz w:val="24"/>
          <w:szCs w:val="24"/>
        </w:rPr>
        <w:t xml:space="preserve">, que designa un apoyo o sostén. Su uso procesal es antiguo.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Designaba varios testimonios que versaban sobre hechos distintos, pero que se sucedían y se completaban entre sí. El juez debía hacerse cargo de todos y de su íntimo enlace. El </w:t>
        <w:lastRenderedPageBreak/>
        <w:t>mismo autor empleó la voz adminículos en otro sentido.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el derecho mexicano vigente, la adminiculación tiene un anclaje legal expreso en materia electoral.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Reprochó a la mayoría no analizar de manera exhaustiva cada una de las pruebas antes de declarar su insuficiencia. La mayoría, por su parte, </w:t>
        <w:lastRenderedPageBreak/>
        <w:t>sostuvo que diversas presunciones abstractas no se contrastaron con otras hipótesis posibles.</w:t>
      </w:r>
    </w:p>
    <w:p w14:paraId="614A46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ese precedente, los tribunales colegiados trasladaron la doctrina al sistema acusatorio.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r>
        <w:rPr>
          <w:rFonts w:ascii="Arial" w:eastAsia="Arial" w:hAnsi="Arial" w:cs="Arial"/>
          <w:i/>
          <w:iCs/>
          <w:color w:val="000000"/>
          <w:sz w:val="24"/>
          <w:szCs w:val="24"/>
        </w:rPr>
        <w:t>iter</w:t>
      </w:r>
      <w:r>
        <w:rPr>
          <w:rFonts w:ascii="Arial" w:eastAsia="Arial" w:hAnsi="Arial" w:cs="Arial"/>
          <w:color w:val="000000"/>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ese método, la Sala Superior emitió criterios sobre pruebas de bajo valor autónomo. La jurisprudencia 38/2002 estableció que las notas periodísticas </w:t>
        <w:lastRenderedPageBreak/>
        <w:t>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Su fuerza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Asimismo, la Sala Superior vinculó la prueba indiciaria con el carácter determinante de las irregularidades.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59"/>
      </w:r>
    </w:p>
    <w:p w14:paraId="44A5B16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lastRenderedPageBreak/>
        <w:t>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Al aplicar ese marco, la Sala Superior desestimó la pretensión de nulidad.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muestra el grado de desarrollo de la doctrina jurisdiccional. Los requisitos enunciados coinciden con los criterios de solidez descritos por González Lagier. Además,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que sigue.</w:t>
      </w:r>
    </w:p>
    <w:p w14:paraId="598C049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Esa crítica se articula en cinco objeciones. La primera se dirige contra la fórmula de la valoración conjunta cuando se emplea sin motivación analítica. Igartua advierte que el calificativo conjunta parece eximir de toda glosa.</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Esa dejación convierte la valoración conjunta en el baluarte de la valoración más subjetiva e incontrolable. El autor describe dos imágenes opuestas. La correcta es la de </w:t>
        <w:lastRenderedPageBreak/>
        <w:t>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La segunda crítica atañe al conteo indebido de indicios. La pluralidad puede simularse mediante la fragmentación de un mismo hecho en varios enunciados.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El mismo peligro aparece cuando varias notas periodísticas reproducen una única fuente. En tal caso, la coincidencia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14:paraId="096F214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cuarta crítica recae sobre el riesgo inverso, es decir,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Ese riesgo aparece si los criterios se aplican como requisitos mecánicos y no como pautas graduales. La historia confirma la advertencia. La ley </w:t>
        <w:lastRenderedPageBreak/>
        <w:t>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2BA6F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conduce a deslindar la adminiculación del estándar de prueba. Una confusión frecuente consiste en tratar la adminiculación como si fuera un estándar de prueba. La distinción se aclara con la teoría de los momentos de la actividad probatoria. Ferrer Beltrán distingue tres momentos.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Sobre esa distinción descansa una consecuencia metodológica central. Ferrer Beltrán afirma que el resultado de la valoración no implica por sí solo nada respecto de </w:t>
        <w:lastRenderedPageBreak/>
        <w:t>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Responde a los valores en juego en cada tipo de proceso. Igartua coincide en que compete al legislador fijar el </w:t>
      </w:r>
      <w:r>
        <w:rPr>
          <w:rFonts w:ascii="Arial" w:eastAsia="Arial" w:hAnsi="Arial" w:cs="Arial"/>
          <w:i/>
          <w:iCs/>
          <w:color w:val="000000"/>
          <w:sz w:val="24"/>
          <w:szCs w:val="24"/>
        </w:rPr>
        <w:t>quantum</w:t>
      </w:r>
      <w:r>
        <w:rPr>
          <w:rFonts w:ascii="Arial" w:eastAsia="Arial" w:hAnsi="Arial" w:cs="Arial"/>
          <w:color w:val="000000"/>
          <w:sz w:val="24"/>
          <w:szCs w:val="24"/>
        </w:rPr>
        <w:t xml:space="preserve"> de prueba exigido.</w:t>
      </w:r>
      <w:r>
        <w:rPr>
          <w:rFonts w:ascii="Arial" w:eastAsia="Arial" w:hAnsi="Arial" w:cs="Arial"/>
          <w:color w:val="000000"/>
          <w:sz w:val="24"/>
          <w:szCs w:val="24"/>
          <w:vertAlign w:val="superscript"/>
        </w:rPr>
        <w:footnoteReference w:id="75"/>
      </w:r>
    </w:p>
    <w:p w14:paraId="147187B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lastRenderedPageBreak/>
        <w:t>discrecionalidad. En ella, dos tribunales pueden aplicar correctamente la adminiculación y llegar a decisiones opuestas.</w:t>
      </w:r>
    </w:p>
    <w:p w14:paraId="626F5D4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adminiculador justifica el estudio del estándar de prueba. Ese estudio constituye el objeto del apartado 1.2.</w:t>
      </w:r>
    </w:p>
    <w:p w14:paraId="5DAA9FD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Antes de emprender ese estudio, un caso hipotético permite mostrar la operatividad de los criterios expuestos. El caso se construye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es real. En términos de González Lagier, se cumplen los criterios de fiabilidad, variedad y pertinencia.</w:t>
      </w:r>
    </w:p>
    <w:p w14:paraId="5195E47E" w14:textId="55DDE79F" w:rsidR="00F45A1B" w:rsidRPr="00943E92" w:rsidRDefault="00816622" w:rsidP="00943E92">
      <w:pPr>
        <w:spacing w:before="0" w:after="0" w:line="360" w:lineRule="auto"/>
        <w:ind w:firstLine="709"/>
        <w:jc w:val="both"/>
      </w:pPr>
      <w:r>
        <w:rPr>
          <w:rFonts w:ascii="Arial" w:eastAsia="Arial" w:hAnsi="Arial" w:cs="Arial"/>
          <w:color w:val="000000"/>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14:paraId="4A3F9D7D" w14:textId="77777777" w:rsidR="00657C4E" w:rsidRPr="00657C4E" w:rsidRDefault="00657C4E" w:rsidP="00657C4E">
      <w:pPr>
        <w:spacing w:before="0" w:after="0" w:line="360" w:lineRule="auto"/>
        <w:ind w:firstLine="0"/>
        <w:jc w:val="both"/>
      </w:pPr>
      <w:r>
        <w:rPr>
          <w:rFonts w:ascii="Arial" w:eastAsia="Arial" w:hAnsi="Arial" w:cs="Arial"/>
          <w:color w:val="000000"/>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 Para demostrarlo, plantea el problema en la legislación electoral y reconstruye la genealogía de la distinción. Después ubica cada figura en los momentos de la actividad probatoria y explica la naturaleza normativa y las funciones del estándar. Enseguida lo deslinda de la carga de la prueba y de la sana crítica. También critica la convicción del juzgador como criterio de suficiencia. Por último, examina la recepción de la distinción en el derecho mexicano, las consecuencias de ignorarla y los criterios para identificar un auténtico estándar.</w:t>
      </w:r>
    </w:p>
    <w:p w14:paraId="685713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w:t>
      </w:r>
    </w:p>
    <w:p w14:paraId="6F98B21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este orden de ideas, la legislación electoral mexicana ofrece un ejemplo claro del problema.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a continuación.</w:t>
      </w:r>
    </w:p>
    <w:p w14:paraId="646B480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Su desarrollo exige reconstruir primero el origen histórico de la distinción. La historia de los estándares de prueba comienza,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lastRenderedPageBreak/>
        <w:t>medios. Esta característica la distingue de los estándares contemporáneos, como se verá más adelante.</w:t>
      </w:r>
    </w:p>
    <w:p w14:paraId="02B671A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la prueba legal, la Ilustración proclamó el principio de libre convicción.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Por su parte, la tradición angloamericana siguió un camino distinto en apariencia. 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Autores como Locke y Wilkins distinguían la certeza moral </w:t>
        <w:lastRenderedPageBreak/>
        <w:t xml:space="preserve">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Commonwealth v. Webster</w:t>
      </w:r>
      <w:r>
        <w:rPr>
          <w:rFonts w:ascii="Arial" w:eastAsia="Arial" w:hAnsi="Arial" w:cs="Arial"/>
          <w:color w:val="000000"/>
          <w:sz w:val="24"/>
          <w:szCs w:val="24"/>
        </w:rPr>
        <w:t xml:space="preserve"> de 1850. En 1970, la Corte Suprema de los Estados Unidos le otorgó rango constitucional en el caso </w:t>
      </w:r>
      <w:r>
        <w:rPr>
          <w:rFonts w:ascii="Arial" w:eastAsia="Arial" w:hAnsi="Arial" w:cs="Arial"/>
          <w:i/>
          <w:iCs/>
          <w:color w:val="000000"/>
          <w:sz w:val="24"/>
          <w:szCs w:val="24"/>
        </w:rPr>
        <w:t>In re Winship</w:t>
      </w:r>
      <w:r>
        <w:rPr>
          <w:rFonts w:ascii="Arial" w:eastAsia="Arial" w:hAnsi="Arial" w:cs="Arial"/>
          <w:color w:val="000000"/>
          <w:sz w:val="24"/>
          <w:szCs w:val="24"/>
        </w:rPr>
        <w:t>.</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no se concibió como un estándar máximo, sino como una instrucción para jurados.</w:t>
      </w:r>
    </w:p>
    <w:p w14:paraId="6623C25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Posteriormente,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diversificó sus fórmulas de suficiencia.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ella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En el vértice quedó el más allá de toda duda razonable. Para este autor, los tres estándares recuerdan poderosamente a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La doctrina alemana, por su parte, elaboró la noción de </w:t>
      </w:r>
      <w:r>
        <w:rPr>
          <w:rFonts w:ascii="Arial" w:eastAsia="Arial" w:hAnsi="Arial" w:cs="Arial"/>
          <w:i/>
          <w:iCs/>
          <w:color w:val="000000"/>
          <w:sz w:val="24"/>
          <w:szCs w:val="24"/>
        </w:rPr>
        <w:t>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Glaubhaftmachung</w:t>
      </w:r>
      <w:r>
        <w:rPr>
          <w:rFonts w:ascii="Arial" w:eastAsia="Arial" w:hAnsi="Arial" w:cs="Arial"/>
          <w:color w:val="000000"/>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la diferencia entre ambas tradiciones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reside en la formulación subjetiva de esas fórmulas.</w:t>
      </w:r>
    </w:p>
    <w:p w14:paraId="2816CA9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formulaciones legislativas comparadas confirman que la mayoría de las legislaciones enlaza el resultado probatorio con el convencimiento del juzgador. Ferrer Beltrán reúne esos ejemplos para mostrar un mismo patrón.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En todos ellos, que un hecho esté probado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w:t>
        <w:lastRenderedPageBreak/>
        <w:t>vinculación a proceso. Tampoco precisa el grado de probabilidad requerido. Ferrer resume ese vicio con una fórmula crítica. El legislador se limita a indicar que la prueba será suficiente cuando sea suficiente.</w:t>
      </w:r>
    </w:p>
    <w:p w14:paraId="45C4D55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Superar ese vicio exige ubicar cada figura en su lugar. La distinción entre valoración y estándar se comprende mejor a partir de la teoría de los momentos de la actividad probatoria.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el segundo momento tiene un contenido específico.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La valoración individual analiza la fiabilidad de cada prueba.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Sobre esa base, el tercer momento añade algo que la valoración no puede proporcionar. Ferrer sostiene que la valoración nunca basta para tomar una decisión </w:t>
        <w:lastRenderedPageBreak/>
        <w:t>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Se necesita un criterio que determine si el grado de corroboración alcanzado es suficiente. En este sentido, afirma que las pruebas subdeterminan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Sostuvo que el ejercicio inferencial es válido, pero que su resultado debe satisfacer el umbral de la duda razonable. La inferencia y el umbral quedan así en planos distintos.</w:t>
      </w:r>
    </w:p>
    <w:p w14:paraId="37A4A17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Si el estándar pertenece al momento de la decisión, debe precisarse quién fija su nivel. La tesis central de la epistemología jurídica contemporánea sobre este punto es que la epistemología no fija el umbral de suficiencia. Carmen Vázquez lo formula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la misma línea, Ferrer Beltrán sostiene que la decisión sobre el umbral no es en absoluto epistemológica.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lastRenderedPageBreak/>
        <w:t>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w:t>
      </w:r>
    </w:p>
    <w:p w14:paraId="7B46870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Esta naturaleza normativa se explica por la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Hay un falso positivo cuando se declara probada una hipótesis falsa. Hay un falso negativo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Ahora bien, 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este panorama, cabría pensar que la filosofía moral podría fijar el umbral correcto.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Las teorías deontológicas pueden afirmar que una condena falsa es peor que una absolución falsa. Sin embargo, no pueden determinar cuánto peor es. Laudan ilustra el problema con la llamada ratio de Blackstone. </w:t>
        <w:lastRenderedPageBreak/>
        <w:t>Maimónides proponía una proporción de mil a uno, Franklin de cien a uno, Hale de cinco a uno y Voltaire de dos a uno. Esas estimaciones difieren en un factor de quinientos.</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Ninguna fue defendida con argumentos, sino presentada como evidente. En consecuencia, la fijación del umbral requiere una decisión institucional explícita y no una intuición moral de cada juzgador.</w:t>
      </w:r>
    </w:p>
    <w:p w14:paraId="758BE36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Respecto de la función justificativa, Ferrer retoma a Gascón Abellán.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 xml:space="preserve">Un argumento recurrente contra los estándares los asimila a la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Para él, carga de la prueba y estándares provienen del antiguo sistema de valoración legal. En un sistema de libre valoración, los estándares serían simples remedos de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semiplena probatio</w:t>
      </w:r>
      <w:r>
        <w:rPr>
          <w:rFonts w:ascii="Arial" w:eastAsia="Arial" w:hAnsi="Arial" w:cs="Arial"/>
          <w:color w:val="000000"/>
          <w:sz w:val="24"/>
          <w:szCs w:val="24"/>
        </w:rPr>
        <w:t>. Además,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También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consideración, porque cuestiona la premisa de esta investigación.</w:t>
      </w:r>
    </w:p>
    <w:p w14:paraId="2041833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Ferrer Beltrán ofrece una réplica conceptual a esa objeción.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Si no es posible alcanzar certezas racionales, es imprescindible determinar qué grado de probabilidad basta. Esa labor no puede realizarla la valoración, que solo mide el grado de corroboración. Además, prueba tasada y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14:paraId="0C5313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Para ilustrar esa complementariedad, Ferrer retoma una analogía de Anderson, Schum y Twining.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0EEA041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distinción debe trazarse también frente a otras reglas de decisión. 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ambas figuras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Si ninguna hipótesis alcanza el umbral, el caso se resuelve a favor de una de las partes. La parte que tiene la carga soporta, por ello, un mayor riesgo.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primera opera cuando nadie alcanzó la suficiencia. El segundo define qué significa alcanzarla.</w:t>
      </w:r>
    </w:p>
    <w:p w14:paraId="6CDD7A1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Por su parte, Nieva Fenoll sostiene una tesis más radical sobre la carga objetiva. En su opinión, el concepto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Bajo la carga objetiva se describiría, en realidad, el nivel de convicción del juez. Por ello, el concepto resultaría redundante. Esta posición confirma, desde un ángulo distinto, que la </w:t>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la práctica jurisdiccional electoral, la confusión entre carga y estándar aparece con claridad. En el recurso SUP-REC-1388/2018, la Sala Superior invocó la presunción de determinancia prevista para diferencias menores al cinco por ciento.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Esa presunción es una regla de distribución de la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14:paraId="1B287E9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no un criterio de suficiencia. Así lo muestra su propio contenido.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la enuncia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Primero se valora la prueba y se determina el </w:t>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560DBC7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apelación a la convicción del juzgador como criterio de suficiencia es la manifestación más visible de la confusión examinada. Ferrer Beltrán ofrece tres razones independientes para rechazarla.</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Sobre esa base, Ferrer extrae una consecuencia constitucional.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La concepción subjetivista de la prueba, por ello,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w:t>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depende de un estado psicológico.</w:t>
      </w:r>
    </w:p>
    <w:p w14:paraId="16859F08"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Laudan formula una crítica paralela desde la tradición angloamericana.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Se trata de una relación entre enunciados y no de un estado psicológico.</w:t>
      </w:r>
    </w:p>
    <w:p w14:paraId="1F32A97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Aunado a lo anterior, 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Por último, la crítica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14:paraId="1B38B34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críticas anteriores permiten examinar cómo ha recibido la distinción el derecho mexicano. Este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El apartado B, fracción I,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Nieva Fenoll, por su parte, cita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Esa ambivalencia se refleja también en la doctrina nacional reciente.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A la vez, enumera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Tuzet. Un estándar es una regla de decisión posterior a la valoración.</w:t>
      </w:r>
    </w:p>
    <w:p w14:paraId="038EC93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materia electoral, la situación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Así ocurre en la causal </w:t>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Ante ese vacío, la jurisprudencia electoral ha fijado la exigencia de manera casuística.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Adujo que era imposible demostrar de manera directa las irregularidades.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Con todo, esa decisión política no se explicitó como tal. En la misma sentencia, la Sala Superior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p>
    <w:p w14:paraId="55233D30"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segunda consecuencia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Ese principio funciona como una presunción que solo se derrota con prueba suficiente. Ferrer advierte que toda presunción </w:t>
      </w:r>
      <w:r>
        <w:rPr>
          <w:rFonts w:ascii="Arial" w:eastAsia="Arial" w:hAnsi="Arial" w:cs="Arial"/>
          <w:i/>
          <w:iCs/>
          <w:color w:val="000000"/>
          <w:sz w:val="24"/>
          <w:szCs w:val="24"/>
        </w:rPr>
        <w:t>iuris tantum</w:t>
      </w:r>
      <w:r>
        <w:rPr>
          <w:rFonts w:ascii="Arial" w:eastAsia="Arial" w:hAnsi="Arial" w:cs="Arial"/>
          <w:color w:val="000000"/>
          <w:sz w:val="24"/>
          <w:szCs w:val="24"/>
        </w:rPr>
        <w:t xml:space="preserve"> </w:t>
        <w:lastRenderedPageBreak/>
        <w:t>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00358A2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del análisis precedente, pueden formularse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El examen detallado de estos requisitos corresponde al apartado 1.3.</w:t>
      </w:r>
    </w:p>
    <w:p w14:paraId="2100E16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Esas preguntas pueden aplicarse a las disposiciones analizadas. Su resultado es una interpretación propia de esta investigación. No pretende sustituir el análisis doctrinal, sino ordenarlo.</w:t>
      </w:r>
    </w:p>
    <w:p w14:paraId="09B41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lastRenderedPageBreak/>
        <w:t>las decisiones concretas de los tribunales. Señala, más bien, un déficit del diseño normativo. De ahí se sigue que el sistema electoral mexicano carece de un estándar de prueba en sentido estricto.</w:t>
      </w:r>
    </w:p>
    <w:p w14:paraId="66F6B88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14:paraId="76A337D8" w14:textId="77777777" w:rsidR="00E22D4B" w:rsidRPr="00E22D4B" w:rsidRDefault="00E22D4B" w:rsidP="00E22D4B">
      <w:pPr>
        <w:spacing w:before="0" w:after="0" w:line="360" w:lineRule="auto"/>
        <w:ind w:firstLine="0"/>
        <w:jc w:val="both"/>
      </w:pPr>
      <w:r>
        <w:rPr>
          <w:rFonts w:ascii="Arial" w:eastAsia="Arial" w:hAnsi="Arial" w:cs="Arial"/>
          <w:color w:val="000000"/>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segundo fija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lastRenderedPageBreak/>
        <w:t>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y analiza después cada uno de los cuatro requisitos. Enseguida aborda la función distributiva del estándar, las razones para fijar el umbral y algunos ejemplos de estándares válidos. Finalmente responde a las objeciones y aplica los requisitos a la prueba indiciaria en materia electoral.</w:t>
      </w:r>
    </w:p>
    <w:p w14:paraId="61831DC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Antes de exponer cada requisito se precisa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El análisis que sigue descansa en esa distinción entre lo metodológico y lo político. Permite afirmar que una fórmula puede ser defectuosa por su estructura aun cuando el nivel de exigencia que pretende expresar resulte razonable.</w:t>
      </w:r>
    </w:p>
    <w:p w14:paraId="2E351DA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combina la convicción del tribunal con la fórmula de la </w:t>
        <w:lastRenderedPageBreak/>
        <w:t>duda razonable.</w:t>
      </w:r>
      <w:r>
        <w:rPr>
          <w:rFonts w:ascii="Arial" w:eastAsia="Arial" w:hAnsi="Arial" w:cs="Arial"/>
          <w:color w:val="000000"/>
          <w:sz w:val="24"/>
          <w:szCs w:val="24"/>
          <w:vertAlign w:val="superscript"/>
        </w:rPr>
        <w:footnoteReference w:id="174"/>
      </w:r>
      <w:r>
        <w:rPr>
          <w:rFonts w:ascii="Arial" w:eastAsia="Arial" w:hAnsi="Arial" w:cs="Arial"/>
          <w:color w:val="000000"/>
          <w:sz w:val="24"/>
          <w:szCs w:val="24"/>
        </w:rPr>
        <w:t xml:space="preserve"> El problema es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r>
        <w:rPr>
          <w:rFonts w:ascii="Arial" w:eastAsia="Arial" w:hAnsi="Arial" w:cs="Arial"/>
          <w:color w:val="000000"/>
          <w:sz w:val="24"/>
          <w:szCs w:val="24"/>
        </w:rPr>
        <w:t xml:space="preserve"> Laudan había formulado la misma exigencia al señalar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Según esa línea, la duda que activa el principio in dubio pro reo no debe entenderse como la falta de convicción del juzgador. Debe entenderse, más bien, como una propiedad del acervo probatorio que puede </w:t>
        <w:lastRenderedPageBreak/>
        <w:t>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en la que se inscriben las presuncionales, incumple el primer requisito en su formulación literal.</w:t>
      </w:r>
    </w:p>
    <w:p w14:paraId="3DCF978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segundo requisito exige que el estándar sea capaz de determinar un umbral a partir del cual una hipótesis se considerará probada. Este requisito es distinto de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 xml:space="preserve">El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Añade que los estudios empíricos muestran interpretaciones muy dispares, al punto de que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La vaguedad extrema, en suma, equivale funcionalmente a la ausencia de umbral.</w:t>
      </w:r>
    </w:p>
    <w:p w14:paraId="41D47B6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uno de esos resultados presupone la aplicación del conjunto de criterios epistémicos, pero identifica el resultado mínimo requerido. A la objeción del regreso al infinito, según la cual cada </w:t>
        <w:lastRenderedPageBreak/>
        <w:t>criterio requeriría a su vez un estándar, el autor responde apelando al problema general de la inducción y a la división del trabajo cognitivo.</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p>
    <w:p w14:paraId="0F8E014C"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según la cual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Este argumento será central para evaluar la determinación casuística de la suficiencia en materia electoral.</w:t>
      </w:r>
    </w:p>
    <w:p w14:paraId="5C5AAA5F"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Ferrer Beltrán advierte que el estándar debe adecuarse </w:t>
        <w:lastRenderedPageBreak/>
        <w:t>al sistema de valoración con el que opera, de modo que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 esa objeción se suma el llamado problema de la clase de referencia. Toda frecuencia estadística se predica de una clase de sucesos, y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lastRenderedPageBreak/>
        <w:t>son relevantemente diferentes.</w:t>
      </w:r>
      <w:r>
        <w:rPr>
          <w:rFonts w:ascii="Arial" w:eastAsia="Arial" w:hAnsi="Arial" w:cs="Arial"/>
          <w:color w:val="000000"/>
          <w:sz w:val="24"/>
          <w:szCs w:val="24"/>
          <w:vertAlign w:val="superscript"/>
        </w:rPr>
        <w:footnoteReference w:id="202"/>
      </w:r>
      <w:r>
        <w:rPr>
          <w:rFonts w:ascii="Arial" w:eastAsia="Arial" w:hAnsi="Arial" w:cs="Arial"/>
          <w:color w:val="000000"/>
          <w:sz w:val="24"/>
          <w:szCs w:val="24"/>
        </w:rPr>
        <w:t xml:space="preserve"> Esta distinción explica por qué la cuantificación del umbral desplaza el problema sin resolverlo.</w:t>
      </w:r>
    </w:p>
    <w:p w14:paraId="419EE99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Sostiene, además, que el grado de aval de una conjunción puede ser más alto que el de sus componentes, porque las pruebas se entrelazan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w:t>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El tercer requisito ofrece, así, el lenguaje conceptual adecuado para formular estándares aplicables a los indicios.</w:t>
      </w:r>
    </w:p>
    <w:p w14:paraId="44FD72B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p>
    <w:p w14:paraId="4A26F01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lastRenderedPageBreak/>
        <w:t>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26C72E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La pregunta sobre qué parte debe </w:t>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p>
    <w:p w14:paraId="4255D24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w:t>
      </w:r>
    </w:p>
    <w:p w14:paraId="2264B52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De ahí se sigue que los estándares deben expresarse en reglas generales y no pueden depender de </w:t>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No se dispone de un mecanismo para cuantificar globalmente los errores judiciales ni para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w:t>
      </w:r>
      <w:r>
        <w:rPr>
          <w:rFonts w:ascii="Arial" w:eastAsia="Arial" w:hAnsi="Arial" w:cs="Arial"/>
          <w:color w:val="000000"/>
          <w:sz w:val="24"/>
          <w:szCs w:val="24"/>
          <w:vertAlign w:val="superscript"/>
        </w:rPr>
        <w:footnoteReference w:id="225"/>
      </w:r>
    </w:p>
    <w:p w14:paraId="506FC86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La aplicación de estas razones al contencioso electoral muestra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lastRenderedPageBreak/>
        <w:t>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236F077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viabilidad de los requisitos se demuestra con la posibilidad de formular estándares que los satisfagan. 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Los tres primeros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14:paraId="255C5E23"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Estos ejemplos no son meras construcciones académicas. Ferrer Beltrán informa que la jurisprudencia penal portuguesa adoptó el primero de ellos.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Informa también que la Primera Sala de la Suprema Corte mexicana adoptó la exigencia del segundo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es de omisión normativa. Si un estándar metodológicamente correcto puede formularse </w:t>
        <w:lastRenderedPageBreak/>
        <w:t>para la presunción de inocencia, también puede formularse para la nulidad de una elección fundada en indicios.</w:t>
      </w:r>
    </w:p>
    <w:p w14:paraId="62DB471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propuesta de Ferrer Beltrán ha recibido críticas 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p>
    <w:p w14:paraId="114384E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Allen formula, con todo, una observación que merece ser atendida.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lastRenderedPageBreak/>
        <w:t>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Nieva-Fenoll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tercera objeción puede extraerse del análisis de Haack. La autora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Reconoce, además, que ninguno de los estándares vigentes está definido con precisión, y sugiere que una definición precisa podría no ser deseable. Esta posición </w:t>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21DDCE4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plena probatio,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p>
    <w:p w14:paraId="5672B2E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lastRenderedPageBreak/>
        <w:t>la parte contraria. Esa formulación, inspirada en el segundo de los estándares propuestos por Ferrer Beltrán, remite al acervo, identifica un resultado mínimo y se expresa en términos de probabilidad inductiva.</w:t>
      </w:r>
    </w:p>
    <w:p w14:paraId="084D0D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lastRenderedPageBreak/>
        <w:t xml:space="preserve">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14:paraId="35FB8294"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14:paraId="71D74C4C" w14:textId="77777777" w:rsidR="00BA1C97" w:rsidRPr="00BA1C97" w:rsidRDefault="00BA1C97" w:rsidP="00BA1C97">
      <w:pPr>
        <w:spacing w:before="0" w:after="0" w:line="360" w:lineRule="auto"/>
        <w:ind w:firstLine="0"/>
        <w:jc w:val="both"/>
      </w:pPr>
      <w:r>
        <w:rPr>
          <w:rFonts w:ascii="Arial" w:eastAsia="Arial" w:hAnsi="Arial" w:cs="Arial"/>
          <w:color w:val="000000"/>
          <w:sz w:val="24"/>
          <w:szCs w:val="24"/>
        </w:rPr>
        <w:t xml:space="preserve">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 El examen parte del fundamento de la institución y de la genealogía de sus factores. Después analiza por separado los factores cuantitativo, cualitativo y constitucional, y proyecta sobre ellos el error de categoría. Finalmente muestra sus consecuencias en los casos y su paralelismo con el artículo 16.</w:t>
      </w:r>
    </w:p>
    <w:p w14:paraId="59A548A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La jurisprudencia exige, así,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Añaden que la jurisprudencia 13/2000 de la Sala Superior exige la determinancia aun </w:t>
        <w:lastRenderedPageBreak/>
        <w:t>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el plano constitucional, el artículo 41, base VI, establece un sistema de nulidades por violaciones graves, dolosas y determinantes, que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regla que reproduce el artículo 78 bis de la ley de medios.</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35A3FE2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Posteriormente, el SUP-JRC-165/2008 articuló un test de invalidez por </w:t>
        <w:lastRenderedPageBreak/>
        <w:t>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Los elementos de ese test coinciden sustancialmente con los que hoy recoge la jurisprudencia 44/2024.</w:t>
      </w:r>
    </w:p>
    <w:p w14:paraId="2E35C2A7"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La naturaleza de la presunción fue fijada por la Sala Superior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por su parte, los cuatro elementos de la nulidad por violación a principios constitucionales.</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3A56A1D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lastRenderedPageBreak/>
        <w:t>distrito de la Ciudad de México, ilustra la versión más depurada de este método.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7FC866A4"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Distinguió, además, cuatro situaciones. Hay irregularidades generalizadas que no son cualitativamente determinantes, violaciones graves pero aisladas que carecen del elemento cuantitativo, </w:t>
        <w:lastRenderedPageBreak/>
        <w:t>violaciones graves y extendidas que se traducen en una cantidad calculable de votos y, por último,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Añadió, como alternativa, que las irregularidades generen una duda fundada y razonable sobre el resultado electoral. Más adelante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60475DC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Se trata de un parámetro mínimo a partir del cual se puede estimar, salvo prueba en contrario, que la violación es determinante. La Sala argumentó que, si el Constituyente hubiese querido una regla absoluta, habría evitado el verbo presumir.</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aunque en ambos supuestos deja al juzgador la decisión final sobre la actualización del elemento.</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Dicho de otro modo, la presunción asigna quién debe probar, pero no fija cuánto debe probarse.</w:t>
      </w:r>
    </w:p>
    <w:p w14:paraId="2CE63733"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lastRenderedPageBreak/>
        <w:t>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este diagnóstico.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Sin embargo, al examinar unos videos difundidos en redes sociales, sostuvo que no bastaba conocer cuántas veces fueron vistos, sino que era necesario conocer la influencia que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ambas afirmaciones solo puede explicarse por la ausencia de un umbral previamente definido.</w:t>
      </w:r>
    </w:p>
    <w:p w14:paraId="2983453D"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Los requisitos metodológicos expuestos en el apartado 1.3 permiten precisar la forma que adopta el error de categoría en cada factor. Un estándar válido debe remitir a la </w:t>
        <w:lastRenderedPageBreak/>
        <w:t>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Ninguno de los tres factores de la determinancia fue concebido como estándar de prueba, sino como criterio sustantivo de trascendencia. El error consiste en atribuir a los factores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w:t>
      </w:r>
    </w:p>
    <w:p w14:paraId="6E94802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error de categoría tiene consecuencias prácticas, porque permite que el umbral varíe de un caso a otro. 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Para valorar el impacto de las notas periodísticas,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Las pruebas eran principalmente técnicas y privadas, a las que el tribunal local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w:t>
        <w:lastRenderedPageBreak/>
        <w:t>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in dubio pro electionem.</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w:r>
    </w:p>
    <w:p w14:paraId="4B60228B"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Sí muestran que la exigencia probatoria sobre la determinancia se formula en cada caso </w:t>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2F47FA8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porque el error afecta la eficacia del sufragio de toda una comunidad política. Las dos figuras, en suma, comparten una misma raíz, que consiste en la falta de separación entre el método y la regla de decisión.</w:t>
      </w:r>
    </w:p>
    <w:p w14:paraId="02233D0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derivan de la falta de un criterio previo que permita controlar las decisiones y no del acierto de cada una. El déficit es, por tanto,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14:paraId="3D0DF83C" w14:textId="77777777" w:rsidR="000A1322" w:rsidRPr="000A1322" w:rsidRDefault="000A1322" w:rsidP="000A1322">
      <w:pPr>
        <w:spacing w:before="0" w:after="0" w:line="360" w:lineRule="auto"/>
        <w:ind w:firstLine="0"/>
        <w:jc w:val="both"/>
      </w:pPr>
      <w:r>
        <w:rPr>
          <w:rFonts w:ascii="Arial" w:eastAsia="Arial" w:hAnsi="Arial" w:cs="Arial"/>
          <w:color w:val="000000"/>
          <w:sz w:val="24"/>
          <w:szCs w:val="24"/>
        </w:rPr>
        <w:t xml:space="preserve">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67CC7CDC"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reconstruir ese origen, es necesario precisar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Esa estructura servirá como parámetro para analizar los precedentes.</w:t>
      </w:r>
    </w:p>
    <w:p w14:paraId="72D0CCD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El primer plano es normativo. La ley de medios fue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La </w:t>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La estabilidad del precepto contrasta con la evolución de la jurisprudencia que lo aplica. Esa estabilidad sugiere que la cláusula no ha sido percibida como un problema por el legislador. La dificultad, sin embargo,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186BA964"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examinar esos hitos, es preciso rastrear el origen de la fórmula de la sana crítica. Esta procede del derecho español del siglo XIX. Benfeld ha reconstruido su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De ahí pasó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lastRenderedPageBreak/>
        <w:t>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p>
    <w:p w14:paraId="754E1CE5"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w:t>
      </w:r>
    </w:p>
    <w:p w14:paraId="350B4FB0" w14:textId="30D2F618" w:rsidR="000A1322" w:rsidRPr="000A1322" w:rsidRDefault="000A1322" w:rsidP="00403A24">
      <w:pPr>
        <w:spacing w:before="0" w:after="0" w:line="360" w:lineRule="auto"/>
        <w:ind w:firstLine="709"/>
        <w:jc w:val="both"/>
      </w:pPr>
      <w:r>
        <w:rPr>
          <w:rFonts w:ascii="Arial" w:eastAsia="Arial" w:hAnsi="Arial" w:cs="Arial"/>
          <w:color w:val="000000"/>
          <w:sz w:val="24"/>
          <w:szCs w:val="24"/>
        </w:rPr>
        <w:t>El segundo plano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esa figura quedó superada por la reforma constitucional de 2007 al artículo 99.</w:t>
      </w:r>
      <w:r>
        <w:rPr>
          <w:rFonts w:ascii="Arial" w:eastAsia="Arial" w:hAnsi="Arial" w:cs="Arial"/>
          <w:color w:val="000000"/>
          <w:sz w:val="24"/>
          <w:szCs w:val="24"/>
          <w:vertAlign w:val="superscript"/>
        </w:rPr>
        <w:footnoteReference w:id="316"/>
      </w:r>
    </w:p>
    <w:p w14:paraId="0FD895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tanto en la ley local como en la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concluyó que no eran idóneas para acreditar </w:t>
        <w:lastRenderedPageBreak/>
        <w:t>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El método, en suma, fue racional y controlable en el plano de la valoración individual.</w:t>
      </w:r>
    </w:p>
    <w:p w14:paraId="16A9E70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vocabulario de la suficiencia, en cambio,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Sostuvo que otras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756F00D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Para ponderar su impacto, la Sala invocó la experiencia a que se refiere el artículo 16, párrafo 1, y citó la obra </w:t>
      </w:r>
      <w:r>
        <w:rPr>
          <w:rFonts w:ascii="Arial" w:eastAsia="Arial" w:hAnsi="Arial" w:cs="Arial"/>
          <w:i/>
          <w:iCs/>
          <w:color w:val="000000"/>
          <w:sz w:val="24"/>
          <w:szCs w:val="24"/>
        </w:rPr>
        <w:t>Homo videns</w:t>
      </w:r>
      <w:r>
        <w:rPr>
          <w:rFonts w:ascii="Arial" w:eastAsia="Arial" w:hAnsi="Arial" w:cs="Arial"/>
          <w:color w:val="000000"/>
          <w:sz w:val="24"/>
          <w:szCs w:val="24"/>
        </w:rPr>
        <w:t xml:space="preserve"> de Giovanni Sartori. La segunda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w:t>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 que daba relevancia a los indicios aportados por el resto del acervo.</w:t>
      </w:r>
      <w:r>
        <w:rPr>
          <w:rFonts w:ascii="Arial" w:eastAsia="Arial" w:hAnsi="Arial" w:cs="Arial"/>
          <w:color w:val="000000"/>
          <w:sz w:val="24"/>
          <w:szCs w:val="24"/>
          <w:vertAlign w:val="superscript"/>
        </w:rPr>
        <w:footnoteReference w:id="332"/>
      </w:r>
    </w:p>
    <w:p w14:paraId="3E80197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determinancia se estableció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De ahí concluyó que, si las anomalías no se hubieran producido, el resultado podría haber sido otro. Esta formulación interesa al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obedece a la redacción de cada sentencia. Los magistrados disidentes sostuvieron, por su parte,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Ese desacuerdo sobre la suficiencia, formulado sobre el mismo expediente, será objeto del apartado 2.3.</w:t>
      </w:r>
    </w:p>
    <w:p w14:paraId="2F7BC4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w:t>
      </w:r>
    </w:p>
    <w:p w14:paraId="0A8AD40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examen de los precedentes corrige una lectura frecuente de esta jurisprudencia.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él, las notas aportadas solo generaron leves indicios, porque no existía otro elemento con el cual adminicularlas. El SUP-JRC-024/2002 versó sobre el registro de una planilla </w:t>
        <w:lastRenderedPageBreak/>
        <w:t>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1AB8B22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se reproduce en cualquier indicio sujeto al artículo 16, párrafo 3, y no solo en las notas periodísticas. La jurisprudencia tiene, con todo, un mérito que debe reconocerse. Al exigir que se pondere la independencia de las fuentes y la ausencia de desmentido, introduce criterios objetivos y controlables en la </w:t>
        <w:lastRenderedPageBreak/>
        <w:t>valoración. Su insuficiencia radica en que esos criterios gradúan el peso del indicio, pero no indican cuándo el conjunto basta para tener un hecho por probado.</w:t>
      </w:r>
    </w:p>
    <w:p w14:paraId="22B1E5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w:t>
      </w:r>
    </w:p>
    <w:p w14:paraId="5FE7F96B"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síntesis, 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14:paraId="1D51E9E8" w14:textId="77777777" w:rsidR="0062405A" w:rsidRPr="0062405A" w:rsidRDefault="0062405A" w:rsidP="0062405A">
      <w:pPr>
        <w:spacing w:before="0" w:after="0" w:line="360" w:lineRule="auto"/>
        <w:ind w:firstLine="0"/>
        <w:jc w:val="both"/>
      </w:pPr>
      <w:r>
        <w:rPr>
          <w:rFonts w:ascii="Arial" w:eastAsia="Arial" w:hAnsi="Arial" w:cs="Arial"/>
          <w:color w:val="000000"/>
          <w:sz w:val="24"/>
          <w:szCs w:val="24"/>
        </w:rPr>
        <w:t>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Ese voto constituye un disenso temprano y documentado </w:t>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3691721A"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Sus autores declararon que el acervo probatorio aportado resultaba insuficiente para anular la elección de gobernador.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w:t>
      </w:r>
    </w:p>
    <w:p w14:paraId="12C10EB6"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lastRenderedPageBreak/>
        <w:t>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662BD4E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mismo método se aplicó a las demás irregularidades. Sobre la apertura de 1,338 paquetes, los disidentes sostuvieron que la existencia de una instrucción general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Por último,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w:r>
    </w:p>
    <w:p w14:paraId="2F09CC93"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contraste muestra que el voto no se agota en el argumento de legalidad. Los disidentes invocaron la legalidad estricta y además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La mayoría, a su vez, había sostenido otra lectura del mismo acervo, sin que ninguna regla previa permitiera decidir cuál de las dos era suficiente.</w:t>
      </w:r>
    </w:p>
    <w:p w14:paraId="5977FC80"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lastRenderedPageBreak/>
        <w:t>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Además,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w:t>
      </w:r>
    </w:p>
    <w:p w14:paraId="18B432A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La minoría invocó también la experiencia, pero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La discrepancia entre mayoría y minoría versó, por tanto, sobre la suficiencia, aunque se expresó en el lenguaje del método. En ausencia de un estándar, la cuestión se resolvió por el número de votos en el pleno.</w:t>
      </w:r>
    </w:p>
    <w:p w14:paraId="2286C312"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Negaron, sin embargo, que esa intervención hubiera trascendido en la orientación del voto. Sostuvieron que la ciudadanía se encontraba mayormente politizada y era menos vulnerable a la influencia de los funcionarios públicos.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Concluyeron que </w:t>
        <w:lastRenderedPageBreak/>
        <w:t>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en cambio, consideró que existía una probabilidad seria, fundada y razonable de que las irregularidades hubieran alterado el resultado, como se expuso en el apartado 2.1.</w:t>
      </w:r>
    </w:p>
    <w:p w14:paraId="5CF3E98E"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El proyecto fue rechazado por los magistrados Felipe de la Mata Pizaña y </w:t>
        <w:lastRenderedPageBreak/>
        <w:t>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Exigió también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Apoyó esta construcción en un criterio de la Primera Sala de la Suprema Corte, según el cual la prueba circunstancial no debe confundirse con sospechas y sus </w:t>
        <w:lastRenderedPageBreak/>
        <w:t>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Por último,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expuestos en el apartado 1.3.</w:t>
      </w: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Incluyó también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w:t>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también la inferencia estadística propuesta por la parte actora.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Mencionó, </w:t>
        <w:lastRenderedPageBreak/>
        <w:t xml:space="preserve">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Concluyó que el acervo, aunque extenso, no aportaba </w:t>
        <w:lastRenderedPageBreak/>
        <w:t>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w:t>
      </w: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w:t>
        <w:lastRenderedPageBreak/>
        <w:t>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Afirmó que resulta revelador que la mayoría nunca explicite qué estándar aplica, pues solo exige prueba plena o un convencimiento pleno.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esos vocabularios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lastRenderedPageBreak/>
        <w:t>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w:t>
      </w: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w:t>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w:t>
      </w: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El legislador conservó, sin embargo, la exigencia de plena acreditación sin precisar qué grado de corroboración la satisface cuando la </w:t>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Denuncia formalmente la ausencia de un estándar de prueba. Además,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Afirma que los </w:t>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lastRenderedPageBreak/>
        <w:t>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Exige también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Adopta, por último,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w:t>
        <w:lastRenderedPageBreak/>
        <w:t>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Lo justifica por la gravedad de atribuir responsabilidad a actores institucionales y por las </w:t>
        <w:lastRenderedPageBreak/>
        <w:t>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Requiere también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lastRenderedPageBreak/>
        <w:t>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 compatible, en cambio, con la tesis examinada en el apartado 1.2, según la cual el nivel de exigencia expresa una decisión sobre la distribución del riesgo de error.</w:t>
      </w: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w:t>
        <w:lastRenderedPageBreak/>
        <w:t>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Sostiene también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Interpreta los deslindes de las candidaturas beneficiadas como </w:t>
        <w:lastRenderedPageBreak/>
        <w:t>reconocimientos de la existencia del fenómeno. Por último,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w:t>
        <w:lastRenderedPageBreak/>
        <w:t>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Recuerda, además,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lastRenderedPageBreak/>
        <w:t>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w:t>
      </w: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Su disenso combinó un argumento de legalidad, centrado en la jornada electoral, con una crítica detallada de las inferencias de la mayoría. Exigieron datos empíricos concretos y propusieron hipótesis alternativas, pero expresaron la suficiencia </w:t>
        <w:lastRenderedPageBreak/>
        <w:t>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w:t>
      </w: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La crítica del voto carece de efectos vinculantes. 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lastRenderedPageBreak/>
        <w:t>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Zeferín Hernández sitúa el origen de ese sistema en el derecho canónico y observa que automatiza al juzgador al valor limitado y específico establecido en la ley. El sistema de íntima convicción, asociado al </w:t>
        <w:lastRenderedPageBreak/>
        <w:t>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Recoge también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Refiere, por último,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w:t>
        <w:lastRenderedPageBreak/>
        <w:t>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w:t>
        <w:lastRenderedPageBreak/>
        <w:t>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Es el anclaje racional del precepto, porque remite la valoración a criterios generales y no al arbitrio del órgano. La salvedad final conecta ese método con las reglas especiales de los párrafos siguientes. El párrafo 2 introduce la regla de </w:t>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Conforme a esa </w:t>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w:t>
        <w:lastRenderedPageBreak/>
        <w:t>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Entre esas circunstancias figuran la pluralidad de notas, su procedencia de distintos medios y autores, su coincidencia sustancial y la falta de desmentido del afectado. Cuando concurren, los elementos faltantes para alcanzar la </w:t>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La propia jurisprudencia afirma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lastRenderedPageBreak/>
        <w:t>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Encuentra apoyo también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La noción de error de categoría, que la cláusula mixta expresa en el plano normativo,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La observación muestra que el valor legal de un medio y su aporte a la hipótesis del caso son magnitudes distintas. Confundirlas equivale a tratar una propiedad del tipo de prueba como si fuera una propiedad del acervo concreto. El legislador no </w:t>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lastRenderedPageBreak/>
        <w:t>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w:t>
        <w:lastRenderedPageBreak/>
        <w:t>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precisa que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Lo que sigue desarrolla esta interdependencia.</w:t>
      </w: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w:t>
        <w:lastRenderedPageBreak/>
        <w:t>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Solo si las partes conocen </w:t>
        <w:lastRenderedPageBreak/>
        <w:t>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lastRenderedPageBreak/>
        <w:t>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El estándar distribuye dos errores materiales. Ambos derivan de la falibilidad del razonamiento probatorio. Ferrer Beltrán define el falso positivo como la declaración de probada de una hipótesis falsa y </w:t>
        <w:lastRenderedPageBreak/>
        <w:t>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lastRenderedPageBreak/>
        <w:t>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A esa dificultad se suman los plazos breves y la limitación de las periciales ya señalados. El acervo electoral tiende, por tanto, a tener un peso probatorio reducido. En esas </w:t>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w:t>
        <w:lastRenderedPageBreak/>
        <w:t>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El resto del apartado parte de esa distinción entre el método y el umbral.</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En el caso Stavropoulos </w:t>
        <w:lastRenderedPageBreak/>
        <w:t>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lastRenderedPageBreak/>
        <w:t>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Esa gravedad es real.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lastRenderedPageBreak/>
        <w:t>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distintas.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lastRenderedPageBreak/>
        <w:t>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w:t>
      </w: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La Constitución exige, además, que las violaciones graves, dolosas y determinantes se </w:t>
        <w:lastRenderedPageBreak/>
        <w:t>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w:t>
        <w:lastRenderedPageBreak/>
        <w:t>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w:t>
        <w:lastRenderedPageBreak/>
        <w:t>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Su fundamento no es una característica particular de la materia electoral, sino la naturaleza del razonamiento probatorio en general. Ferrer </w:t>
        <w:lastRenderedPageBreak/>
        <w:t>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lastRenderedPageBreak/>
        <w:t>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lastRenderedPageBreak/>
        <w:t>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w:t>
      </w: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lastRenderedPageBreak/>
        <w:t>operaciones que el estándar exige al juzgador y verifica si satisface los cinco criterios enunciados. Finalmente identifica sobre qué parte recae el riesgo del error cuando el estándar no se satisface.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w:t>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lastRenderedPageBreak/>
        <w:t>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Precisó, además,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La segunda operación es verificar que la hipótesis de la irregularidad explique todos los elementos de juicio relevantes, incluidos los que </w:t>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La misma estructura puede graduarse para otras decisiones, por ejemplo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lastRenderedPageBreak/>
        <w:t>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El estándar se aplicaría a la acreditación de la irregularidad y, fuera de ese </w:t>
        <w:lastRenderedPageBreak/>
        <w:t>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lastRenderedPageBreak/>
        <w:t>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w:t>
        <w:lastRenderedPageBreak/>
        <w:t>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w:t>
        <w:lastRenderedPageBreak/>
        <w:t>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investigación partió de una pregunta general. Se trataba de determinar en qué medida la ausencia de un estándar de prueba objetivo en el artículo 16 de la LGSMIME, y su sustitución por la convicción del juzgador, compromete la racionalidad del juicio sobre los hechos en el contencioso electoral mexicano. La pregunta incluía también el diseño legislativo capaz de corregir esa carencia sin sacrificar la naturaleza indiciaria de la prueba electoral. Las conclusiones siguen el orden de los capítulos. Las seis primeras corresponden al diagnóstico teórico, histórico y jurisprudencial, y las tres restantes al fundamento metodológico y a la propuesta. Después se verifica la hipótesis y se revisa el cumplimiento de los objetivos.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primer plano. Explica cómo se construyen y se articulan los indicios, pero no dice cuánta corroboración conjunta se requiere para decidir. La fijación de ese umbral es una decisión política sobre la distribución del riesgo del error, que la epistemología no puede tomar. Por ello corresponde al legislador y debe expresarse en reglas generales y previas. Un estándar válido debe cumplir, además, cuatro requisitos metodológicos.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también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Su párrafo 3 remite la prueba plena a la convicción del órgano que decide. La fórmula de la sana crítica llegó al texto legal con una indeterminación de origen, que la práctica española del siglo XIX ya había aproximado a la íntima convicción. La sentencia del caso Tabasco, de diciembre de 2000, aplicó un método de valoración racional que consideró hipótesis alternativas. Expresó la suficiencia, sin embargo, en términos de convencimiento y de posibilidad de un resultado distinto. La jurisprudencia 38/2002 añadió criterios para graduar el peso de las notas periodísticas, pero no fijó el punto en que se alcanza la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Enuncia requisitos controlables para los indicios y las inferencias y exige contrastar la conclusión con hipótesis alternativas. Ese avance no alcanzó el plano de la suficiencia. La mayoría expresó el resultado en tres vocabularios distintos,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Las reformas constitucionales y legales posteriores reprodujeron la exigencia de plena acreditación sin definirla. El error de categoría subsiste, por tanto.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 el primer pronunciamiento en que un integrante de la Sala Superior denuncia que la mayoría no explicitó su estándar. El voto distingue la plena acreditación, que es el resultado de la decisión, del estándar que permite alcanzarla. Propone la probabilidad prevalente para la existencia de la irregularidad y un estándar elevado para la autoría. Aplica este último aun en contra de su propia pretensión. La ruptura es, sin embargo, parcial en la aplicación. El voto conserva expresiones de convicción, hace depender el estándar de la modulación judicial y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Reúne en una misma unidad normativa un método racional, reglas legales de peso y un criterio de suficiencia psicológico, sin establecer cómo se articulan. Su defecto es de estructura, porque falta la regla que debería fijar la suficiencia. La vaguedad y la ambigüedad de algunos de sus términos agravan el problema, pero no lo explican. De ahí deriva el funcionamiento inerte de su componente racional. El método opera en la valoración, pero no orienta la decisión sobre la suficiencia. La jurisprudencia respondió con nuevas reglas de peso, como las relativas a notas periodísticas, pruebas técnicas y testimoniales, que desplazaron el problema sin resolverlo. La interpretación puede despsicologizar la palabra convicción. No puede, en cambio, extraer del texto un umbral que el texto no contiene. La corrección del error exige, por tanto,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también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Ni el modelo penal ni el modelo civil pueden trasladarse sin más a la nulidad de elecciones. En esta materia ambos errores afectan a la ciudadanía, que no es parte en el juicio. Los bienes en juego son la certeza sobre el resultado, en sus dimensiones de fidelidad y de firmeza, el derecho al voto y la renovación ordenada de los órganos del poder público. El ordenamiento contiene una preferencia implícita por la validez de las elecciones, pero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satisfacer cinco criterios.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acreditados mejor que cualquier hipótesis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Tampoco se conforma con una mayor probabilidad relativa. La reforma no modifica los medios de prueba admisibles ni el método de valoración, y se limita a añadir la regla de suficiencia que hoy falta.</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Su primera parte afirmaba que la ausencia de un estándar objetivo y su sustitución por la convicción comprometen la racionalidad del juicio sobre los hechos. Los capítulos segundo y tercero lo confirman. Mayorías y minorías leyeron el mismo acervo de manera opuesta, en 2000 y en 2025, sin una regla previa que permitiera arbitrar entre ellas. Las decisiones sobre la suficiencia se expresaron como estados de convicción que no pueden controlarse intersubjetivamente. La segunda parte afirmaba que un diseño fundado en la relatividad del estándar permite corregir esa carencia sin sacrificar la prueba indiciaria. Los capítulos cuarto y quinto la confirman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capítulo primero sistematizó el marco teórico de la prueba indiciaria y del estándar de prueba. El capítulo segundo identificó el error de categoría en la doctrina de la determinancia y reconstruyó el origen de la cláusula híbrida. El capítulo tercero demostró su persistencia en la jurisprudencia de 2025 y la caracterizó como cláusula mixta. El capítulo cuarto expuso el fundamento metodológico de la relatividad del estándar según los bienes en juego. El capítulo quinto formuló la propuesta de diseño legislativo y verificó su compatibilidad con la prueba indiciaria.</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es un puente conceptual entre la teoría analítica del estándar de prueba y la doctrina mexicana de la determinancia, dos literaturas que se habían desarrollado por separado. La segunda es la categoría de cláusula mixta, que permite distinguir el defecto del artículo 16 de la vaguedad y de la ambigüedad. La tercera es la constatación de que el disenso de 2000 y la mayoría de 2025 comparten el vocabulario de la convicción, mientras que el disenso de 2025 introduce por primera vez la crítica explícita a la ausencia de estándar. La cuarta es una formulación legislativa concreta del estándar, acompañada de las razones de su diseño y de su verificación frente a los requisitos metodológicos.</w:t>
      </w:r>
    </w:p>
    <w:p>
      <w:pPr>
        <w:spacing w:before="0" w:after="0" w:line="360" w:lineRule="auto"/>
        <w:ind w:firstLine="709"/>
        <w:jc w:val="both"/>
      </w:pPr>
      <w:r>
        <w:rPr>
          <w:rFonts w:ascii="Arial" w:eastAsia="Arial" w:hAnsi="Arial" w:cs="Arial"/>
          <w:color w:val="000000"/>
          <w:sz w:val="24"/>
          <w:szCs w:val="24"/>
        </w:rPr>
        <w:t xml:space="preserve">El trabajo tiene también límites. El análisis es documental y dogmático, y no mide empíricamente el comportamiento de los tribunales. La selección de casos se centró en el caso Tabasco y en el SUP-JIN-194/2025, complementados con otros precedentes relevantes, y no pretende ser exhaustiva. Los antecedentes parlamentarios de la reforma de 1996 quedaron fuera del acervo examinado. La propuesta se limita a la decisión de mayor alcance, que es la nulidad de una elección, y no gradúa los estándares de las demás decisiones del procedimiento.</w:t>
      </w:r>
    </w:p>
    <w:p>
      <w:pPr>
        <w:spacing w:before="0" w:after="0" w:line="360" w:lineRule="auto"/>
        <w:ind w:firstLine="709"/>
        <w:jc w:val="both"/>
      </w:pPr>
      <w:r>
        <w:rPr>
          <w:rFonts w:ascii="Arial" w:eastAsia="Arial" w:hAnsi="Arial" w:cs="Arial"/>
          <w:color w:val="000000"/>
          <w:sz w:val="24"/>
          <w:szCs w:val="24"/>
        </w:rPr>
        <w:t xml:space="preserve">Esos límites señalan las líneas de investigación futura. La primera consiste en examinar los antecedentes legislativos del artículo 16 para contrastar la hipótesis de que la cláusula híbrida resultó de la recepción de fórmulas imprecisas y no de una decisión deliberada. La segunda consiste en graduar los estándares aplicables a la nulidad de la votación en casilla, a las medidas cautelares y al incidente de nuevo escrutinio y cómputo. La tercera consiste en un estudio empírico de las sentencias de nulidad que permita medir la variación del umbral. La cuarta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además,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