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Dedicatoria</w:t>
      </w:r>
    </w:p>
    <w:p w14:paraId="35FB8270"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Agradecimientos</w:t>
      </w:r>
    </w:p>
    <w:p w14:paraId="35FB8272"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Abstract</w:t>
      </w:r>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instrText>TOC \h \o "1-2"</w:instrText>
            <w:fldChar w:fldCharType="separate"/>
          </w:r>
          <w:hyperlink w:anchor="_Toc240931696" w:history="1">
            <w:r>
              <w:rPr>
                <w:rStyle w:val="Hipervnculo"/>
                <w:b/>
                <w:bCs/>
                <w:noProof/>
              </w:rPr>
              <w:t>Dedicatoria</w:t>
            </w:r>
            <w:r>
              <w:rPr>
                <w:noProof/>
              </w:rPr>
              <w:tab/>
              <w:fldChar w:fldCharType="begin"/>
              <w:instrText xml:space="preserve"> PAGEREF _Toc240931696 \h </w:instrText>
              <w:fldChar w:fldCharType="separate"/>
              <w:t>1</w:t>
              <w:fldChar w:fldCharType="end"/>
            </w:r>
          </w:hyperlink>
        </w:p>
        <w:p w14:paraId="2425371E" w14:textId="5DF3DBC8" w:rsidR="002C4D33" w:rsidRDefault="002C4D33">
          <w:pPr>
            <w:pStyle w:val="TDC1"/>
            <w:tabs>
              <w:tab w:val="right" w:leader="dot" w:pos="9350"/>
            </w:tabs>
            <w:rPr>
              <w:noProof/>
            </w:rPr>
          </w:pPr>
          <w:hyperlink w:anchor="_Toc240931697" w:history="1">
            <w:r>
              <w:rPr>
                <w:rStyle w:val="Hipervnculo"/>
                <w:b/>
                <w:bCs/>
                <w:noProof/>
              </w:rPr>
              <w:t>Agradecimientos</w:t>
            </w:r>
            <w:r>
              <w:rPr>
                <w:noProof/>
              </w:rPr>
              <w:tab/>
              <w:fldChar w:fldCharType="begin"/>
              <w:instrText xml:space="preserve"> PAGEREF _Toc240931697 \h </w:instrText>
              <w:fldChar w:fldCharType="separate"/>
              <w:t>1</w:t>
              <w:fldChar w:fldCharType="end"/>
            </w:r>
          </w:hyperlink>
        </w:p>
        <w:p w14:paraId="42C048CC" w14:textId="09645B44" w:rsidR="002C4D33" w:rsidRDefault="002C4D33">
          <w:pPr>
            <w:pStyle w:val="TDC1"/>
            <w:tabs>
              <w:tab w:val="right" w:leader="dot" w:pos="9350"/>
            </w:tabs>
            <w:rPr>
              <w:noProof/>
            </w:rPr>
          </w:pPr>
          <w:hyperlink w:anchor="_Toc240931698" w:history="1">
            <w:r>
              <w:rPr>
                <w:rStyle w:val="Hipervnculo"/>
                <w:b/>
                <w:bCs/>
                <w:noProof/>
              </w:rPr>
              <w:t>Abstract</w:t>
            </w:r>
            <w:r>
              <w:rPr>
                <w:noProof/>
              </w:rPr>
              <w:tab/>
              <w:fldChar w:fldCharType="begin"/>
              <w:instrText xml:space="preserve"> PAGEREF _Toc240931698 \h </w:instrText>
              <w:fldChar w:fldCharType="separate"/>
              <w:t>1</w:t>
              <w:fldChar w:fldCharType="end"/>
            </w:r>
          </w:hyperlink>
        </w:p>
        <w:p w14:paraId="65B59E36" w14:textId="34D7F624" w:rsidR="002C4D33" w:rsidRDefault="002C4D33">
          <w:pPr>
            <w:pStyle w:val="TDC1"/>
            <w:tabs>
              <w:tab w:val="right" w:leader="dot" w:pos="9350"/>
            </w:tabs>
            <w:rPr>
              <w:noProof/>
            </w:rPr>
          </w:pPr>
          <w:hyperlink w:anchor="_Toc240931699" w:history="1">
            <w:r>
              <w:rPr>
                <w:rStyle w:val="Hipervnculo"/>
                <w:b/>
                <w:bCs/>
                <w:noProof/>
              </w:rPr>
              <w:t>Introducción general</w:t>
            </w:r>
            <w:r>
              <w:rPr>
                <w:noProof/>
              </w:rPr>
              <w:tab/>
              <w:fldChar w:fldCharType="begin"/>
              <w:instrText xml:space="preserve"> PAGEREF _Toc240931699 \h </w:instrText>
              <w:fldChar w:fldCharType="separate"/>
              <w:t>1</w:t>
              <w:fldChar w:fldCharType="end"/>
            </w:r>
          </w:hyperlink>
        </w:p>
        <w:p w14:paraId="0383713C" w14:textId="1E0A76DB" w:rsidR="002C4D33" w:rsidRDefault="002C4D33">
          <w:pPr>
            <w:pStyle w:val="TDC2"/>
            <w:tabs>
              <w:tab w:val="right" w:leader="dot" w:pos="9350"/>
            </w:tabs>
            <w:rPr>
              <w:noProof/>
            </w:rPr>
          </w:pPr>
          <w:hyperlink w:anchor="_Toc240931700" w:history="1">
            <w:r>
              <w:rPr>
                <w:rStyle w:val="Hipervnculo"/>
                <w:b/>
                <w:bCs/>
                <w:noProof/>
              </w:rPr>
              <w:t>Nota de fuentes de este avance</w:t>
            </w:r>
            <w:r>
              <w:rPr>
                <w:noProof/>
              </w:rPr>
              <w:tab/>
              <w:fldChar w:fldCharType="begin"/>
              <w:instrText xml:space="preserve"> PAGEREF _Toc240931700 \h </w:instrText>
              <w:fldChar w:fldCharType="separate"/>
              <w:t>1</w:t>
              <w:fldChar w:fldCharType="end"/>
            </w:r>
          </w:hyperlink>
        </w:p>
        <w:p w14:paraId="649BC8B0" w14:textId="187E815B" w:rsidR="002C4D33" w:rsidRDefault="002C4D33">
          <w:pPr>
            <w:pStyle w:val="TDC1"/>
            <w:tabs>
              <w:tab w:val="right" w:leader="dot" w:pos="9350"/>
            </w:tabs>
            <w:rPr>
              <w:noProof/>
            </w:rPr>
          </w:pPr>
          <w:hyperlink w:anchor="_Toc240931701" w:history="1">
            <w:r>
              <w:rPr>
                <w:rStyle w:val="Hipervnculo"/>
                <w:b/>
                <w:bCs/>
                <w:noProof/>
              </w:rPr>
              <w:t>Capítulo I. La prueba indiciaria y el estándar de prueba: marco teórico general</w:t>
            </w:r>
            <w:r>
              <w:rPr>
                <w:noProof/>
              </w:rPr>
              <w:tab/>
              <w:fldChar w:fldCharType="begin"/>
              <w:instrText xml:space="preserve"> PAGEREF _Toc240931701 \h </w:instrText>
              <w:fldChar w:fldCharType="separate"/>
              <w:t>1</w:t>
              <w:fldChar w:fldCharType="end"/>
            </w:r>
          </w:hyperlink>
        </w:p>
        <w:p w14:paraId="476EE320" w14:textId="3B8E25E0" w:rsidR="002C4D33" w:rsidRDefault="002C4D33">
          <w:pPr>
            <w:pStyle w:val="TDC2"/>
            <w:tabs>
              <w:tab w:val="right" w:leader="dot" w:pos="9350"/>
            </w:tabs>
            <w:rPr>
              <w:noProof/>
            </w:rPr>
          </w:pPr>
          <w:hyperlink w:anchor="_Toc240931702" w:history="1">
            <w:r>
              <w:rPr>
                <w:rStyle w:val="Hipervnculo"/>
                <w:b/>
                <w:bCs/>
                <w:noProof/>
              </w:rPr>
              <w:t>1.1. La prueba indiciaria y el método de adminiculación probatoria</w:t>
            </w:r>
            <w:r>
              <w:rPr>
                <w:noProof/>
              </w:rPr>
              <w:tab/>
              <w:fldChar w:fldCharType="begin"/>
              <w:instrText xml:space="preserve"> PAGEREF _Toc240931702 \h </w:instrText>
              <w:fldChar w:fldCharType="separate"/>
              <w:t>1</w:t>
              <w:fldChar w:fldCharType="end"/>
            </w:r>
          </w:hyperlink>
        </w:p>
        <w:p w14:paraId="040C1EA4" w14:textId="2AE01CC3" w:rsidR="002C4D33" w:rsidRDefault="002C4D33">
          <w:pPr>
            <w:pStyle w:val="TDC2"/>
            <w:tabs>
              <w:tab w:val="right" w:leader="dot" w:pos="9350"/>
            </w:tabs>
            <w:rPr>
              <w:noProof/>
            </w:rPr>
          </w:pPr>
          <w:hyperlink w:anchor="_Toc240931703" w:history="1">
            <w:r>
              <w:rPr>
                <w:rStyle w:val="Hipervnculo"/>
                <w:b/>
                <w:bCs/>
                <w:noProof/>
              </w:rPr>
              <w:t>1.2. La distinción entre valoración de la prueba y estándar de prueba</w:t>
            </w:r>
            <w:r>
              <w:rPr>
                <w:noProof/>
              </w:rPr>
              <w:tab/>
              <w:fldChar w:fldCharType="begin"/>
              <w:instrText xml:space="preserve"> PAGEREF _Toc240931703 \h </w:instrText>
              <w:fldChar w:fldCharType="separate"/>
              <w:t>1</w:t>
              <w:fldChar w:fldCharType="end"/>
            </w:r>
          </w:hyperlink>
        </w:p>
        <w:p w14:paraId="60002F26" w14:textId="37CC4CC4" w:rsidR="002C4D33" w:rsidRDefault="002C4D33">
          <w:pPr>
            <w:pStyle w:val="TDC2"/>
            <w:tabs>
              <w:tab w:val="right" w:leader="dot" w:pos="9350"/>
            </w:tabs>
            <w:rPr>
              <w:noProof/>
            </w:rPr>
          </w:pPr>
          <w:hyperlink w:anchor="_Toc240931704" w:history="1">
            <w:r>
              <w:rPr>
                <w:rStyle w:val="Hipervnculo"/>
                <w:b/>
                <w:bCs/>
                <w:noProof/>
              </w:rPr>
              <w:t>1.3. Los requisitos metodológicos de un estándar de prueba válido</w:t>
            </w:r>
            <w:r>
              <w:rPr>
                <w:noProof/>
              </w:rPr>
              <w:tab/>
              <w:fldChar w:fldCharType="begin"/>
              <w:instrText xml:space="preserve"> PAGEREF _Toc240931704 \h </w:instrText>
              <w:fldChar w:fldCharType="separate"/>
              <w:t>1</w:t>
              <w:fldChar w:fldCharType="end"/>
            </w:r>
          </w:hyperlink>
        </w:p>
        <w:p w14:paraId="021DC024" w14:textId="16224FE0" w:rsidR="002C4D33" w:rsidRDefault="002C4D33">
          <w:pPr>
            <w:pStyle w:val="TDC2"/>
            <w:tabs>
              <w:tab w:val="right" w:leader="dot" w:pos="9350"/>
            </w:tabs>
            <w:rPr>
              <w:noProof/>
            </w:rPr>
          </w:pPr>
          <w:hyperlink w:anchor="_Toc240931705" w:history="1">
            <w:r>
              <w:rPr>
                <w:rStyle w:val="Hipervnculo"/>
                <w:b/>
                <w:bCs/>
                <w:noProof/>
              </w:rPr>
              <w:t>Nota de fuentes de este avance</w:t>
            </w:r>
            <w:r>
              <w:rPr>
                <w:noProof/>
              </w:rPr>
              <w:tab/>
              <w:fldChar w:fldCharType="begin"/>
              <w:instrText xml:space="preserve"> PAGEREF _Toc240931705 \h </w:instrText>
              <w:fldChar w:fldCharType="separate"/>
              <w:t>1</w:t>
              <w:fldChar w:fldCharType="end"/>
            </w:r>
          </w:hyperlink>
        </w:p>
        <w:p w14:paraId="4A60D7CE" w14:textId="03454A9B" w:rsidR="002C4D33" w:rsidRDefault="002C4D33">
          <w:pPr>
            <w:pStyle w:val="TDC1"/>
            <w:tabs>
              <w:tab w:val="right" w:leader="dot" w:pos="9350"/>
            </w:tabs>
            <w:rPr>
              <w:noProof/>
            </w:rPr>
          </w:pPr>
          <w:hyperlink w:anchor="_Toc240931706" w:history="1">
            <w:r>
              <w:rPr>
                <w:rStyle w:val="Hipervnculo"/>
                <w:b/>
                <w:bCs/>
                <w:noProof/>
              </w:rPr>
              <w:t>Capítulo II. El puente conceptual entre estándar de prueba y determinancia electoral, y el origen de la cláusula híbrida</w:t>
            </w:r>
            <w:r>
              <w:rPr>
                <w:noProof/>
              </w:rPr>
              <w:tab/>
              <w:fldChar w:fldCharType="begin"/>
              <w:instrText xml:space="preserve"> PAGEREF _Toc240931706 \h </w:instrText>
              <w:fldChar w:fldCharType="separate"/>
              <w:t>1</w:t>
              <w:fldChar w:fldCharType="end"/>
            </w:r>
          </w:hyperlink>
        </w:p>
        <w:p w14:paraId="0043D28F" w14:textId="3DAE09D4" w:rsidR="002C4D33" w:rsidRDefault="002C4D33">
          <w:pPr>
            <w:pStyle w:val="TDC2"/>
            <w:tabs>
              <w:tab w:val="right" w:leader="dot" w:pos="9350"/>
            </w:tabs>
            <w:rPr>
              <w:noProof/>
            </w:rPr>
          </w:pPr>
          <w:hyperlink w:anchor="_Toc240931707" w:history="1">
            <w:r>
              <w:rPr>
                <w:rStyle w:val="Hipervnculo"/>
                <w:b/>
                <w:bCs/>
                <w:noProof/>
              </w:rPr>
              <w:t>2.1. La sana crítica como error de categoría en la doctrina mexicana de la determinancia electoral</w:t>
            </w:r>
            <w:r>
              <w:rPr>
                <w:noProof/>
              </w:rPr>
              <w:tab/>
              <w:fldChar w:fldCharType="begin"/>
              <w:instrText xml:space="preserve"> PAGEREF _Toc240931707 \h </w:instrText>
              <w:fldChar w:fldCharType="separate"/>
              <w:t>1</w:t>
              <w:fldChar w:fldCharType="end"/>
            </w:r>
          </w:hyperlink>
        </w:p>
        <w:p w14:paraId="44F15E76" w14:textId="3BB97360" w:rsidR="002C4D33" w:rsidRDefault="002C4D33">
          <w:pPr>
            <w:pStyle w:val="TDC2"/>
            <w:tabs>
              <w:tab w:val="right" w:leader="dot" w:pos="9350"/>
            </w:tabs>
            <w:rPr>
              <w:noProof/>
            </w:rPr>
          </w:pPr>
          <w:hyperlink w:anchor="_Toc240931708" w:history="1">
            <w:r>
              <w:rPr>
                <w:rStyle w:val="Hipervnculo"/>
                <w:b/>
                <w:bCs/>
                <w:noProof/>
              </w:rPr>
              <w:t>2.2. El origen normativo de la cláusula híbrida: la jurisprudencia 38/2002 y la sentencia SUP-JRC-487/2000</w:t>
            </w:r>
            <w:r>
              <w:rPr>
                <w:noProof/>
              </w:rPr>
              <w:tab/>
              <w:fldChar w:fldCharType="begin"/>
              <w:instrText xml:space="preserve"> PAGEREF _Toc240931708 \h </w:instrText>
              <w:fldChar w:fldCharType="separate"/>
              <w:t>1</w:t>
              <w:fldChar w:fldCharType="end"/>
            </w:r>
          </w:hyperlink>
        </w:p>
        <w:p w14:paraId="7AC1BCA4" w14:textId="1C2961A0" w:rsidR="002C4D33" w:rsidRDefault="002C4D33">
          <w:pPr>
            <w:pStyle w:val="TDC2"/>
            <w:tabs>
              <w:tab w:val="right" w:leader="dot" w:pos="9350"/>
            </w:tabs>
            <w:rPr>
              <w:noProof/>
            </w:rPr>
          </w:pPr>
          <w:hyperlink w:anchor="_Toc240931709" w:history="1">
            <w:r>
              <w:rPr>
                <w:rStyle w:val="Hipervnculo"/>
                <w:b/>
                <w:bCs/>
                <w:noProof/>
              </w:rPr>
              <w:t>2.3. El voto particular de 2000 frente a la sentencia mayoritaria</w:t>
            </w:r>
            <w:r>
              <w:rPr>
                <w:noProof/>
              </w:rPr>
              <w:tab/>
              <w:fldChar w:fldCharType="begin"/>
              <w:instrText xml:space="preserve"> PAGEREF _Toc240931709 \h </w:instrText>
              <w:fldChar w:fldCharType="separate"/>
              <w:t>1</w:t>
              <w:fldChar w:fldCharType="end"/>
            </w:r>
          </w:hyperlink>
        </w:p>
        <w:p w14:paraId="756EDDC1" w14:textId="75A894CA" w:rsidR="002C4D33" w:rsidRDefault="002C4D33">
          <w:pPr>
            <w:pStyle w:val="TDC2"/>
            <w:tabs>
              <w:tab w:val="right" w:leader="dot" w:pos="9350"/>
            </w:tabs>
            <w:rPr>
              <w:noProof/>
            </w:rPr>
          </w:pPr>
          <w:hyperlink w:anchor="_Toc240931710" w:history="1">
            <w:r>
              <w:rPr>
                <w:rStyle w:val="Hipervnculo"/>
                <w:b/>
                <w:bCs/>
                <w:noProof/>
              </w:rPr>
              <w:t>Nota de fuentes y precisión sobre este avance</w:t>
            </w:r>
            <w:r>
              <w:rPr>
                <w:noProof/>
              </w:rPr>
              <w:tab/>
              <w:fldChar w:fldCharType="begin"/>
              <w:instrText xml:space="preserve"> PAGEREF _Toc240931710 \h </w:instrText>
              <w:fldChar w:fldCharType="separate"/>
              <w:t>1</w:t>
              <w:fldChar w:fldCharType="end"/>
            </w:r>
          </w:hyperlink>
        </w:p>
        <w:p w14:paraId="393E30D2" w14:textId="276C203E" w:rsidR="002C4D33" w:rsidRDefault="002C4D33">
          <w:pPr>
            <w:pStyle w:val="TDC1"/>
            <w:tabs>
              <w:tab w:val="right" w:leader="dot" w:pos="9350"/>
            </w:tabs>
            <w:rPr>
              <w:noProof/>
            </w:rPr>
          </w:pPr>
          <w:hyperlink w:anchor="_Toc240931711" w:history="1">
            <w:r>
              <w:rPr>
                <w:rStyle w:val="Hipervnculo"/>
                <w:b/>
                <w:bCs/>
                <w:noProof/>
              </w:rPr>
              <w:t>Capítulo III. La persistencia de la cláusula híbrida veinticinco años después</w:t>
            </w:r>
            <w:r>
              <w:rPr>
                <w:noProof/>
              </w:rPr>
              <w:tab/>
              <w:fldChar w:fldCharType="begin"/>
              <w:instrText xml:space="preserve"> PAGEREF _Toc240931711 \h </w:instrText>
              <w:fldChar w:fldCharType="separate"/>
              <w:t>1</w:t>
              <w:fldChar w:fldCharType="end"/>
            </w:r>
          </w:hyperlink>
        </w:p>
        <w:p w14:paraId="21E3BDEF" w14:textId="60E3ADE6" w:rsidR="002C4D33" w:rsidRDefault="002C4D33">
          <w:pPr>
            <w:pStyle w:val="TDC2"/>
            <w:tabs>
              <w:tab w:val="right" w:leader="dot" w:pos="9350"/>
            </w:tabs>
            <w:rPr>
              <w:noProof/>
            </w:rPr>
          </w:pPr>
          <w:hyperlink w:anchor="_Toc240931712" w:history="1">
            <w:r>
              <w:rPr>
                <w:rStyle w:val="Hipervnculo"/>
                <w:b/>
                <w:bCs/>
                <w:noProof/>
              </w:rPr>
              <w:t>3.1. La fórmula híbrida en la sentencia SUP-JIN-194/2025</w:t>
            </w:r>
            <w:r>
              <w:rPr>
                <w:noProof/>
              </w:rPr>
              <w:tab/>
              <w:fldChar w:fldCharType="begin"/>
              <w:instrText xml:space="preserve"> PAGEREF _Toc240931712 \h </w:instrText>
              <w:fldChar w:fldCharType="separate"/>
              <w:t>1</w:t>
              <w:fldChar w:fldCharType="end"/>
            </w:r>
          </w:hyperlink>
        </w:p>
        <w:p w14:paraId="38FA44E7" w14:textId="3F7D62F7" w:rsidR="002C4D33" w:rsidRDefault="002C4D33">
          <w:pPr>
            <w:pStyle w:val="TDC2"/>
            <w:tabs>
              <w:tab w:val="right" w:leader="dot" w:pos="9350"/>
            </w:tabs>
            <w:rPr>
              <w:noProof/>
            </w:rPr>
          </w:pPr>
          <w:hyperlink w:anchor="_Toc240931713" w:history="1">
            <w:r>
              <w:rPr>
                <w:rStyle w:val="Hipervnculo"/>
                <w:b/>
                <w:bCs/>
                <w:noProof/>
              </w:rPr>
              <w:t>3.2. El voto particular de 2025 frente al de 2000: la aparición de la crítica</w:t>
            </w:r>
            <w:r>
              <w:rPr>
                <w:noProof/>
              </w:rPr>
              <w:tab/>
              <w:fldChar w:fldCharType="begin"/>
              <w:instrText xml:space="preserve"> PAGEREF _Toc240931713 \h </w:instrText>
              <w:fldChar w:fldCharType="separate"/>
              <w:t>1</w:t>
              <w:fldChar w:fldCharType="end"/>
            </w:r>
          </w:hyperlink>
        </w:p>
        <w:p w14:paraId="74322BE7" w14:textId="6B21F5FC" w:rsidR="002C4D33" w:rsidRDefault="002C4D33">
          <w:pPr>
            <w:pStyle w:val="TDC2"/>
            <w:tabs>
              <w:tab w:val="right" w:leader="dot" w:pos="9350"/>
            </w:tabs>
            <w:rPr>
              <w:noProof/>
            </w:rPr>
          </w:pPr>
          <w:hyperlink w:anchor="_Toc240931714" w:history="1">
            <w:r>
              <w:rPr>
                <w:rStyle w:val="Hipervnculo"/>
                <w:b/>
                <w:bCs/>
                <w:noProof/>
              </w:rPr>
              <w:t>3.3. Caracterización teórica de la cláusula del artículo 16 de la LGSMIME como cláusula mixta</w:t>
            </w:r>
            <w:r>
              <w:rPr>
                <w:noProof/>
              </w:rPr>
              <w:tab/>
              <w:fldChar w:fldCharType="begin"/>
              <w:instrText xml:space="preserve"> PAGEREF _Toc240931714 \h </w:instrText>
              <w:fldChar w:fldCharType="separate"/>
              <w:t>1</w:t>
              <w:fldChar w:fldCharType="end"/>
            </w:r>
          </w:hyperlink>
        </w:p>
        <w:p w14:paraId="43CB42E4" w14:textId="7F4D948C" w:rsidR="002C4D33" w:rsidRDefault="002C4D33">
          <w:pPr>
            <w:pStyle w:val="TDC2"/>
            <w:tabs>
              <w:tab w:val="right" w:leader="dot" w:pos="9350"/>
            </w:tabs>
            <w:rPr>
              <w:noProof/>
            </w:rPr>
          </w:pPr>
          <w:hyperlink w:anchor="_Toc240931715" w:history="1">
            <w:r>
              <w:rPr>
                <w:rStyle w:val="Hipervnculo"/>
                <w:b/>
                <w:bCs/>
                <w:noProof/>
              </w:rPr>
              <w:t>Nota de fuentes de este avance</w:t>
            </w:r>
            <w:r>
              <w:rPr>
                <w:noProof/>
              </w:rPr>
              <w:tab/>
              <w:fldChar w:fldCharType="begin"/>
              <w:instrText xml:space="preserve"> PAGEREF _Toc240931715 \h </w:instrText>
              <w:fldChar w:fldCharType="separate"/>
              <w:t>1</w:t>
              <w:fldChar w:fldCharType="end"/>
            </w:r>
          </w:hyperlink>
        </w:p>
        <w:p w14:paraId="67D1F5F9" w14:textId="260D8F0D" w:rsidR="002C4D33" w:rsidRDefault="002C4D33">
          <w:pPr>
            <w:pStyle w:val="TDC1"/>
            <w:tabs>
              <w:tab w:val="right" w:leader="dot" w:pos="9350"/>
            </w:tabs>
            <w:rPr>
              <w:noProof/>
            </w:rPr>
          </w:pPr>
          <w:hyperlink w:anchor="_Toc240931716" w:history="1">
            <w:r>
              <w:rPr>
                <w:rStyle w:val="Hipervnculo"/>
                <w:b/>
                <w:bCs/>
                <w:noProof/>
              </w:rPr>
              <w:t>Capítulo IV. El fundamento metodológico de un estándar de prueba propio para la materia electoral</w:t>
            </w:r>
            <w:r>
              <w:rPr>
                <w:noProof/>
              </w:rPr>
              <w:tab/>
              <w:fldChar w:fldCharType="begin"/>
              <w:instrText xml:space="preserve"> PAGEREF _Toc240931716 \h </w:instrText>
              <w:fldChar w:fldCharType="separate"/>
              <w:t>1</w:t>
              <w:fldChar w:fldCharType="end"/>
            </w:r>
          </w:hyperlink>
        </w:p>
        <w:p w14:paraId="7CD646CB" w14:textId="30A7A6AD" w:rsidR="002C4D33" w:rsidRDefault="002C4D33">
          <w:pPr>
            <w:pStyle w:val="TDC2"/>
            <w:tabs>
              <w:tab w:val="right" w:leader="dot" w:pos="9350"/>
            </w:tabs>
            <w:rPr>
              <w:noProof/>
            </w:rPr>
          </w:pPr>
          <w:hyperlink w:anchor="_Toc240931717" w:history="1">
            <w:r>
              <w:rPr>
                <w:rStyle w:val="Hipervnculo"/>
                <w:b/>
                <w:bCs/>
                <w:noProof/>
              </w:rPr>
              <w:t>4.1. La distribución del riesgo del error como función del estándar de prueba</w:t>
            </w:r>
            <w:r>
              <w:rPr>
                <w:noProof/>
              </w:rPr>
              <w:tab/>
              <w:fldChar w:fldCharType="begin"/>
              <w:instrText xml:space="preserve"> PAGEREF _Toc240931717 \h </w:instrText>
              <w:fldChar w:fldCharType="separate"/>
              <w:t>1</w:t>
              <w:fldChar w:fldCharType="end"/>
            </w:r>
          </w:hyperlink>
        </w:p>
        <w:p w14:paraId="4366C4D2" w14:textId="0863E891" w:rsidR="002C4D33" w:rsidRDefault="002C4D33">
          <w:pPr>
            <w:pStyle w:val="TDC2"/>
            <w:tabs>
              <w:tab w:val="right" w:leader="dot" w:pos="9350"/>
            </w:tabs>
            <w:rPr>
              <w:noProof/>
            </w:rPr>
          </w:pPr>
          <w:hyperlink w:anchor="_Toc240931718" w:history="1">
            <w:r>
              <w:rPr>
                <w:rStyle w:val="Hipervnculo"/>
                <w:b/>
                <w:bCs/>
                <w:noProof/>
              </w:rPr>
              <w:t>4.2. La relatividad del estándar de prueba según los bienes en juego y los costes del error</w:t>
            </w:r>
            <w:r>
              <w:rPr>
                <w:noProof/>
              </w:rPr>
              <w:tab/>
              <w:fldChar w:fldCharType="begin"/>
              <w:instrText xml:space="preserve"> PAGEREF _Toc240931718 \h </w:instrText>
              <w:fldChar w:fldCharType="separate"/>
              <w:t>1</w:t>
              <w:fldChar w:fldCharType="end"/>
            </w:r>
          </w:hyperlink>
        </w:p>
        <w:p w14:paraId="5899757E" w14:textId="056DB327" w:rsidR="002C4D33" w:rsidRDefault="002C4D33">
          <w:pPr>
            <w:pStyle w:val="TDC2"/>
            <w:tabs>
              <w:tab w:val="right" w:leader="dot" w:pos="9350"/>
            </w:tabs>
            <w:rPr>
              <w:noProof/>
            </w:rPr>
          </w:pPr>
          <w:hyperlink w:anchor="_Toc240931719" w:history="1">
            <w:r>
              <w:rPr>
                <w:rStyle w:val="Hipervnculo"/>
                <w:b/>
                <w:bCs/>
                <w:noProof/>
              </w:rPr>
              <w:t>4.3. Los bienes en juego propios del contencioso electoral mexicano</w:t>
            </w:r>
            <w:r>
              <w:rPr>
                <w:noProof/>
              </w:rPr>
              <w:tab/>
              <w:fldChar w:fldCharType="begin"/>
              <w:instrText xml:space="preserve"> PAGEREF _Toc240931719 \h </w:instrText>
              <w:fldChar w:fldCharType="separate"/>
              <w:t>1</w:t>
              <w:fldChar w:fldCharType="end"/>
            </w:r>
          </w:hyperlink>
        </w:p>
        <w:p w14:paraId="123D4E60" w14:textId="7DAD228B" w:rsidR="002C4D33" w:rsidRDefault="002C4D33">
          <w:pPr>
            <w:pStyle w:val="TDC2"/>
            <w:tabs>
              <w:tab w:val="right" w:leader="dot" w:pos="9350"/>
            </w:tabs>
            <w:rPr>
              <w:noProof/>
            </w:rPr>
          </w:pPr>
          <w:hyperlink w:anchor="_Toc240931720" w:history="1">
            <w:r>
              <w:rPr>
                <w:rStyle w:val="Hipervnculo"/>
                <w:b/>
                <w:bCs/>
                <w:noProof/>
              </w:rPr>
              <w:t>Nota de fuentes de este avance</w:t>
            </w:r>
            <w:r>
              <w:rPr>
                <w:noProof/>
              </w:rPr>
              <w:tab/>
              <w:fldChar w:fldCharType="begin"/>
              <w:instrText xml:space="preserve"> PAGEREF _Toc240931720 \h </w:instrText>
              <w:fldChar w:fldCharType="separate"/>
              <w:t>1</w:t>
              <w:fldChar w:fldCharType="end"/>
            </w:r>
          </w:hyperlink>
        </w:p>
        <w:p w14:paraId="54F4660E" w14:textId="5766AC9F" w:rsidR="002C4D33" w:rsidRDefault="002C4D33">
          <w:pPr>
            <w:pStyle w:val="TDC1"/>
            <w:tabs>
              <w:tab w:val="right" w:leader="dot" w:pos="9350"/>
            </w:tabs>
            <w:rPr>
              <w:noProof/>
            </w:rPr>
          </w:pPr>
          <w:hyperlink w:anchor="_Toc240931721" w:history="1">
            <w:r>
              <w:rPr>
                <w:rStyle w:val="Hipervnculo"/>
                <w:b/>
                <w:bCs/>
                <w:noProof/>
              </w:rPr>
              <w:t>Capítulo V. Propuesta de diseño legislativo de un estándar de prueba para el contencioso electoral mexicano</w:t>
            </w:r>
            <w:r>
              <w:rPr>
                <w:noProof/>
              </w:rPr>
              <w:tab/>
              <w:fldChar w:fldCharType="begin"/>
              <w:instrText xml:space="preserve"> PAGEREF _Toc240931721 \h </w:instrText>
              <w:fldChar w:fldCharType="separate"/>
              <w:t>1</w:t>
              <w:fldChar w:fldCharType="end"/>
            </w:r>
          </w:hyperlink>
        </w:p>
        <w:p w14:paraId="3EFC153B" w14:textId="29B80AE1" w:rsidR="002C4D33" w:rsidRDefault="002C4D33">
          <w:pPr>
            <w:pStyle w:val="TDC2"/>
            <w:tabs>
              <w:tab w:val="right" w:leader="dot" w:pos="9350"/>
            </w:tabs>
            <w:rPr>
              <w:noProof/>
            </w:rPr>
          </w:pPr>
          <w:hyperlink w:anchor="_Toc240931722" w:history="1">
            <w:r>
              <w:rPr>
                <w:rStyle w:val="Hipervnculo"/>
                <w:b/>
                <w:bCs/>
                <w:noProof/>
              </w:rPr>
              <w:t>5.1. Criterios para la reforma del artículo 16 de la LGSMIME</w:t>
            </w:r>
            <w:r>
              <w:rPr>
                <w:noProof/>
              </w:rPr>
              <w:tab/>
              <w:fldChar w:fldCharType="begin"/>
              <w:instrText xml:space="preserve"> PAGEREF _Toc240931722 \h </w:instrText>
              <w:fldChar w:fldCharType="separate"/>
              <w:t>1</w:t>
              <w:fldChar w:fldCharType="end"/>
            </w:r>
          </w:hyperlink>
        </w:p>
        <w:p w14:paraId="67C752B8" w14:textId="76E0BB33" w:rsidR="002C4D33" w:rsidRDefault="002C4D33">
          <w:pPr>
            <w:pStyle w:val="TDC2"/>
            <w:tabs>
              <w:tab w:val="right" w:leader="dot" w:pos="9350"/>
            </w:tabs>
            <w:rPr>
              <w:noProof/>
            </w:rPr>
          </w:pPr>
          <w:hyperlink w:anchor="_Toc240931723" w:history="1">
            <w:r>
              <w:rPr>
                <w:rStyle w:val="Hipervnculo"/>
                <w:b/>
                <w:bCs/>
                <w:noProof/>
              </w:rPr>
              <w:t>5.2. Formulación del estándar de prueba propuesto</w:t>
            </w:r>
            <w:r>
              <w:rPr>
                <w:noProof/>
              </w:rPr>
              <w:tab/>
              <w:fldChar w:fldCharType="begin"/>
              <w:instrText xml:space="preserve"> PAGEREF _Toc240931723 \h </w:instrText>
              <w:fldChar w:fldCharType="separate"/>
              <w:t>1</w:t>
              <w:fldChar w:fldCharType="end"/>
            </w:r>
          </w:hyperlink>
        </w:p>
        <w:p w14:paraId="64BD5853" w14:textId="46740AD6" w:rsidR="002C4D33" w:rsidRDefault="002C4D33">
          <w:pPr>
            <w:pStyle w:val="TDC2"/>
            <w:tabs>
              <w:tab w:val="right" w:leader="dot" w:pos="9350"/>
            </w:tabs>
            <w:rPr>
              <w:noProof/>
            </w:rPr>
          </w:pPr>
          <w:hyperlink w:anchor="_Toc240931724" w:history="1">
            <w:r>
              <w:rPr>
                <w:rStyle w:val="Hipervnculo"/>
                <w:b/>
                <w:bCs/>
                <w:noProof/>
              </w:rPr>
              <w:t>5.3. Compatibilidad del estándar propuesto con la naturaleza indiciaria de la prueba electoral</w:t>
            </w:r>
            <w:r>
              <w:rPr>
                <w:noProof/>
              </w:rPr>
              <w:tab/>
              <w:fldChar w:fldCharType="begin"/>
              <w:instrText xml:space="preserve"> PAGEREF _Toc240931724 \h </w:instrText>
              <w:fldChar w:fldCharType="separate"/>
              <w:t>1</w:t>
              <w:fldChar w:fldCharType="end"/>
            </w:r>
          </w:hyperlink>
        </w:p>
        <w:p w14:paraId="4EF24F2E" w14:textId="195E2D16" w:rsidR="002C4D33" w:rsidRDefault="002C4D33">
          <w:pPr>
            <w:pStyle w:val="TDC2"/>
            <w:tabs>
              <w:tab w:val="right" w:leader="dot" w:pos="9350"/>
            </w:tabs>
            <w:rPr>
              <w:noProof/>
            </w:rPr>
          </w:pPr>
          <w:hyperlink w:anchor="_Toc240931725" w:history="1">
            <w:r>
              <w:rPr>
                <w:rStyle w:val="Hipervnculo"/>
                <w:b/>
                <w:bCs/>
                <w:noProof/>
              </w:rPr>
              <w:t>Nota de fuentes de este avance</w:t>
            </w:r>
            <w:r>
              <w:rPr>
                <w:noProof/>
              </w:rPr>
              <w:tab/>
              <w:fldChar w:fldCharType="begin"/>
              <w:instrText xml:space="preserve"> PAGEREF _Toc240931725 \h </w:instrText>
              <w:fldChar w:fldCharType="separate"/>
              <w:t>1</w:t>
              <w:fldChar w:fldCharType="end"/>
            </w:r>
          </w:hyperlink>
        </w:p>
        <w:p w14:paraId="35FB827A" w14:textId="40D4682F" w:rsidR="00A32EF9" w:rsidRDefault="00E354C7">
          <w:r>
            <w:fldChar w:fldCharType="end"/>
          </w:r>
        </w:p>
      </w:sdtContent>
    </w:sdt>
    <w:p>
      <w:pPr>
        <w:spacing w:before="0" w:after="0" w:line="360" w:lineRule="auto"/>
      </w:pPr>
      <w:r>
        <w:br w:type="page"/>
      </w:r>
    </w:p>
    <w:p>
      <w:pPr>
        <w:pStyle w:val="Ttulo1"/>
        <w:keepNext/>
        <w:spacing w:before="0" w:after="0" w:line="360" w:lineRule="auto"/>
        <w:jc w:val="center"/>
      </w:pPr>
      <w:r>
        <w:rPr>
          <w:rFonts w:ascii="Arial" w:eastAsia="Arial" w:hAnsi="Arial" w:cs="Arial"/>
          <w:b/>
          <w:bCs/>
          <w:color w:val="000000"/>
          <w:sz w:val="24"/>
          <w:szCs w:val="24"/>
        </w:rPr>
        <w:t xml:space="preserve">Relación de abreviaturas</w:t>
      </w:r>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DOF</w:t>
            </w:r>
          </w:p>
        </w:tc>
        <w:tc>
          <w:tcPr>
            <w:tcW w:w="6838" w:type="dxa"/>
          </w:tcPr>
          <w:p>
            <w:pPr>
              <w:spacing w:before="0" w:after="0" w:line="360" w:lineRule="auto"/>
              <w:jc w:val="left"/>
            </w:pPr>
            <w:r>
              <w:rPr>
                <w:rFonts w:ascii="Arial" w:eastAsia="Arial" w:hAnsi="Arial" w:cs="Arial"/>
                <w:color w:val="000000"/>
                <w:sz w:val="24"/>
                <w:szCs w:val="24"/>
              </w:rPr>
              <w:t xml:space="preserve">Diario Oficial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r>
        <w:rPr>
          <w:rFonts w:ascii="Arial" w:eastAsia="Arial" w:hAnsi="Arial" w:cs="Arial"/>
          <w:b/>
          <w:bCs/>
          <w:color w:val="000000"/>
          <w:sz w:val="24"/>
          <w:szCs w:val="24"/>
        </w:rPr>
        <w:t xml:space="preserve">Introducción general</w:t>
      </w:r>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w:t>
      </w:r>
    </w:p>
    <w:p>
      <w:pPr>
        <w:pStyle w:val="Ttulo1"/>
        <w:keepNext/>
        <w:spacing w:before="0" w:after="0" w:line="360" w:lineRule="auto"/>
        <w:jc w:val="center"/>
      </w:pPr>
      <w:r>
        <w:rPr>
          <w:rFonts w:ascii="Arial" w:eastAsia="Arial" w:hAnsi="Arial" w:cs="Arial"/>
          <w:b/>
          <w:bCs/>
          <w:color w:val="000000"/>
          <w:sz w:val="24"/>
          <w:szCs w:val="24"/>
        </w:rPr>
        <w:t xml:space="preserve">La prueba indiciaria y el estándar de prueba: marco teórico general</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pPr>
        <w:spacing w:before="0" w:after="0" w:line="360" w:lineRule="auto"/>
        <w:jc w:val="left"/>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Coherencia, no refutación y eliminación de hipótesis alternativas</w:t>
            </w:r>
          </w:p>
        </w:tc>
      </w:tr>
    </w:tbl>
    <w:p w14:paraId="4BA9792A"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1. Componentes del razonamiento indiciario. Elaboración propia con base en González Lagier, Quaestio facti, pp. 55-62 y 80-91, e Igartua Salaverría, Indicios, duda razonable, prueba científica, pp. 42-46.</w:t>
      </w:r>
    </w:p>
    <w:p>
      <w:pPr>
        <w:spacing w:before="0" w:after="0" w:line="360" w:lineRule="auto"/>
        <w:jc w:val="left"/>
      </w:pP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Los contraindicios no desvirtuados desarticulan la convergencia del conjunto.</w:t>
            </w:r>
          </w:p>
        </w:tc>
      </w:tr>
    </w:tbl>
    <w:p w14:paraId="321E52CE"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lastRenderedPageBreak/>
        <w:t xml:space="preserve">Tabla 2. Clasificaciones de los indicios y sus efectos. Elaboración propia con base en Mittermaier, pp. 365-378, Carnelutti, p. 219, Cortés Coto, pp. 280-287, e Igartua Salaverría, p. 48.</w:t>
      </w:r>
    </w:p>
    <w:p>
      <w:pPr>
        <w:spacing w:before="0" w:after="0" w:line="360" w:lineRule="auto"/>
        <w:jc w:val="left"/>
      </w:pP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spacing w:before="0" w:after="0" w:line="240" w:lineRule="auto"/>
              <w:ind w:left="113" w:hanging="113"/>
              <w:jc w:val="left"/>
            </w:pPr>
            <w:r>
              <w:rPr>
                <w:rFonts w:ascii="Arial" w:eastAsia="Arial" w:hAnsi="Arial" w:cs="Arial"/>
                <w:b/>
                <w:bCs/>
                <w:color w:val="000000"/>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spacing w:before="0" w:after="0" w:line="240" w:lineRule="auto"/>
              <w:ind w:left="113" w:hanging="113"/>
              <w:jc w:val="left"/>
            </w:pPr>
            <w:r>
              <w:rPr>
                <w:rFonts w:ascii="Arial" w:eastAsia="Arial" w:hAnsi="Arial" w:cs="Arial"/>
                <w:color w:val="000000"/>
                <w:sz w:val="22"/>
                <w:szCs w:val="22"/>
              </w:rPr>
              <w:t>El legislador o, en su defecto, la jurisprudencia</w:t>
            </w:r>
          </w:p>
        </w:tc>
      </w:tr>
    </w:tbl>
    <w:p w14:paraId="63FAA4ED" w14:textId="77777777" w:rsidR="00816622" w:rsidRPr="00816622" w:rsidRDefault="00816622" w:rsidP="00816622">
      <w:pPr>
        <w:spacing w:before="0" w:after="0" w:line="360" w:lineRule="auto"/>
        <w:ind w:firstLine="0"/>
        <w:jc w:val="both"/>
      </w:pPr>
      <w:r>
        <w:rPr>
          <w:rFonts w:ascii="Arial" w:eastAsia="Arial" w:hAnsi="Arial" w:cs="Arial"/>
          <w:color w:val="000000"/>
          <w:sz w:val="20"/>
          <w:szCs w:val="20"/>
        </w:rPr>
        <w:t>Tabla 3. Deslinde entre adminiculación y estándar de prueba. Elaboración propia con base en Ferrer Beltrán, La valoración racional de la prueba, pp. 41-49, e Igartua Salaverría, Indicios, duda razonable, prueba científica, pp. 39 y 51.</w:t>
      </w:r>
    </w:p>
    <w:p>
      <w:pPr>
        <w:spacing w:before="0" w:after="0" w:line="360" w:lineRule="auto"/>
        <w:jc w:val="left"/>
      </w:pP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de Enjuiciamiento Criminal</w:t>
            </w:r>
            <w:r>
              <w:rPr>
                <w:rFonts w:ascii="Arial" w:eastAsia="Arial" w:hAnsi="Arial" w:cs="Arial"/>
                <w:color w:val="000000"/>
                <w:sz w:val="22"/>
                <w:szCs w:val="22"/>
              </w:rPr>
              <w:t xml:space="preserve">,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Penal</w:t>
            </w:r>
            <w:r>
              <w:rPr>
                <w:rFonts w:ascii="Arial" w:eastAsia="Arial" w:hAnsi="Arial" w:cs="Arial"/>
                <w:color w:val="000000"/>
                <w:sz w:val="22"/>
                <w:szCs w:val="22"/>
              </w:rPr>
              <w:t xml:space="preserve">,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 y Comercial de la Nación</w:t>
            </w:r>
            <w:r>
              <w:rPr>
                <w:rFonts w:ascii="Arial" w:eastAsia="Arial" w:hAnsi="Arial" w:cs="Arial"/>
                <w:color w:val="000000"/>
                <w:sz w:val="22"/>
                <w:szCs w:val="22"/>
              </w:rPr>
              <w:t xml:space="preserve">,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Procesal Civil</w:t>
            </w:r>
            <w:r>
              <w:rPr>
                <w:rFonts w:ascii="Arial" w:eastAsia="Arial" w:hAnsi="Arial" w:cs="Arial"/>
                <w:color w:val="000000"/>
                <w:sz w:val="22"/>
                <w:szCs w:val="22"/>
              </w:rPr>
              <w:t xml:space="preserve">,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de Procedimiento Penal</w:t>
            </w:r>
            <w:r>
              <w:rPr>
                <w:rFonts w:ascii="Arial" w:eastAsia="Arial" w:hAnsi="Arial" w:cs="Arial"/>
                <w:color w:val="000000"/>
                <w:sz w:val="22"/>
                <w:szCs w:val="22"/>
              </w:rPr>
              <w:t xml:space="preserve">,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Subjetivo</w:t>
            </w:r>
          </w:p>
        </w:tc>
      </w:tr>
    </w:tbl>
    <w:p w14:paraId="5DE6E1B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1. Formulaciones legislativas de la suficiencia probatoria. Elaboración propia con base en Ferrer Beltrán, Prueba sin convicción, pp. 20, 21, 30 y 175, y en el texto vigente de los ordenamientos mexicanos citados.</w:t>
      </w:r>
    </w:p>
    <w:p>
      <w:pPr>
        <w:spacing w:before="0" w:after="0" w:line="360" w:lineRule="auto"/>
        <w:jc w:val="left"/>
      </w:pP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tabla anterior confirma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Estándares de prueba, cargas de la prueba y presunciones</w:t>
            </w:r>
          </w:p>
        </w:tc>
      </w:tr>
    </w:tbl>
    <w:p w14:paraId="13F1C78E"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2. Los tres momentos de la actividad probatoria. Elaboración propia con base en Ferrer Beltrán, La prueba es libertad, pero no tanto, pp. 24-28, y Prueba sin convicción, pp. 22-24.</w:t>
      </w:r>
    </w:p>
    <w:p>
      <w:pPr>
        <w:spacing w:before="0" w:after="0" w:line="360" w:lineRule="auto"/>
        <w:jc w:val="left"/>
      </w:pP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Cuándo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Artículo 15, párrafo 2, de la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Ausente como regla explícita. Sustituido por la convicción y por la plena acreditación</w:t>
            </w:r>
          </w:p>
        </w:tc>
      </w:tr>
    </w:tbl>
    <w:p w14:paraId="638C51D1"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 xml:space="preserve">Tabla 3. Deslinde entre carga de la prueba y estándar de prueba. Elaboración propia con base en Ferrer Beltrán, Prueba sin convicción, pp. 19, 114 y 142,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w:t>
      </w:r>
    </w:p>
    <w:p>
      <w:pPr>
        <w:spacing w:before="0" w:after="0" w:line="360" w:lineRule="auto"/>
        <w:jc w:val="left"/>
      </w:pP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spacing w:before="0" w:after="0" w:line="240" w:lineRule="auto"/>
              <w:ind w:left="113" w:hanging="113"/>
              <w:jc w:val="left"/>
            </w:pPr>
            <w:r>
              <w:rPr>
                <w:rFonts w:ascii="Arial" w:eastAsia="Arial" w:hAnsi="Arial" w:cs="Arial"/>
                <w:b/>
                <w:bCs/>
                <w:color w:val="000000"/>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 xml:space="preserve">Constitución federal,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spacing w:before="0" w:after="0" w:line="240" w:lineRule="auto"/>
              <w:ind w:left="113" w:hanging="113"/>
              <w:jc w:val="left"/>
            </w:pPr>
            <w:r>
              <w:rPr>
                <w:rFonts w:ascii="Arial" w:eastAsia="Arial" w:hAnsi="Arial" w:cs="Arial"/>
                <w:color w:val="000000"/>
                <w:sz w:val="22"/>
                <w:szCs w:val="22"/>
              </w:rPr>
              <w:t>Regla de carga, no estándar</w:t>
            </w:r>
          </w:p>
        </w:tc>
      </w:tr>
    </w:tbl>
    <w:p w14:paraId="709D2E12" w14:textId="77777777" w:rsidR="00657C4E" w:rsidRPr="00657C4E" w:rsidRDefault="00657C4E" w:rsidP="00657C4E">
      <w:pPr>
        <w:spacing w:before="0" w:after="0" w:line="360" w:lineRule="auto"/>
        <w:ind w:firstLine="0"/>
        <w:jc w:val="both"/>
      </w:pPr>
      <w:r>
        <w:rPr>
          <w:rFonts w:ascii="Arial" w:eastAsia="Arial" w:hAnsi="Arial" w:cs="Arial"/>
          <w:color w:val="000000"/>
          <w:sz w:val="20"/>
          <w:szCs w:val="20"/>
        </w:rPr>
        <w:t>Tabla 4. Diagnóstico de disposiciones mexicanas conforme a los requisitos de un estándar de prueba. Elaboración propia con base en los requisitos propuestos por Ferrer Beltrán, Prueba sin convicción, p. 29.</w:t>
      </w:r>
    </w:p>
    <w:p>
      <w:pPr>
        <w:spacing w:before="0" w:after="0" w:line="360" w:lineRule="auto"/>
        <w:jc w:val="left"/>
      </w:pP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Coherencia del procedimiento</w:t>
            </w:r>
          </w:p>
        </w:tc>
      </w:tr>
    </w:tbl>
    <w:p w14:paraId="38526140"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1. Los requisitos metodológicos de un estándar de prueba. Elaboración propia con base en Ferrer Beltrán, Prueba sin convicción, pp. 29-35, 65 y 100-103.</w:t>
      </w:r>
    </w:p>
    <w:p>
      <w:pPr>
        <w:spacing w:before="0" w:after="0" w:line="360" w:lineRule="auto"/>
        <w:jc w:val="left"/>
      </w:pP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Fiabilidad de la inferencia y eliminación de hipótesis rivales</w:t>
            </w:r>
          </w:p>
        </w:tc>
      </w:tr>
    </w:tbl>
    <w:p w14:paraId="397321A1"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2. Probabilidad matemática y probabilidad inductiva. Elaboración propia con base en Ferrer Beltrán, Prueba sin convicción, pp. 89-91 y 100, y Haack, El probabilismo jurídico, pp. 78-82.</w:t>
      </w:r>
    </w:p>
    <w:p>
      <w:pPr>
        <w:spacing w:before="0" w:after="0" w:line="360" w:lineRule="auto"/>
        <w:jc w:val="left"/>
      </w:pP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Pr>
          <w:rFonts w:ascii="Arial" w:eastAsia="Arial" w:hAnsi="Arial" w:cs="Arial"/>
          <w:color w:val="000000"/>
          <w:sz w:val="24"/>
          <w:szCs w:val="24"/>
          <w:vertAlign w:val="superscript"/>
        </w:rPr>
        <w:footnoteReference w:id="225"/>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Enlaza con el cuarto requisito metodológico</w:t>
            </w:r>
          </w:p>
        </w:tc>
      </w:tr>
    </w:tbl>
    <w:p w14:paraId="59BF274F"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3. Razones para fijar el umbral de suficiencia probatoria. Elaboración propia con base en Ferrer Beltrán, Prueba sin convicción, pp. 154-170.</w:t>
      </w:r>
    </w:p>
    <w:p>
      <w:pPr>
        <w:spacing w:before="0" w:after="0" w:line="360" w:lineRule="auto"/>
        <w:jc w:val="left"/>
      </w:pP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 que se sintetizan en la tabla 4.</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La hipótesis es más probablemente verdadera que la de la parte contraria</w:t>
            </w:r>
          </w:p>
        </w:tc>
      </w:tr>
    </w:tbl>
    <w:p w14:paraId="134E22CD"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4. Ejemplos de estándares de prueba de exigencia decreciente. Paráfrasis propia de Ferrer Beltrán, Prueba sin convicción, pp. 209 y 210.</w:t>
      </w:r>
    </w:p>
    <w:p>
      <w:pPr>
        <w:spacing w:before="0" w:after="0" w:line="360" w:lineRule="auto"/>
        <w:jc w:val="left"/>
      </w:pP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spacing w:before="0" w:after="0" w:line="240" w:lineRule="auto"/>
              <w:ind w:left="113" w:hanging="113"/>
              <w:jc w:val="left"/>
            </w:pPr>
            <w:r>
              <w:rPr>
                <w:rFonts w:ascii="Arial" w:eastAsia="Arial" w:hAnsi="Arial" w:cs="Arial"/>
                <w:b/>
                <w:bCs/>
                <w:color w:val="000000"/>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spacing w:before="0" w:after="0" w:line="240" w:lineRule="auto"/>
              <w:ind w:left="113" w:hanging="113"/>
              <w:jc w:val="left"/>
            </w:pP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 xml:space="preserve">Constitución, artículo 41, base VI, y </w:t>
            </w:r>
            <w:r>
              <w:rPr>
                <w:rFonts w:ascii="Arial" w:eastAsia="Arial" w:hAnsi="Arial" w:cs="Arial"/>
                <w:i/>
                <w:iCs/>
                <w:color w:val="000000"/>
                <w:sz w:val="22"/>
                <w:szCs w:val="22"/>
              </w:rPr>
              <w:t xml:space="preserve">Ley General de Medios</w:t>
            </w:r>
            <w:r>
              <w:rPr>
                <w:rFonts w:ascii="Arial" w:eastAsia="Arial" w:hAnsi="Arial" w:cs="Arial"/>
                <w:color w:val="000000"/>
                <w:sz w:val="22"/>
                <w:szCs w:val="22"/>
              </w:rPr>
              <w:t xml:space="preserve">,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spacing w:before="0" w:after="0" w:line="240" w:lineRule="auto"/>
              <w:ind w:left="113" w:hanging="113"/>
              <w:jc w:val="left"/>
            </w:pPr>
            <w:r>
              <w:rPr>
                <w:rFonts w:ascii="Arial" w:eastAsia="Arial" w:hAnsi="Arial" w:cs="Arial"/>
                <w:color w:val="000000"/>
                <w:sz w:val="22"/>
                <w:szCs w:val="22"/>
              </w:rPr>
              <w:t>Depende del diseño legislativo</w:t>
            </w:r>
          </w:p>
        </w:tc>
      </w:tr>
    </w:tbl>
    <w:p w14:paraId="0F257337" w14:textId="77777777" w:rsidR="00E22D4B" w:rsidRPr="00E22D4B" w:rsidRDefault="00E22D4B" w:rsidP="00E22D4B">
      <w:pPr>
        <w:spacing w:before="0" w:after="0" w:line="360" w:lineRule="auto"/>
        <w:ind w:firstLine="0"/>
        <w:jc w:val="both"/>
      </w:pPr>
      <w:r>
        <w:rPr>
          <w:rFonts w:ascii="Arial" w:eastAsia="Arial" w:hAnsi="Arial" w:cs="Arial"/>
          <w:color w:val="000000"/>
          <w:sz w:val="20"/>
          <w:szCs w:val="20"/>
        </w:rPr>
        <w:t>Tabla 5. Matriz de diagnóstico de reglas de suficiencia conforme a los requisitos metodológicos. Elaboración propia con base en Ferrer Beltrán, Prueba sin convicción, pp. 29, 214 y 215, y en los textos normativos citados.</w:t>
      </w:r>
    </w:p>
    <w:p>
      <w:pPr>
        <w:spacing w:before="0" w:after="0" w:line="360" w:lineRule="auto"/>
        <w:jc w:val="left"/>
      </w:pP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II</w:t>
      </w:r>
    </w:p>
    <w:p>
      <w:pPr>
        <w:pStyle w:val="Ttulo1"/>
        <w:keepNext/>
        <w:spacing w:before="0" w:after="0" w:line="360" w:lineRule="auto"/>
        <w:jc w:val="center"/>
      </w:pPr>
      <w:r>
        <w:rPr>
          <w:rFonts w:ascii="Arial" w:eastAsia="Arial" w:hAnsi="Arial" w:cs="Arial"/>
          <w:b/>
          <w:bCs/>
          <w:color w:val="000000"/>
          <w:sz w:val="24"/>
          <w:szCs w:val="24"/>
        </w:rPr>
        <w:t xml:space="preserve">El puente conceptual entre estándar de prueba y determinancia electoral, y el origen de la cláusula híbrida</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 La tabla 1 sintetiza esta evolución.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Añade la injerencia extranjera como causal de nulidad</w:t>
            </w:r>
          </w:p>
        </w:tc>
      </w:tr>
    </w:tbl>
    <w:p w14:paraId="08E7395F"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1. Evolución de la determinancia en la jurisprudencia y en la Constitución. Elaboración propia con base en los criterios citados y en Olaiz González, Estudio de la sentencia SUP-JIN-359/2012, pp. 58-73.</w:t>
      </w:r>
    </w:p>
    <w:p>
      <w:pPr>
        <w:spacing w:before="0" w:after="0" w:line="360" w:lineRule="auto"/>
        <w:jc w:val="left"/>
      </w:pP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Primero y segundo, pues remite a la apreciación del juzgador sin umbral identificable</w:t>
            </w:r>
          </w:p>
        </w:tc>
      </w:tr>
    </w:tbl>
    <w:p w14:paraId="15DEF71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2. El error de categoría en los tres factores de la determinancia. Elaboración propia con base en Ferrer Beltrán, Prueba sin convicción, p. 29, y en los criterios jurisprudenciales citados.</w:t>
      </w:r>
    </w:p>
    <w:p>
      <w:pPr>
        <w:spacing w:before="0" w:after="0" w:line="360" w:lineRule="auto"/>
        <w:jc w:val="left"/>
      </w:pP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La tabla 3 compara estos casos con el SUP-REC-1388/2018.</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Validez</w:t>
            </w:r>
          </w:p>
        </w:tc>
      </w:tr>
    </w:tbl>
    <w:p w14:paraId="14FBBEF0"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pPr>
        <w:spacing w:before="0" w:after="0" w:line="360" w:lineRule="auto"/>
        <w:jc w:val="left"/>
      </w:pP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spacing w:before="0" w:after="0" w:line="240" w:lineRule="auto"/>
              <w:ind w:left="113" w:hanging="113"/>
              <w:jc w:val="left"/>
            </w:pPr>
            <w:r>
              <w:rPr>
                <w:rFonts w:ascii="Arial" w:eastAsia="Arial" w:hAnsi="Arial" w:cs="Arial"/>
                <w:b/>
                <w:bCs/>
                <w:color w:val="000000"/>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Factores cualitativo,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spacing w:before="0" w:after="0" w:line="240" w:lineRule="auto"/>
              <w:ind w:left="113" w:hanging="113"/>
              <w:jc w:val="left"/>
            </w:pPr>
            <w:r>
              <w:rPr>
                <w:rFonts w:ascii="Arial" w:eastAsia="Arial" w:hAnsi="Arial" w:cs="Arial"/>
                <w:color w:val="000000"/>
                <w:sz w:val="22"/>
                <w:szCs w:val="22"/>
              </w:rPr>
              <w:t>Nulidades imprevisibles ante acervos análogos</w:t>
            </w:r>
          </w:p>
        </w:tc>
      </w:tr>
    </w:tbl>
    <w:p w14:paraId="4D015B47" w14:textId="77777777" w:rsidR="00BA1C97" w:rsidRPr="00BA1C97" w:rsidRDefault="00BA1C97" w:rsidP="00BA1C97">
      <w:pPr>
        <w:spacing w:before="0" w:after="0" w:line="360" w:lineRule="auto"/>
        <w:ind w:firstLine="0"/>
        <w:jc w:val="both"/>
      </w:pPr>
      <w:r>
        <w:rPr>
          <w:rFonts w:ascii="Arial" w:eastAsia="Arial" w:hAnsi="Arial" w:cs="Arial"/>
          <w:color w:val="000000"/>
          <w:sz w:val="20"/>
          <w:szCs w:val="20"/>
        </w:rPr>
        <w:t>Tabla 4. Paralelismo entre el artículo 16 y la determinancia. Elaboración propia.</w:t>
      </w:r>
    </w:p>
    <w:p>
      <w:pPr>
        <w:spacing w:before="0" w:after="0" w:line="360" w:lineRule="auto"/>
        <w:jc w:val="left"/>
      </w:pP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Incumple el primer requisito y no satisface el segundo</w:t>
            </w:r>
          </w:p>
        </w:tc>
      </w:tr>
    </w:tbl>
    <w:p w14:paraId="2C8C4060"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 xml:space="preserve">Tabla 1. Estructura de la cláusula híbrida.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y en Ferrer Beltrán, Prueba sin convicción, p. 29.</w:t>
      </w:r>
    </w:p>
    <w:p>
      <w:pPr>
        <w:spacing w:before="0" w:after="0" w:line="360" w:lineRule="auto"/>
        <w:jc w:val="left"/>
      </w:pP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spacing w:before="0" w:after="0" w:line="240" w:lineRule="auto"/>
              <w:ind w:left="113" w:hanging="113"/>
              <w:jc w:val="left"/>
            </w:pPr>
            <w:r>
              <w:rPr>
                <w:rFonts w:ascii="Arial" w:eastAsia="Arial" w:hAnsi="Arial" w:cs="Arial"/>
                <w:i/>
                <w:iCs/>
                <w:color w:val="000000"/>
                <w:sz w:val="22"/>
                <w:szCs w:val="22"/>
              </w:rPr>
              <w:t xml:space="preserve">Ley de Enjuiciamiento Civil</w:t>
            </w:r>
            <w:r>
              <w:rPr>
                <w:rFonts w:ascii="Arial" w:eastAsia="Arial" w:hAnsi="Arial" w:cs="Arial"/>
                <w:color w:val="000000"/>
                <w:sz w:val="22"/>
                <w:szCs w:val="22"/>
              </w:rPr>
              <w:t xml:space="preserve">,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 y racionalidad controlable en un mismo párrafo</w:t>
            </w:r>
          </w:p>
        </w:tc>
      </w:tr>
    </w:tbl>
    <w:p w14:paraId="1697EEB4"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2. Trayectoria de la cláusula híbrida. Elaboración propia con base en Benfeld, Los orígenes del concepto de sana crítica, pp. 571-579, Zamacona Madrigal y García Rodríguez, p. 272, y las resoluciones citadas.</w:t>
      </w:r>
    </w:p>
    <w:p>
      <w:pPr>
        <w:spacing w:before="0" w:after="0" w:line="360" w:lineRule="auto"/>
        <w:jc w:val="left"/>
      </w:pP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Plena convicción</w:t>
            </w:r>
          </w:p>
        </w:tc>
      </w:tr>
    </w:tbl>
    <w:p w14:paraId="39DBD772"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3. Precedentes de la jurisprudencia 38/2002. Elaboración propia con base en las sentencias citadas.</w:t>
      </w:r>
    </w:p>
    <w:p>
      <w:pPr>
        <w:spacing w:before="0" w:after="0" w:line="360" w:lineRule="auto"/>
        <w:jc w:val="left"/>
      </w:pP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spacing w:before="0" w:after="0" w:line="240" w:lineRule="auto"/>
              <w:ind w:left="113" w:hanging="113"/>
              <w:jc w:val="left"/>
            </w:pPr>
            <w:r>
              <w:rPr>
                <w:rFonts w:ascii="Arial" w:eastAsia="Arial" w:hAnsi="Arial" w:cs="Arial"/>
                <w:b/>
                <w:bCs/>
                <w:color w:val="000000"/>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spacing w:before="0" w:after="0" w:line="240" w:lineRule="auto"/>
              <w:ind w:left="113" w:hanging="113"/>
              <w:jc w:val="left"/>
            </w:pPr>
            <w:r>
              <w:rPr>
                <w:rFonts w:ascii="Arial" w:eastAsia="Arial" w:hAnsi="Arial" w:cs="Arial"/>
                <w:color w:val="000000"/>
                <w:sz w:val="22"/>
                <w:szCs w:val="22"/>
              </w:rPr>
              <w:t>Convicción suficiente según el estándar aplicable</w:t>
            </w:r>
          </w:p>
        </w:tc>
      </w:tr>
    </w:tbl>
    <w:p w14:paraId="2A9E9B83" w14:textId="77777777" w:rsidR="000A1322" w:rsidRPr="000A1322" w:rsidRDefault="000A1322" w:rsidP="000A1322">
      <w:pPr>
        <w:spacing w:before="0" w:after="0" w:line="360" w:lineRule="auto"/>
        <w:ind w:firstLine="0"/>
        <w:jc w:val="both"/>
      </w:pPr>
      <w:r>
        <w:rPr>
          <w:rFonts w:ascii="Arial" w:eastAsia="Arial" w:hAnsi="Arial" w:cs="Arial"/>
          <w:color w:val="000000"/>
          <w:sz w:val="20"/>
          <w:szCs w:val="20"/>
        </w:rPr>
        <w:t>Tabla 4. Método y suficiencia en resoluciones seleccionadas. Elaboración propia con base en las resoluciones citadas.</w:t>
      </w:r>
    </w:p>
    <w:p>
      <w:pPr>
        <w:spacing w:before="0" w:after="0" w:line="360" w:lineRule="auto"/>
        <w:jc w:val="left"/>
      </w:pP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La tabla 1 sintetiza el contraste entre las inferencias de la mayoría y las objeciones de la minoría.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Congruencia entre casos</w:t>
            </w:r>
          </w:p>
        </w:tc>
      </w:tr>
    </w:tbl>
    <w:p w14:paraId="6E682FFC"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1. Inferencias de la mayoría y objeciones de la minoría en el caso Tabasco. Elaboración propia con base en la sentencia, t. I, pp. 499-505, y en el voto particular, t. II, pp. 2-7.</w:t>
      </w:r>
    </w:p>
    <w:p>
      <w:pPr>
        <w:spacing w:before="0" w:after="0" w:line="360" w:lineRule="auto"/>
        <w:jc w:val="left"/>
      </w:pP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No definido</w:t>
            </w:r>
          </w:p>
        </w:tc>
      </w:tr>
    </w:tbl>
    <w:p w14:paraId="583D89C6"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2. El par cuantitativo y cualitativo en el voto de 2000 y en la tesis XXXI/2004. Elaboración propia con base en el voto particular, t. II, pp. 3 y 269, y en la tesis XXXI/2004.</w:t>
      </w:r>
    </w:p>
    <w:p>
      <w:pPr>
        <w:spacing w:before="0" w:after="0" w:line="360" w:lineRule="auto"/>
        <w:jc w:val="left"/>
      </w:pP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 La tabla 3 compara ambos disensos.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spacing w:before="0" w:after="0" w:line="240" w:lineRule="auto"/>
              <w:ind w:left="113" w:hanging="113"/>
              <w:jc w:val="left"/>
            </w:pPr>
            <w:r>
              <w:rPr>
                <w:rFonts w:ascii="Arial" w:eastAsia="Arial" w:hAnsi="Arial" w:cs="Arial"/>
                <w:b/>
                <w:bCs/>
                <w:color w:val="000000"/>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spacing w:before="0" w:after="0" w:line="240" w:lineRule="auto"/>
              <w:ind w:left="113" w:hanging="113"/>
              <w:jc w:val="left"/>
            </w:pPr>
            <w:r>
              <w:rPr>
                <w:rFonts w:ascii="Arial" w:eastAsia="Arial" w:hAnsi="Arial" w:cs="Arial"/>
                <w:color w:val="000000"/>
                <w:sz w:val="22"/>
                <w:szCs w:val="22"/>
              </w:rPr>
              <w:t>Convicción de la minoría y suma de indicios no demostrados</w:t>
            </w:r>
          </w:p>
        </w:tc>
      </w:tr>
    </w:tbl>
    <w:p w14:paraId="51E0064F" w14:textId="77777777" w:rsidR="0062405A" w:rsidRPr="0062405A" w:rsidRDefault="0062405A" w:rsidP="0062405A">
      <w:pPr>
        <w:spacing w:before="0" w:after="0" w:line="360" w:lineRule="auto"/>
        <w:ind w:firstLine="0"/>
        <w:jc w:val="both"/>
      </w:pPr>
      <w:r>
        <w:rPr>
          <w:rFonts w:ascii="Arial" w:eastAsia="Arial" w:hAnsi="Arial" w:cs="Arial"/>
          <w:color w:val="000000"/>
          <w:sz w:val="20"/>
          <w:szCs w:val="20"/>
        </w:rPr>
        <w:t>Tabla 3. Continuidad del disenso entre los casos Tabasco y Colima. Elaboración propia con base en el voto particular del caso Tabasco, t. II, pp. 1-7, y en el SUP-JRC-221/2003, pp. 590-597 y 647.</w:t>
      </w:r>
    </w:p>
    <w:p>
      <w:pPr>
        <w:spacing w:before="0" w:after="0" w:line="360" w:lineRule="auto"/>
        <w:jc w:val="left"/>
      </w:pP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III</w:t>
      </w:r>
    </w:p>
    <w:p>
      <w:pPr>
        <w:pStyle w:val="Ttulo1"/>
        <w:keepNext/>
        <w:spacing w:before="0" w:after="0" w:line="360" w:lineRule="auto"/>
        <w:jc w:val="center"/>
      </w:pPr>
      <w:r>
        <w:rPr>
          <w:rFonts w:ascii="Arial" w:eastAsia="Arial" w:hAnsi="Arial" w:cs="Arial"/>
          <w:b/>
          <w:bCs/>
          <w:color w:val="000000"/>
          <w:sz w:val="24"/>
          <w:szCs w:val="24"/>
        </w:rPr>
        <w:t xml:space="preserve">La persistencia de la cláusula híbrida veinticinco años después</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La tabla 1 contrasta estos requisitos con los requisitos metodológicos expuestos en el apartado 1.3.</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Requisitos de los indicios y de las inferencias, pero resultado expresado como convicción, certeza e irrefutabilidad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cumplido</w:t>
            </w:r>
          </w:p>
        </w:tc>
      </w:tr>
    </w:tbl>
    <w:p w14:paraId="2259595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1. Requisitos metodológicos del estándar de prueba y doctrina probatoria de la mayoría en el SUP-JIN-194/2025.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y en el SUP-JIN-194/2025, párrafos 46 y 50-59, 92, 93 y 104-109.</w:t>
      </w:r>
    </w:p>
    <w:p>
      <w:pPr>
        <w:spacing w:before="0" w:after="0" w:line="360" w:lineRule="auto"/>
        <w:jc w:val="left"/>
      </w:pP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 La tabla 2 los ordena según su aparición en la sentencia.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Epistémico</w:t>
            </w:r>
          </w:p>
        </w:tc>
      </w:tr>
    </w:tbl>
    <w:p w14:paraId="0298BE03"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Tabla 2. El vocabulario de la suficiencia en la sentencia mayoritaria del SUP-JIN-194/2025. Elaboración propia con base en el SUP-JIN-194/2025, párrafos 51-113.</w:t>
      </w:r>
    </w:p>
    <w:p>
      <w:pPr>
        <w:spacing w:before="0" w:after="0" w:line="360" w:lineRule="auto"/>
        <w:jc w:val="left"/>
      </w:pP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la tabla 2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 xml:space="preserve">Convicción, certeza, irrefutabilidad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584EFFB0"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3. Cotejo entre el caso Tabasco y el SUP-JIN-194/2025. Elaboración propia con base en </w:t>
      </w:r>
      <w:r>
        <w:rPr>
          <w:rFonts w:ascii="Arial" w:eastAsia="Arial" w:hAnsi="Arial" w:cs="Arial"/>
          <w:i/>
          <w:iCs/>
          <w:color w:val="000000"/>
          <w:sz w:val="20"/>
          <w:szCs w:val="20"/>
        </w:rPr>
        <w:t>Caso Tabasco</w:t>
      </w:r>
      <w:r>
        <w:rPr>
          <w:rFonts w:ascii="Arial" w:eastAsia="Arial" w:hAnsi="Arial" w:cs="Arial"/>
          <w:color w:val="000000"/>
          <w:sz w:val="20"/>
          <w:szCs w:val="20"/>
        </w:rPr>
        <w:t>, t. I, pp. 424, 430, 431, 499 y 505, y en el SUP-JIN-194/2025, párrafos 46, 48, 50-59, 74 y 109-113, y p. 34.</w:t>
      </w:r>
    </w:p>
    <w:p>
      <w:pPr>
        <w:spacing w:before="0" w:after="0" w:line="360" w:lineRule="auto"/>
        <w:jc w:val="left"/>
      </w:pP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como sintetiza la tabla 4.</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spacing w:before="0" w:after="0" w:line="240" w:lineRule="auto"/>
              <w:ind w:left="113" w:hanging="113"/>
              <w:jc w:val="left"/>
            </w:pPr>
            <w:r>
              <w:rPr>
                <w:rFonts w:ascii="Arial" w:eastAsia="Arial" w:hAnsi="Arial" w:cs="Arial"/>
                <w:b/>
                <w:bCs/>
                <w:color w:val="000000"/>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spacing w:before="0" w:after="0" w:line="240" w:lineRule="auto"/>
              <w:ind w:left="113" w:hanging="113"/>
              <w:jc w:val="left"/>
            </w:pPr>
            <w:r>
              <w:rPr>
                <w:rFonts w:ascii="Arial" w:eastAsia="Arial" w:hAnsi="Arial" w:cs="Arial"/>
                <w:color w:val="000000"/>
                <w:sz w:val="22"/>
                <w:szCs w:val="22"/>
              </w:rPr>
              <w:t>No</w:t>
            </w:r>
          </w:p>
        </w:tc>
      </w:tr>
    </w:tbl>
    <w:p w14:paraId="6A1965B2" w14:textId="77777777" w:rsidR="00A019C7" w:rsidRPr="00A019C7" w:rsidRDefault="00A019C7" w:rsidP="00A019C7">
      <w:pPr>
        <w:spacing w:before="0" w:after="0" w:line="360" w:lineRule="auto"/>
        <w:ind w:firstLine="0"/>
        <w:jc w:val="both"/>
      </w:pPr>
      <w:r>
        <w:rPr>
          <w:rFonts w:ascii="Arial" w:eastAsia="Arial" w:hAnsi="Arial" w:cs="Arial"/>
          <w:color w:val="000000"/>
          <w:sz w:val="20"/>
          <w:szCs w:val="20"/>
        </w:rPr>
        <w:t xml:space="preserve">Tabla 4. Reformas constitucionales y legales y régimen de suficiencia probatoria. Elaboración propia con base en la </w:t>
      </w:r>
      <w:r>
        <w:rPr>
          <w:rFonts w:ascii="Arial" w:eastAsia="Arial" w:hAnsi="Arial" w:cs="Arial"/>
          <w:i/>
          <w:iCs/>
          <w:color w:val="000000"/>
          <w:sz w:val="20"/>
          <w:szCs w:val="20"/>
        </w:rPr>
        <w:t xml:space="preserve">Constitución Política de los Estados Unidos Mexicanos</w:t>
      </w:r>
      <w:r>
        <w:rPr>
          <w:rFonts w:ascii="Arial" w:eastAsia="Arial" w:hAnsi="Arial" w:cs="Arial"/>
          <w:color w:val="000000"/>
          <w:sz w:val="20"/>
          <w:szCs w:val="20"/>
        </w:rPr>
        <w:t xml:space="preserve"> y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textos vigentes.</w:t>
      </w:r>
    </w:p>
    <w:p>
      <w:pPr>
        <w:spacing w:before="0" w:after="0" w:line="360" w:lineRule="auto"/>
        <w:jc w:val="left"/>
      </w:pP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Acreditado</w:t>
            </w:r>
          </w:p>
        </w:tc>
      </w:tr>
    </w:tbl>
    <w:p w14:paraId="59ADF591"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1. Esquema de estándares del voto particular de Rodríguez Mondragón. Elaboración propia con base en el proyecto reproducido en el voto, párrafos 82-126, 304, 471-473 y 513-527.</w:t>
      </w:r>
    </w:p>
    <w:p>
      <w:pPr>
        <w:spacing w:before="0" w:after="0" w:line="360" w:lineRule="auto"/>
        <w:jc w:val="left"/>
      </w:pP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 La tabla 2 sintetiza la comparación entre la sentencia mayoritaria y el voto.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 xml:space="preserve">Método referido al acervo y resultado expresado como convicción, certeza e irrefutabilidad</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Estándares diferenciados por hecho y fijados por modulación judicial</w:t>
            </w:r>
          </w:p>
        </w:tc>
      </w:tr>
    </w:tbl>
    <w:p w14:paraId="43B8E716"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 xml:space="preserve">Tabla 2. La sentencia mayoritaria y el voto particular frente a los requisitos metodológicos.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29, en el SUP-JIN-194/2025, párrafos 46, 50-59 y 104-113, y en el voto particular, pp. 17-21 y 38-45, y párrafos 82-161 y 471-473 del proyecto.</w:t>
      </w:r>
    </w:p>
    <w:p>
      <w:pPr>
        <w:spacing w:before="0" w:after="0" w:line="360" w:lineRule="auto"/>
        <w:jc w:val="left"/>
      </w:pP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spacing w:before="0" w:after="0" w:line="240" w:lineRule="auto"/>
              <w:ind w:left="113" w:hanging="113"/>
              <w:jc w:val="left"/>
            </w:pPr>
            <w:r>
              <w:rPr>
                <w:rFonts w:ascii="Arial" w:eastAsia="Arial" w:hAnsi="Arial" w:cs="Arial"/>
                <w:b/>
                <w:bCs/>
                <w:color w:val="000000"/>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spacing w:before="0" w:after="0" w:line="240" w:lineRule="auto"/>
              <w:ind w:left="113" w:hanging="113"/>
              <w:jc w:val="left"/>
            </w:pPr>
            <w:r>
              <w:rPr>
                <w:rFonts w:ascii="Arial" w:eastAsia="Arial" w:hAnsi="Arial" w:cs="Arial"/>
                <w:color w:val="000000"/>
                <w:sz w:val="22"/>
                <w:szCs w:val="22"/>
              </w:rPr>
              <w:t>Tres factores y análisis estadístico</w:t>
            </w:r>
          </w:p>
        </w:tc>
      </w:tr>
    </w:tbl>
    <w:p w14:paraId="0E2F0593" w14:textId="77777777" w:rsidR="00224E50" w:rsidRPr="00224E50" w:rsidRDefault="00224E50" w:rsidP="00224E50">
      <w:pPr>
        <w:spacing w:before="0" w:after="0" w:line="360" w:lineRule="auto"/>
        <w:ind w:firstLine="0"/>
        <w:jc w:val="both"/>
      </w:pPr>
      <w:r>
        <w:rPr>
          <w:rFonts w:ascii="Arial" w:eastAsia="Arial" w:hAnsi="Arial" w:cs="Arial"/>
          <w:color w:val="000000"/>
          <w:sz w:val="20"/>
          <w:szCs w:val="20"/>
        </w:rPr>
        <w:t>Tabla 3. Cotejo entre los votos particulares de 2000 y 2025. Elaboración propia con base en el voto particular del caso Tabasco, t. II, pp. 1-7 y 269, y en el voto particular en el SUP-JIN-194/2025, pp. 17-21 y 38-45, y párrafos 82-161 del proyecto.</w:t>
      </w:r>
    </w:p>
    <w:p>
      <w:pPr>
        <w:spacing w:before="0" w:after="0" w:line="360" w:lineRule="auto"/>
        <w:jc w:val="left"/>
      </w:pP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Solo parcial, porque falta la regla que debería interpretarse</w:t>
            </w:r>
          </w:p>
        </w:tc>
      </w:tr>
    </w:tbl>
    <w:p w14:paraId="5BA12819"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1. Deslinde entre la cláusula mixta, la textura abierta y la ambigüedad. Elaboración propia con base en Hart, </w:t>
      </w:r>
      <w:r>
        <w:rPr>
          <w:rFonts w:ascii="Arial" w:eastAsia="Arial" w:hAnsi="Arial" w:cs="Arial"/>
          <w:i/>
          <w:iCs/>
          <w:color w:val="000000"/>
          <w:sz w:val="20"/>
          <w:szCs w:val="20"/>
        </w:rPr>
        <w:t>El concepto de derecho</w:t>
      </w:r>
      <w:r>
        <w:rPr>
          <w:rFonts w:ascii="Arial" w:eastAsia="Arial" w:hAnsi="Arial" w:cs="Arial"/>
          <w:color w:val="000000"/>
          <w:sz w:val="20"/>
          <w:szCs w:val="20"/>
        </w:rPr>
        <w:t>, pp. 153, 158 y 159, en Montoya Zamora, Las reglas de la lógica, pp. 31 y 32, y en el artículo 16 de la ley de medios.</w:t>
      </w:r>
    </w:p>
    <w:p>
      <w:pPr>
        <w:spacing w:before="0" w:after="0" w:line="360" w:lineRule="auto"/>
        <w:jc w:val="left"/>
      </w:pP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Regla legal de peso derrotable</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Cuándo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Qué se valora</w:t>
            </w:r>
          </w:p>
        </w:tc>
      </w:tr>
    </w:tbl>
    <w:p w14:paraId="4A5864D0"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 xml:space="preserve">Tabla 2. Estructura del artículo 16 de la ley de medios.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 16, texto vigente.</w:t>
      </w:r>
    </w:p>
    <w:p>
      <w:pPr>
        <w:spacing w:before="0" w:after="0" w:line="360" w:lineRule="auto"/>
        <w:jc w:val="left"/>
      </w:pP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spacing w:before="0" w:after="0" w:line="240" w:lineRule="auto"/>
              <w:ind w:left="113" w:hanging="113"/>
              <w:jc w:val="left"/>
            </w:pPr>
            <w:r>
              <w:rPr>
                <w:rFonts w:ascii="Arial" w:eastAsia="Arial" w:hAnsi="Arial" w:cs="Arial"/>
                <w:b/>
                <w:bCs/>
                <w:color w:val="000000"/>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Ley General de Instituciones y Procedimientos Electorales</w:t>
            </w:r>
            <w:r>
              <w:rPr>
                <w:rFonts w:ascii="Arial" w:eastAsia="Arial" w:hAnsi="Arial" w:cs="Arial"/>
                <w:color w:val="000000"/>
                <w:sz w:val="22"/>
                <w:szCs w:val="22"/>
              </w:rPr>
              <w:t xml:space="preserve">,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 xml:space="preserve">Documentales públicas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spacing w:before="0" w:after="0" w:line="240" w:lineRule="auto"/>
              <w:ind w:left="113" w:hanging="113"/>
              <w:jc w:val="left"/>
            </w:pPr>
            <w:r>
              <w:rPr>
                <w:rFonts w:ascii="Arial" w:eastAsia="Arial" w:hAnsi="Arial" w:cs="Arial"/>
                <w:i/>
                <w:iCs/>
                <w:color w:val="000000"/>
                <w:sz w:val="22"/>
                <w:szCs w:val="22"/>
              </w:rPr>
              <w:t xml:space="preserve">Código Nacional de Procedimientos Penales</w:t>
            </w:r>
            <w:r>
              <w:rPr>
                <w:rFonts w:ascii="Arial" w:eastAsia="Arial" w:hAnsi="Arial" w:cs="Arial"/>
                <w:color w:val="000000"/>
                <w:sz w:val="22"/>
                <w:szCs w:val="22"/>
              </w:rPr>
              <w:t xml:space="preserve">,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spacing w:before="0" w:after="0" w:line="240" w:lineRule="auto"/>
              <w:ind w:left="113" w:hanging="113"/>
              <w:jc w:val="left"/>
            </w:pPr>
            <w:r>
              <w:rPr>
                <w:rFonts w:ascii="Arial" w:eastAsia="Arial" w:hAnsi="Arial" w:cs="Arial"/>
                <w:color w:val="000000"/>
                <w:sz w:val="22"/>
                <w:szCs w:val="22"/>
              </w:rPr>
              <w:t>Convicción que genere la pericial</w:t>
            </w:r>
          </w:p>
        </w:tc>
      </w:tr>
    </w:tbl>
    <w:p w14:paraId="7C0F411D" w14:textId="77777777" w:rsidR="00FB3B55" w:rsidRPr="00FB3B55" w:rsidRDefault="00FB3B55" w:rsidP="00FB3B55">
      <w:pPr>
        <w:spacing w:before="0" w:after="0" w:line="360" w:lineRule="auto"/>
        <w:ind w:firstLine="0"/>
        <w:jc w:val="both"/>
      </w:pPr>
      <w:r>
        <w:rPr>
          <w:rFonts w:ascii="Arial" w:eastAsia="Arial" w:hAnsi="Arial" w:cs="Arial"/>
          <w:color w:val="000000"/>
          <w:sz w:val="20"/>
          <w:szCs w:val="20"/>
        </w:rPr>
        <w:t>Tabla 3. Cláusulas mixtas en el derecho procesal mexicano. Elaboración propia con base en los ordenamientos citados y en el SRE-PSC-236/2024.</w:t>
      </w:r>
    </w:p>
    <w:p>
      <w:pPr>
        <w:spacing w:before="0" w:after="0" w:line="360" w:lineRule="auto"/>
        <w:jc w:val="left"/>
      </w:pP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IV</w:t>
      </w:r>
    </w:p>
    <w:p>
      <w:pPr>
        <w:pStyle w:val="Ttulo1"/>
        <w:keepNext/>
        <w:spacing w:before="0" w:after="0" w:line="360" w:lineRule="auto"/>
        <w:jc w:val="center"/>
      </w:pPr>
      <w:r>
        <w:rPr>
          <w:rFonts w:ascii="Arial" w:eastAsia="Arial" w:hAnsi="Arial" w:cs="Arial"/>
          <w:b/>
          <w:bCs/>
          <w:color w:val="000000"/>
          <w:sz w:val="24"/>
          <w:szCs w:val="24"/>
        </w:rPr>
        <w:t xml:space="preserve">El fundamento metodológico de un estándar de prueba propio para la materia electoral</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Sí. La concreta distribución depende de la altura del umbral</w:t>
            </w:r>
          </w:p>
        </w:tc>
      </w:tr>
    </w:tbl>
    <w:p w14:paraId="3108FED4"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1. Las tres funciones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109-115.</w:t>
      </w:r>
    </w:p>
    <w:p>
      <w:pPr>
        <w:spacing w:before="0" w:after="0" w:line="360" w:lineRule="auto"/>
        <w:jc w:val="left"/>
      </w:pP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El actor, que queda sin reparación por un daño real</w:t>
            </w:r>
          </w:p>
        </w:tc>
      </w:tr>
    </w:tbl>
    <w:p w14:paraId="620B3A6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lastRenderedPageBreak/>
        <w:t xml:space="preserve">Tabla 2. Los errores materiales en la decisión sobre los hechos.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xml:space="preserve">, p. 115, y Laudan, </w:t>
      </w:r>
      <w:r>
        <w:rPr>
          <w:rFonts w:ascii="Arial" w:eastAsia="Arial" w:hAnsi="Arial" w:cs="Arial"/>
          <w:i/>
          <w:iCs/>
          <w:color w:val="000000"/>
          <w:sz w:val="20"/>
          <w:szCs w:val="20"/>
        </w:rPr>
        <w:t>Truth, Error, and Criminal Law</w:t>
      </w:r>
      <w:r>
        <w:rPr>
          <w:rFonts w:ascii="Arial" w:eastAsia="Arial" w:hAnsi="Arial" w:cs="Arial"/>
          <w:color w:val="000000"/>
          <w:sz w:val="20"/>
          <w:szCs w:val="20"/>
        </w:rPr>
        <w:t>, p. 10.</w:t>
      </w:r>
    </w:p>
    <w:p>
      <w:pPr>
        <w:spacing w:before="0" w:after="0" w:line="360" w:lineRule="auto"/>
        <w:jc w:val="left"/>
      </w:pP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spacing w:before="0" w:after="0" w:line="240" w:lineRule="auto"/>
              <w:ind w:left="113" w:hanging="113"/>
              <w:jc w:val="left"/>
            </w:pPr>
            <w:r>
              <w:rPr>
                <w:rFonts w:ascii="Arial" w:eastAsia="Arial" w:hAnsi="Arial" w:cs="Arial"/>
                <w:b/>
                <w:bCs/>
                <w:color w:val="000000"/>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spacing w:before="0" w:after="0" w:line="240" w:lineRule="auto"/>
              <w:ind w:left="113" w:hanging="113"/>
              <w:jc w:val="left"/>
            </w:pPr>
            <w:r>
              <w:rPr>
                <w:rFonts w:ascii="Arial" w:eastAsia="Arial" w:hAnsi="Arial" w:cs="Arial"/>
                <w:color w:val="000000"/>
                <w:sz w:val="22"/>
                <w:szCs w:val="22"/>
              </w:rPr>
              <w:t>Actor y ciudadanía sujeta a un resultado que no expresa su voluntad libre</w:t>
            </w:r>
          </w:p>
        </w:tc>
      </w:tr>
    </w:tbl>
    <w:p w14:paraId="6179C73C" w14:textId="77777777" w:rsidR="00964EC4" w:rsidRPr="00964EC4" w:rsidRDefault="00964EC4" w:rsidP="00964EC4">
      <w:pPr>
        <w:spacing w:before="0" w:after="0" w:line="360" w:lineRule="auto"/>
        <w:ind w:firstLine="0"/>
        <w:jc w:val="both"/>
      </w:pPr>
      <w:r>
        <w:rPr>
          <w:rFonts w:ascii="Arial" w:eastAsia="Arial" w:hAnsi="Arial" w:cs="Arial"/>
          <w:color w:val="000000"/>
          <w:sz w:val="20"/>
          <w:szCs w:val="20"/>
        </w:rPr>
        <w:t xml:space="preserve">Tabla 3. Distribución de los errores entre quien impugna y quien defiende la validez de la elección. Elaboración propia con base en la </w:t>
      </w:r>
      <w:r>
        <w:rPr>
          <w:rFonts w:ascii="Arial" w:eastAsia="Arial" w:hAnsi="Arial" w:cs="Arial"/>
          <w:i/>
          <w:iCs/>
          <w:color w:val="000000"/>
          <w:sz w:val="20"/>
          <w:szCs w:val="20"/>
        </w:rPr>
        <w:t xml:space="preserve">Ley General del Sistema de Medios de Impugnación en Materia Electoral</w:t>
      </w:r>
      <w:r>
        <w:rPr>
          <w:rFonts w:ascii="Arial" w:eastAsia="Arial" w:hAnsi="Arial" w:cs="Arial"/>
          <w:color w:val="000000"/>
          <w:sz w:val="20"/>
          <w:szCs w:val="20"/>
        </w:rPr>
        <w:t xml:space="preserve">, artículos 12 y 15.</w:t>
      </w:r>
    </w:p>
    <w:p>
      <w:pPr>
        <w:spacing w:before="0" w:after="0" w:line="360" w:lineRule="auto"/>
        <w:jc w:val="left"/>
      </w:pP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169 y 170</w:t>
            </w:r>
          </w:p>
        </w:tc>
      </w:tr>
    </w:tbl>
    <w:p w14:paraId="18400E6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1. Razones para fijar el nivel de exigencia del estándar de prueba. Elaboración propia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154-170.</w:t>
      </w:r>
    </w:p>
    <w:p>
      <w:pPr>
        <w:spacing w:before="0" w:after="0" w:line="360" w:lineRule="auto"/>
        <w:jc w:val="left"/>
      </w:pP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Indisponible, por afectar bienes de la ciudadanía</w:t>
            </w:r>
          </w:p>
        </w:tc>
      </w:tr>
    </w:tbl>
    <w:p w14:paraId="5BF0F889"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 64, y SUP-JIN-194/2025, párrafo 45.</w:t>
      </w:r>
    </w:p>
    <w:p>
      <w:pPr>
        <w:spacing w:before="0" w:after="0" w:line="360" w:lineRule="auto"/>
        <w:jc w:val="left"/>
      </w:pP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1. Bienes en juego en la decisión sobre la validez de una elección. Elaboración propia con base en las disposiciones y criterios citados. La identificación de los tres bienes es una propuesta de esta investigación.</w:t>
      </w:r>
    </w:p>
    <w:p>
      <w:pPr>
        <w:spacing w:before="0" w:after="0" w:line="360" w:lineRule="auto"/>
        <w:jc w:val="left"/>
      </w:pP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spacing w:before="0" w:after="0" w:line="240" w:lineRule="auto"/>
              <w:ind w:left="113" w:hanging="113"/>
              <w:jc w:val="left"/>
            </w:pPr>
            <w:r>
              <w:rPr>
                <w:rFonts w:ascii="Arial" w:eastAsia="Arial" w:hAnsi="Arial" w:cs="Arial"/>
                <w:b/>
                <w:bCs/>
                <w:color w:val="000000"/>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spacing w:before="0" w:after="0" w:line="240" w:lineRule="auto"/>
              <w:ind w:left="113" w:hanging="113"/>
              <w:jc w:val="left"/>
            </w:pPr>
            <w:r>
              <w:rPr>
                <w:rFonts w:ascii="Arial" w:eastAsia="Arial" w:hAnsi="Arial" w:cs="Arial"/>
                <w:color w:val="000000"/>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0" w:after="0" w:line="360" w:lineRule="auto"/>
        <w:ind w:firstLine="0"/>
        <w:jc w:val="both"/>
      </w:pPr>
      <w:r>
        <w:rPr>
          <w:rFonts w:ascii="Arial" w:eastAsia="Arial" w:hAnsi="Arial" w:cs="Arial"/>
          <w:color w:val="000000"/>
          <w:sz w:val="20"/>
          <w:szCs w:val="20"/>
        </w:rPr>
        <w:t>Tabla 2. Los dos errores en la decisión sobre la validez de una elección. Elaboración propia. La asignación de bienes a cada error es análisis de esta investigación.</w:t>
      </w:r>
    </w:p>
    <w:p>
      <w:pPr>
        <w:spacing w:before="0" w:after="0" w:line="360" w:lineRule="auto"/>
        <w:jc w:val="left"/>
      </w:pP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r>
        <w:rPr>
          <w:rFonts w:ascii="Arial" w:eastAsia="Arial" w:hAnsi="Arial" w:cs="Arial"/>
          <w:b/>
          <w:bCs/>
          <w:color w:val="000000"/>
          <w:sz w:val="24"/>
          <w:szCs w:val="24"/>
        </w:rPr>
        <w:t xml:space="preserve">Capítulo V</w:t>
      </w:r>
    </w:p>
    <w:p>
      <w:pPr>
        <w:pStyle w:val="Ttulo1"/>
        <w:keepNext/>
        <w:spacing w:before="0" w:after="0" w:line="360" w:lineRule="auto"/>
        <w:jc w:val="center"/>
      </w:pPr>
      <w:r>
        <w:rPr>
          <w:rFonts w:ascii="Arial" w:eastAsia="Arial" w:hAnsi="Arial" w:cs="Arial"/>
          <w:b/>
          <w:bCs/>
          <w:color w:val="000000"/>
          <w:sz w:val="24"/>
          <w:szCs w:val="24"/>
        </w:rPr>
        <w:t xml:space="preserve">Propuesta de diseño legislativo de un estándar de prueba para el contencioso electoral mexicano</w:t>
      </w:r>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spacing w:before="0" w:after="0" w:line="240" w:lineRule="auto"/>
              <w:ind w:left="113" w:hanging="113"/>
              <w:jc w:val="left"/>
            </w:pPr>
            <w:r>
              <w:rPr>
                <w:rFonts w:ascii="Arial" w:eastAsia="Arial" w:hAnsi="Arial" w:cs="Arial"/>
                <w:b/>
                <w:bCs/>
                <w:color w:val="000000"/>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spacing w:before="0" w:after="0" w:line="240" w:lineRule="auto"/>
              <w:ind w:left="113" w:hanging="113"/>
              <w:jc w:val="left"/>
            </w:pPr>
            <w:r>
              <w:rPr>
                <w:rFonts w:ascii="Arial" w:eastAsia="Arial" w:hAnsi="Arial" w:cs="Arial"/>
                <w:color w:val="000000"/>
                <w:sz w:val="22"/>
                <w:szCs w:val="22"/>
              </w:rPr>
              <w:t>No lo satisface. La distribución queda al juzgador de cada caso</w:t>
            </w:r>
          </w:p>
        </w:tc>
      </w:tr>
    </w:tbl>
    <w:p w14:paraId="3051FBB3" w14:textId="77777777" w:rsidR="00256ADA" w:rsidRPr="00383BF1" w:rsidRDefault="00256ADA" w:rsidP="00256ADA">
      <w:pPr>
        <w:spacing w:before="0" w:after="0" w:line="360" w:lineRule="auto"/>
        <w:ind w:firstLine="0"/>
        <w:jc w:val="both"/>
      </w:pPr>
      <w:r>
        <w:rPr>
          <w:rFonts w:ascii="Arial" w:eastAsia="Arial" w:hAnsi="Arial" w:cs="Arial"/>
          <w:color w:val="000000"/>
          <w:sz w:val="20"/>
          <w:szCs w:val="20"/>
        </w:rPr>
        <w:t xml:space="preserve">Tabla 1. Criterios para la reforma del artículo 16 de la ley de medios. Elaboración propia. Los cuatro primeros criterios se basan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El quinto y la columna sobre el texto vigente son análisis de esta investigación.</w:t>
      </w:r>
    </w:p>
    <w:p>
      <w:pPr>
        <w:spacing w:before="0" w:after="0" w:line="360" w:lineRule="auto"/>
        <w:jc w:val="left"/>
      </w:pP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spacing w:before="0" w:after="0" w:line="240" w:lineRule="auto"/>
              <w:ind w:left="113" w:hanging="113"/>
              <w:jc w:val="left"/>
            </w:pPr>
            <w:r>
              <w:rPr>
                <w:rFonts w:ascii="Arial" w:eastAsia="Arial" w:hAnsi="Arial" w:cs="Arial"/>
                <w:b/>
                <w:bCs/>
                <w:color w:val="000000"/>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spacing w:before="0" w:after="0" w:line="240" w:lineRule="auto"/>
              <w:ind w:left="113" w:hanging="113"/>
              <w:jc w:val="left"/>
            </w:pPr>
            <w:r>
              <w:rPr>
                <w:rFonts w:ascii="Arial" w:eastAsia="Arial" w:hAnsi="Arial" w:cs="Arial"/>
                <w:color w:val="000000"/>
                <w:sz w:val="22"/>
                <w:szCs w:val="22"/>
              </w:rPr>
              <w:t>Preferencia moderada por la validez fijada en la ley</w:t>
            </w:r>
          </w:p>
        </w:tc>
      </w:tr>
    </w:tbl>
    <w:p w14:paraId="094397C0" w14:textId="77777777" w:rsidR="00E0113E" w:rsidRPr="00E0113E" w:rsidRDefault="00E0113E" w:rsidP="00E0113E">
      <w:pPr>
        <w:spacing w:before="0" w:after="0" w:line="360" w:lineRule="auto"/>
        <w:ind w:firstLine="0"/>
        <w:jc w:val="both"/>
      </w:pPr>
      <w:r>
        <w:rPr>
          <w:rFonts w:ascii="Arial" w:eastAsia="Arial" w:hAnsi="Arial" w:cs="Arial"/>
          <w:color w:val="000000"/>
          <w:sz w:val="20"/>
          <w:szCs w:val="20"/>
        </w:rPr>
        <w:t xml:space="preserve">Tabla 1. Correspondencia entre el estándar propuesto y los criterios para la reforma. Elaboración propia. La formulación del estándar y esta verificación son propuesta de esta investigación, con base en Ferrer Beltrán, </w:t>
      </w:r>
      <w:r>
        <w:rPr>
          <w:rFonts w:ascii="Arial" w:eastAsia="Arial" w:hAnsi="Arial" w:cs="Arial"/>
          <w:i/>
          <w:iCs/>
          <w:color w:val="000000"/>
          <w:sz w:val="20"/>
          <w:szCs w:val="20"/>
        </w:rPr>
        <w:t>Prueba sin convicción</w:t>
      </w:r>
      <w:r>
        <w:rPr>
          <w:rFonts w:ascii="Arial" w:eastAsia="Arial" w:hAnsi="Arial" w:cs="Arial"/>
          <w:color w:val="000000"/>
          <w:sz w:val="20"/>
          <w:szCs w:val="20"/>
        </w:rPr>
        <w:t>, pp. 29-103 y 209-235.</w:t>
      </w:r>
    </w:p>
    <w:p>
      <w:pPr>
        <w:spacing w:before="0" w:after="0" w:line="360" w:lineRule="auto"/>
        <w:jc w:val="left"/>
      </w:pP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pPr>
        <w:spacing w:before="0" w:after="0" w:line="360" w:lineRule="auto"/>
        <w:jc w:val="left"/>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spacing w:before="0" w:after="0" w:line="240" w:lineRule="auto"/>
              <w:ind w:left="113" w:hanging="113"/>
              <w:jc w:val="left"/>
            </w:pPr>
            <w:r>
              <w:rPr>
                <w:rFonts w:ascii="Arial" w:eastAsia="Arial" w:hAnsi="Arial" w:cs="Arial"/>
                <w:b/>
                <w:bCs/>
                <w:color w:val="000000"/>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spacing w:before="0" w:after="0" w:line="240" w:lineRule="auto"/>
              <w:ind w:left="113" w:hanging="113"/>
              <w:jc w:val="left"/>
            </w:pPr>
            <w:r>
              <w:rPr>
                <w:rFonts w:ascii="Arial" w:eastAsia="Arial" w:hAnsi="Arial" w:cs="Arial"/>
                <w:color w:val="000000"/>
                <w:sz w:val="22"/>
                <w:szCs w:val="22"/>
              </w:rPr>
              <w:t>Ferrer Beltrán, pp. 231-234</w:t>
            </w:r>
          </w:p>
        </w:tc>
      </w:tr>
    </w:tbl>
    <w:p w14:paraId="0234E20D" w14:textId="77777777" w:rsidR="00DF3B02" w:rsidRPr="00DF3B02" w:rsidRDefault="00DF3B02" w:rsidP="00DF3B02">
      <w:pPr>
        <w:spacing w:before="0" w:after="0" w:line="360" w:lineRule="auto"/>
        <w:ind w:firstLine="0"/>
        <w:jc w:val="both"/>
      </w:pPr>
      <w:r>
        <w:rPr>
          <w:rFonts w:ascii="Arial" w:eastAsia="Arial" w:hAnsi="Arial" w:cs="Arial"/>
          <w:color w:val="000000"/>
          <w:sz w:val="20"/>
          <w:szCs w:val="20"/>
        </w:rPr>
        <w:t>Tabla 1. Correspondencia entre las condiciones del estándar propuesto y el razonamiento indiciario. Elaboración propia. La correspondencia es análisis de esta investigación con base en las fuentes citadas.</w:t>
      </w:r>
    </w:p>
    <w:p>
      <w:pPr>
        <w:spacing w:before="0" w:after="0" w:line="360" w:lineRule="auto"/>
        <w:jc w:val="left"/>
      </w:pP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r>
        <w:rPr>
          <w:rFonts w:ascii="Arial" w:eastAsia="Arial" w:hAnsi="Arial" w:cs="Arial"/>
          <w:b/>
          <w:bCs/>
          <w:color w:val="000000"/>
          <w:sz w:val="24"/>
          <w:szCs w:val="24"/>
        </w:rPr>
        <w:t xml:space="preserve">Bibliografía</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