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se dispone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incorpora la reproducción íntegra del proyecto de sentencia que la mayoría rechazó. Ese voto constituye un punto de inflexión dogmático. Denuncia formalmente la ausencia de un estándar de prueba. Además, estructura una teoría explícita sobre los umbrales de suficiencia aplicables a la nulidad de comicios. Pese a la densidad de su propuesta, la postura disidente alberga tres tensiones internas de peso. La primera es que preserva el vocabulario psicologista de la convicción para describir el resultado probatorio. La segunda es que supedita el estándar a la potestad del juzgador de modularlo caso por caso según la naturaleza de la irregularidad. La tercera es que formula la acreditación del impacto determinante mediante pautas que no se ajustan al umbral que el propio proyecto postula como aplicable. El examen de estas tensiones a la luz de los requisitos metodológicos de un estándar probatorio objetivo permite precisar el alcance y los límites de esa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Queda por precisar cuáles son los errores que el estándar distribuye. 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síntesis, 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Resta examinar si el ordenamiento declara una preferencia entre ambos errores. 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criterio consiste en suprimir la apelación a la convicción del juzgador. 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criterio consiste en fijar de manera explícita un umbral de suficiencia. 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criterio consiste en formular el umbral en términos de probabilidad inductiva. 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criterio consiste en diferenciar los umbrales según las decisiones del contencioso electoral. 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quinto criterio consiste en distribuir de manera consciente el riesgo del error. A los cuatro requisitos metodológicos se añade este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propuesta enfrenta objeciones previsibles. 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Resta precisar qué cambia y qué permanece con la reforma. 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