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2DED8CD9" w14:textId="77777777" w:rsidR="00657C4E" w:rsidRPr="00657C4E" w:rsidRDefault="00657C4E" w:rsidP="00657C4E">
      <w:pPr>
        <w:spacing w:line="360" w:lineRule="auto"/>
        <w:rPr>
          <w:rFonts w:ascii="Arial" w:eastAsia="Arial" w:hAnsi="Arial" w:cs="Arial"/>
          <w:sz w:val="24"/>
          <w:szCs w:val="24"/>
        </w:rPr>
      </w:pPr>
      <w:bookmarkStart w:id="7" w:name="_Toc240931704"/>
    </w:p>
    <w:p w14:paraId="0D4123AC" w14:textId="77777777" w:rsidR="00657C4E" w:rsidRPr="00657C4E" w:rsidRDefault="00657C4E" w:rsidP="00657C4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1.2. La distinción entre valoración de la prueba y estándar de prueba</w:t>
      </w:r>
    </w:p>
    <w:p w14:paraId="170231DD" w14:textId="77777777" w:rsidR="00657C4E" w:rsidRPr="00657C4E" w:rsidRDefault="00657C4E" w:rsidP="00657C4E">
      <w:pPr>
        <w:spacing w:line="360" w:lineRule="auto"/>
        <w:rPr>
          <w:rFonts w:ascii="Arial" w:eastAsia="Arial" w:hAnsi="Arial" w:cs="Arial"/>
          <w:sz w:val="24"/>
          <w:szCs w:val="24"/>
        </w:rPr>
      </w:pPr>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w:t>
      </w:r>
    </w:p>
    <w:p w14:paraId="058992B7" w14:textId="77777777" w:rsidR="00657C4E" w:rsidRPr="00657C4E" w:rsidRDefault="00657C4E" w:rsidP="00657C4E">
      <w:pPr>
        <w:spacing w:line="360" w:lineRule="auto"/>
        <w:rPr>
          <w:rFonts w:ascii="Arial" w:eastAsia="Arial" w:hAnsi="Arial" w:cs="Arial"/>
          <w:sz w:val="24"/>
          <w:szCs w:val="24"/>
        </w:rPr>
      </w:pPr>
    </w:p>
    <w:p w14:paraId="09CE22D7"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1.2.1. Planteamiento del problema. La confusión entre método de valoración y regla de suficiencia</w:t>
      </w:r>
    </w:p>
    <w:p w14:paraId="441B59F6" w14:textId="77777777" w:rsidR="00657C4E" w:rsidRPr="00657C4E" w:rsidRDefault="00657C4E" w:rsidP="00657C4E">
      <w:pPr>
        <w:spacing w:line="360" w:lineRule="auto"/>
        <w:rPr>
          <w:rFonts w:ascii="Arial" w:eastAsia="Arial" w:hAnsi="Arial" w:cs="Arial"/>
          <w:sz w:val="24"/>
          <w:szCs w:val="24"/>
        </w:rPr>
      </w:pP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en los subapartados siguientes.</w:t>
      </w:r>
    </w:p>
    <w:p w14:paraId="7EA1E27F" w14:textId="77777777" w:rsidR="00657C4E" w:rsidRPr="00657C4E" w:rsidRDefault="00657C4E" w:rsidP="00657C4E">
      <w:pPr>
        <w:spacing w:line="360" w:lineRule="auto"/>
        <w:rPr>
          <w:rFonts w:ascii="Arial" w:eastAsia="Arial" w:hAnsi="Arial" w:cs="Arial"/>
          <w:sz w:val="24"/>
          <w:szCs w:val="24"/>
        </w:rPr>
      </w:pPr>
    </w:p>
    <w:p w14:paraId="237B0DD0"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1.2.2. Genealogía de la distinción en las tradiciones continental y angloamericana</w:t>
      </w:r>
    </w:p>
    <w:p w14:paraId="42CD98CA" w14:textId="77777777" w:rsidR="00657C4E" w:rsidRPr="00657C4E" w:rsidRDefault="00657C4E" w:rsidP="00657C4E">
      <w:pPr>
        <w:spacing w:line="360" w:lineRule="auto"/>
        <w:rPr>
          <w:rFonts w:ascii="Arial" w:eastAsia="Arial" w:hAnsi="Arial" w:cs="Arial"/>
          <w:sz w:val="24"/>
          <w:szCs w:val="24"/>
        </w:rPr>
      </w:pP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0D66C2EC" w14:textId="77777777" w:rsidR="00657C4E" w:rsidRPr="00657C4E" w:rsidRDefault="00657C4E" w:rsidP="00657C4E">
      <w:pPr>
        <w:spacing w:line="360" w:lineRule="auto"/>
        <w:rPr>
          <w:rFonts w:ascii="Arial" w:eastAsia="Arial" w:hAnsi="Arial" w:cs="Arial"/>
          <w:sz w:val="24"/>
          <w:szCs w:val="24"/>
        </w:rPr>
      </w:pPr>
    </w:p>
    <w:p w14:paraId="3A5096D3"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1.2.3. Los tres momentos de la actividad probatoria</w:t>
      </w:r>
    </w:p>
    <w:p w14:paraId="40B6F43E" w14:textId="77777777" w:rsidR="00657C4E" w:rsidRPr="00657C4E" w:rsidRDefault="00657C4E" w:rsidP="00657C4E">
      <w:pPr>
        <w:spacing w:line="360" w:lineRule="auto"/>
        <w:rPr>
          <w:rFonts w:ascii="Arial" w:eastAsia="Arial" w:hAnsi="Arial" w:cs="Arial"/>
          <w:sz w:val="24"/>
          <w:szCs w:val="24"/>
        </w:rPr>
      </w:pP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2643C4A3" w14:textId="77777777" w:rsidR="00657C4E" w:rsidRPr="00657C4E" w:rsidRDefault="00657C4E" w:rsidP="00657C4E">
      <w:pPr>
        <w:spacing w:line="360" w:lineRule="auto"/>
        <w:rPr>
          <w:rFonts w:ascii="Arial" w:eastAsia="Arial" w:hAnsi="Arial" w:cs="Arial"/>
          <w:sz w:val="24"/>
          <w:szCs w:val="24"/>
        </w:rPr>
      </w:pPr>
    </w:p>
    <w:p w14:paraId="10DB6FAB"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1.2.4. Naturaleza normativa del estándar de prueba</w:t>
      </w:r>
    </w:p>
    <w:p w14:paraId="4D57AD6A" w14:textId="77777777" w:rsidR="00657C4E" w:rsidRPr="00657C4E" w:rsidRDefault="00657C4E" w:rsidP="00657C4E">
      <w:pPr>
        <w:spacing w:line="360" w:lineRule="auto"/>
        <w:rPr>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2AA1AAFC" w14:textId="77777777" w:rsidR="00657C4E" w:rsidRPr="00657C4E" w:rsidRDefault="00657C4E" w:rsidP="00657C4E">
      <w:pPr>
        <w:spacing w:line="360" w:lineRule="auto"/>
        <w:rPr>
          <w:rFonts w:ascii="Arial" w:eastAsia="Arial" w:hAnsi="Arial" w:cs="Arial"/>
          <w:sz w:val="24"/>
          <w:szCs w:val="24"/>
        </w:rPr>
      </w:pPr>
    </w:p>
    <w:p w14:paraId="17295A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1.2.5. Funciones de los estándares de prueba y su diferencia con la prueba tasada</w:t>
      </w:r>
    </w:p>
    <w:p w14:paraId="288AF2A8" w14:textId="77777777" w:rsidR="00657C4E" w:rsidRPr="00657C4E" w:rsidRDefault="00657C4E" w:rsidP="00657C4E">
      <w:pPr>
        <w:spacing w:line="360" w:lineRule="auto"/>
        <w:rPr>
          <w:rFonts w:ascii="Arial" w:eastAsia="Arial" w:hAnsi="Arial" w:cs="Arial"/>
          <w:sz w:val="24"/>
          <w:szCs w:val="24"/>
        </w:rPr>
      </w:pP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6A170C70" w14:textId="77777777" w:rsidR="00657C4E" w:rsidRPr="00657C4E" w:rsidRDefault="00657C4E" w:rsidP="00657C4E">
      <w:pPr>
        <w:spacing w:line="360" w:lineRule="auto"/>
        <w:rPr>
          <w:rFonts w:ascii="Arial" w:eastAsia="Arial" w:hAnsi="Arial" w:cs="Arial"/>
          <w:sz w:val="24"/>
          <w:szCs w:val="24"/>
        </w:rPr>
      </w:pPr>
    </w:p>
    <w:p w14:paraId="114524B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1.2.6. Deslinde entre estándar de prueba y carga de la prueba</w:t>
      </w:r>
    </w:p>
    <w:p w14:paraId="249F50C3" w14:textId="77777777" w:rsidR="00657C4E" w:rsidRPr="00657C4E" w:rsidRDefault="00657C4E" w:rsidP="00657C4E">
      <w:pPr>
        <w:spacing w:line="360" w:lineRule="auto"/>
        <w:rPr>
          <w:rFonts w:ascii="Arial" w:eastAsia="Arial" w:hAnsi="Arial" w:cs="Arial"/>
          <w:sz w:val="24"/>
          <w:szCs w:val="24"/>
        </w:rPr>
      </w:pP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3C7B9BBE" w14:textId="77777777" w:rsidR="00657C4E" w:rsidRPr="00657C4E" w:rsidRDefault="00657C4E" w:rsidP="00657C4E">
      <w:pPr>
        <w:spacing w:line="360" w:lineRule="auto"/>
        <w:rPr>
          <w:rFonts w:ascii="Arial" w:eastAsia="Arial" w:hAnsi="Arial" w:cs="Arial"/>
          <w:sz w:val="24"/>
          <w:szCs w:val="24"/>
        </w:rPr>
      </w:pPr>
    </w:p>
    <w:p w14:paraId="6D128E9A"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1.2.7. La sana crítica como método de valoración y no como estándar</w:t>
      </w:r>
    </w:p>
    <w:p w14:paraId="7BF5AE31" w14:textId="77777777" w:rsidR="00657C4E" w:rsidRPr="00657C4E" w:rsidRDefault="00657C4E" w:rsidP="00657C4E">
      <w:pPr>
        <w:spacing w:line="360" w:lineRule="auto"/>
        <w:rPr>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2411A6B5" w14:textId="77777777" w:rsidR="00657C4E" w:rsidRPr="00657C4E" w:rsidRDefault="00657C4E" w:rsidP="00657C4E">
      <w:pPr>
        <w:spacing w:line="360" w:lineRule="auto"/>
        <w:rPr>
          <w:rFonts w:ascii="Arial" w:eastAsia="Arial" w:hAnsi="Arial" w:cs="Arial"/>
          <w:sz w:val="24"/>
          <w:szCs w:val="24"/>
        </w:rPr>
      </w:pPr>
    </w:p>
    <w:p w14:paraId="54352892"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1.2.8. Crítica a los estados mentales del juzgador como criterio de suficiencia</w:t>
      </w:r>
    </w:p>
    <w:p w14:paraId="1662596F" w14:textId="77777777" w:rsidR="00657C4E" w:rsidRPr="00657C4E" w:rsidRDefault="00657C4E" w:rsidP="00657C4E">
      <w:pPr>
        <w:spacing w:line="360" w:lineRule="auto"/>
        <w:rPr>
          <w:rFonts w:ascii="Arial" w:eastAsia="Arial" w:hAnsi="Arial" w:cs="Arial"/>
          <w:sz w:val="24"/>
          <w:szCs w:val="24"/>
        </w:rPr>
      </w:pP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740D4EB5" w14:textId="77777777" w:rsidR="00657C4E" w:rsidRPr="00657C4E" w:rsidRDefault="00657C4E" w:rsidP="00657C4E">
      <w:pPr>
        <w:spacing w:line="360" w:lineRule="auto"/>
        <w:rPr>
          <w:rFonts w:ascii="Arial" w:eastAsia="Arial" w:hAnsi="Arial" w:cs="Arial"/>
          <w:sz w:val="24"/>
          <w:szCs w:val="24"/>
        </w:rPr>
      </w:pPr>
    </w:p>
    <w:p w14:paraId="3D916ADE"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1.2.9. Recepción de la distinción en el derecho mexicano</w:t>
      </w:r>
    </w:p>
    <w:p w14:paraId="0EBD9CE5" w14:textId="77777777" w:rsidR="00657C4E" w:rsidRPr="00657C4E" w:rsidRDefault="00657C4E" w:rsidP="00657C4E">
      <w:pPr>
        <w:spacing w:line="360" w:lineRule="auto"/>
        <w:rPr>
          <w:rFonts w:ascii="Arial" w:eastAsia="Arial" w:hAnsi="Arial" w:cs="Arial"/>
          <w:sz w:val="24"/>
          <w:szCs w:val="24"/>
        </w:rPr>
      </w:pP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El derecho mexicano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0FC014BF" w14:textId="77777777" w:rsidR="00657C4E" w:rsidRPr="00657C4E" w:rsidRDefault="00657C4E" w:rsidP="00657C4E">
      <w:pPr>
        <w:spacing w:line="360" w:lineRule="auto"/>
        <w:rPr>
          <w:rFonts w:ascii="Arial" w:eastAsia="Arial" w:hAnsi="Arial" w:cs="Arial"/>
          <w:sz w:val="24"/>
          <w:szCs w:val="24"/>
        </w:rPr>
      </w:pPr>
    </w:p>
    <w:p w14:paraId="56E892E4"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1.2.10. Consecuencias prácticas de no distinguir ambas figuras</w:t>
      </w:r>
    </w:p>
    <w:p w14:paraId="335814D0" w14:textId="77777777" w:rsidR="00657C4E" w:rsidRPr="00657C4E" w:rsidRDefault="00657C4E" w:rsidP="00657C4E">
      <w:pPr>
        <w:spacing w:line="360" w:lineRule="auto"/>
        <w:rPr>
          <w:rFonts w:ascii="Arial" w:eastAsia="Arial" w:hAnsi="Arial" w:cs="Arial"/>
          <w:sz w:val="24"/>
          <w:szCs w:val="24"/>
        </w:rPr>
      </w:pP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4B841190" w14:textId="77777777" w:rsidR="00657C4E" w:rsidRPr="00657C4E" w:rsidRDefault="00657C4E" w:rsidP="00657C4E">
      <w:pPr>
        <w:spacing w:line="360" w:lineRule="auto"/>
        <w:rPr>
          <w:rFonts w:ascii="Arial" w:eastAsia="Arial" w:hAnsi="Arial" w:cs="Arial"/>
          <w:sz w:val="24"/>
          <w:szCs w:val="24"/>
        </w:rPr>
      </w:pPr>
    </w:p>
    <w:p w14:paraId="24A28BA5" w14:textId="77777777"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1.2.11. Criterios para identificar si una norma contiene un auténtico estándar de prueba</w:t>
      </w:r>
    </w:p>
    <w:p w14:paraId="0AD3F39D" w14:textId="77777777" w:rsidR="00657C4E" w:rsidRPr="00657C4E" w:rsidRDefault="00657C4E" w:rsidP="00657C4E">
      <w:pPr>
        <w:spacing w:line="360" w:lineRule="auto"/>
        <w:rPr>
          <w:rFonts w:ascii="Arial" w:eastAsia="Arial" w:hAnsi="Arial" w:cs="Arial"/>
          <w:sz w:val="24"/>
          <w:szCs w:val="24"/>
        </w:rPr>
      </w:pP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5C8B46CF" w14:textId="77777777" w:rsidR="00657C4E" w:rsidRPr="00657C4E" w:rsidRDefault="00657C4E" w:rsidP="00657C4E">
      <w:pPr>
        <w:spacing w:line="360" w:lineRule="auto"/>
        <w:rPr>
          <w:rFonts w:ascii="Arial" w:eastAsia="Arial" w:hAnsi="Arial" w:cs="Arial"/>
          <w:sz w:val="24"/>
          <w:szCs w:val="24"/>
        </w:rPr>
      </w:pPr>
    </w:p>
    <w:p w14:paraId="662851FB" w14:textId="62039A76" w:rsidR="00657C4E" w:rsidRPr="00657C4E" w:rsidRDefault="00657C4E" w:rsidP="00657C4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1.2. Transición hacia el apartado 1.3</w:t>
      </w:r>
    </w:p>
    <w:p w14:paraId="33DE01C5" w14:textId="77777777" w:rsidR="00657C4E" w:rsidRPr="00657C4E" w:rsidRDefault="00657C4E" w:rsidP="00657C4E">
      <w:pPr>
        <w:spacing w:line="360" w:lineRule="auto"/>
        <w:rPr>
          <w:rFonts w:ascii="Arial" w:eastAsia="Arial" w:hAnsi="Arial" w:cs="Arial"/>
          <w:sz w:val="24"/>
          <w:szCs w:val="24"/>
        </w:rPr>
      </w:pP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545337F5" w14:textId="77777777" w:rsidR="00E22D4B" w:rsidRPr="00E22D4B" w:rsidRDefault="00E22D4B" w:rsidP="00E22D4B">
      <w:pPr>
        <w:spacing w:line="360" w:lineRule="auto"/>
        <w:rPr>
          <w:rFonts w:ascii="Arial" w:eastAsia="Arial" w:hAnsi="Arial" w:cs="Arial"/>
          <w:sz w:val="24"/>
          <w:szCs w:val="24"/>
        </w:rPr>
      </w:pPr>
      <w:bookmarkStart w:id="8" w:name="_Toc240931705"/>
    </w:p>
    <w:p w14:paraId="17969270" w14:textId="77777777" w:rsidR="00E22D4B" w:rsidRPr="00E22D4B" w:rsidRDefault="00E22D4B" w:rsidP="00E22D4B">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1.3. Los requisitos metodológicos de un estándar de prueba válido</w:t>
      </w:r>
    </w:p>
    <w:p w14:paraId="067CA3C4" w14:textId="77777777" w:rsidR="00E22D4B" w:rsidRPr="00E22D4B" w:rsidRDefault="00E22D4B" w:rsidP="00E22D4B">
      <w:pPr>
        <w:spacing w:line="360" w:lineRule="auto"/>
        <w:rPr>
          <w:rFonts w:ascii="Arial" w:eastAsia="Arial" w:hAnsi="Arial" w:cs="Arial"/>
          <w:sz w:val="24"/>
          <w:szCs w:val="24"/>
        </w:rPr>
      </w:pPr>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w:t>
      </w:r>
    </w:p>
    <w:p w14:paraId="6EA248A9" w14:textId="77777777" w:rsidR="00E22D4B" w:rsidRPr="00E22D4B" w:rsidRDefault="00E22D4B" w:rsidP="00E22D4B">
      <w:pPr>
        <w:spacing w:line="360" w:lineRule="auto"/>
        <w:rPr>
          <w:rFonts w:ascii="Arial" w:eastAsia="Arial" w:hAnsi="Arial" w:cs="Arial"/>
          <w:sz w:val="24"/>
          <w:szCs w:val="24"/>
        </w:rPr>
      </w:pPr>
    </w:p>
    <w:p w14:paraId="62CA6A83"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 La noción de requisito metodológico y su alcance</w:t>
      </w:r>
    </w:p>
    <w:p w14:paraId="0A650BD2" w14:textId="77777777" w:rsidR="00E22D4B" w:rsidRPr="00E22D4B" w:rsidRDefault="00E22D4B" w:rsidP="00E22D4B">
      <w:pPr>
        <w:spacing w:line="360" w:lineRule="auto"/>
        <w:rPr>
          <w:rFonts w:ascii="Arial" w:eastAsia="Arial" w:hAnsi="Arial" w:cs="Arial"/>
          <w:sz w:val="24"/>
          <w:szCs w:val="24"/>
        </w:rPr>
      </w:pP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C46B7D" w14:textId="77777777" w:rsidR="00E22D4B" w:rsidRPr="00E22D4B" w:rsidRDefault="00E22D4B" w:rsidP="00E22D4B">
      <w:pPr>
        <w:spacing w:line="360" w:lineRule="auto"/>
        <w:rPr>
          <w:rFonts w:ascii="Arial" w:eastAsia="Arial" w:hAnsi="Arial" w:cs="Arial"/>
          <w:sz w:val="24"/>
          <w:szCs w:val="24"/>
        </w:rPr>
      </w:pPr>
    </w:p>
    <w:p w14:paraId="405C60B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1.3.2. Primer requisito. Criterios relativos a la capacidad justificativa del acervo probatorio</w:t>
      </w:r>
    </w:p>
    <w:p w14:paraId="32F64EAD"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4B905DAC" w14:textId="77777777" w:rsidR="00E22D4B" w:rsidRPr="00E22D4B" w:rsidRDefault="00E22D4B" w:rsidP="00E22D4B">
      <w:pPr>
        <w:spacing w:line="360" w:lineRule="auto"/>
        <w:rPr>
          <w:rFonts w:ascii="Arial" w:eastAsia="Arial" w:hAnsi="Arial" w:cs="Arial"/>
          <w:sz w:val="24"/>
          <w:szCs w:val="24"/>
        </w:rPr>
      </w:pPr>
    </w:p>
    <w:p w14:paraId="7C667A2E"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1.3.3. Segundo requisito. La determinación de un umbral de suficiencia con vaguedad minimizada</w:t>
      </w:r>
    </w:p>
    <w:p w14:paraId="026A29BB" w14:textId="77777777" w:rsidR="00E22D4B" w:rsidRPr="00E22D4B" w:rsidRDefault="00E22D4B" w:rsidP="00E22D4B">
      <w:pPr>
        <w:spacing w:line="360" w:lineRule="auto"/>
        <w:rPr>
          <w:rFonts w:ascii="Arial" w:eastAsia="Arial" w:hAnsi="Arial" w:cs="Arial"/>
          <w:sz w:val="24"/>
          <w:szCs w:val="24"/>
        </w:rPr>
      </w:pP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5D477E8" w14:textId="77777777" w:rsidR="00E22D4B" w:rsidRPr="00E22D4B" w:rsidRDefault="00E22D4B" w:rsidP="00E22D4B">
      <w:pPr>
        <w:spacing w:line="360" w:lineRule="auto"/>
        <w:rPr>
          <w:rFonts w:ascii="Arial" w:eastAsia="Arial" w:hAnsi="Arial" w:cs="Arial"/>
          <w:sz w:val="24"/>
          <w:szCs w:val="24"/>
        </w:rPr>
      </w:pPr>
    </w:p>
    <w:p w14:paraId="5308DB1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1.3.4. Tercer requisito. Criterios propios de la probabilidad inductiva</w:t>
      </w:r>
    </w:p>
    <w:p w14:paraId="15C90893" w14:textId="77777777" w:rsidR="00E22D4B" w:rsidRPr="00E22D4B" w:rsidRDefault="00E22D4B" w:rsidP="00E22D4B">
      <w:pPr>
        <w:spacing w:line="360" w:lineRule="auto"/>
        <w:rPr>
          <w:rFonts w:ascii="Arial" w:eastAsia="Arial" w:hAnsi="Arial" w:cs="Arial"/>
          <w:sz w:val="24"/>
          <w:szCs w:val="24"/>
        </w:rPr>
      </w:pP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2AC2CD17" w14:textId="77777777" w:rsidR="00E22D4B" w:rsidRPr="00E22D4B" w:rsidRDefault="00E22D4B" w:rsidP="00E22D4B">
      <w:pPr>
        <w:spacing w:line="360" w:lineRule="auto"/>
        <w:rPr>
          <w:rFonts w:ascii="Arial" w:eastAsia="Arial" w:hAnsi="Arial" w:cs="Arial"/>
          <w:sz w:val="24"/>
          <w:szCs w:val="24"/>
        </w:rPr>
      </w:pPr>
    </w:p>
    <w:p w14:paraId="0E42BD4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1.3.5. Cuarto requisito. La progresión de los estándares dentro de un mismo proceso</w:t>
      </w:r>
    </w:p>
    <w:p w14:paraId="31632E8C"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52D53D67" w14:textId="77777777" w:rsidR="00E22D4B" w:rsidRPr="00E22D4B" w:rsidRDefault="00E22D4B" w:rsidP="00E22D4B">
      <w:pPr>
        <w:spacing w:line="360" w:lineRule="auto"/>
        <w:rPr>
          <w:rFonts w:ascii="Arial" w:eastAsia="Arial" w:hAnsi="Arial" w:cs="Arial"/>
          <w:sz w:val="24"/>
          <w:szCs w:val="24"/>
        </w:rPr>
      </w:pPr>
    </w:p>
    <w:p w14:paraId="59A18836"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1.3.6. La distribución del riesgo del error y el peligro de absorber las demás funciones</w:t>
      </w:r>
    </w:p>
    <w:p w14:paraId="24F359C2" w14:textId="77777777" w:rsidR="00E22D4B" w:rsidRPr="00E22D4B" w:rsidRDefault="00E22D4B" w:rsidP="00E22D4B">
      <w:pPr>
        <w:spacing w:line="360" w:lineRule="auto"/>
        <w:rPr>
          <w:rFonts w:ascii="Arial" w:eastAsia="Arial" w:hAnsi="Arial" w:cs="Arial"/>
          <w:sz w:val="24"/>
          <w:szCs w:val="24"/>
        </w:rPr>
      </w:pP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7171A3B2" w14:textId="77777777" w:rsidR="00E22D4B" w:rsidRPr="00E22D4B" w:rsidRDefault="00E22D4B" w:rsidP="00E22D4B">
      <w:pPr>
        <w:spacing w:line="360" w:lineRule="auto"/>
        <w:rPr>
          <w:rFonts w:ascii="Arial" w:eastAsia="Arial" w:hAnsi="Arial" w:cs="Arial"/>
          <w:sz w:val="24"/>
          <w:szCs w:val="24"/>
        </w:rPr>
      </w:pPr>
    </w:p>
    <w:p w14:paraId="2FA1C7B2"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1.3.7. Las razones para fijar el umbral. Relatividad según los bienes y los costos del error</w:t>
      </w:r>
    </w:p>
    <w:p w14:paraId="6C76BE05" w14:textId="77777777" w:rsidR="00E22D4B" w:rsidRPr="00E22D4B" w:rsidRDefault="00E22D4B" w:rsidP="00E22D4B">
      <w:pPr>
        <w:spacing w:line="360" w:lineRule="auto"/>
        <w:rPr>
          <w:rFonts w:ascii="Arial" w:eastAsia="Arial" w:hAnsi="Arial" w:cs="Arial"/>
          <w:sz w:val="24"/>
          <w:szCs w:val="24"/>
        </w:rPr>
      </w:pP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fijación del umbral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029B6185" w14:textId="77777777" w:rsidR="00E22D4B" w:rsidRPr="00E22D4B" w:rsidRDefault="00E22D4B" w:rsidP="00E22D4B">
      <w:pPr>
        <w:spacing w:line="360" w:lineRule="auto"/>
        <w:rPr>
          <w:rFonts w:ascii="Arial" w:eastAsia="Arial" w:hAnsi="Arial" w:cs="Arial"/>
          <w:sz w:val="24"/>
          <w:szCs w:val="24"/>
        </w:rPr>
      </w:pPr>
    </w:p>
    <w:p w14:paraId="1DF8ED08"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1.3.8. Ejemplos de estándares que satisfacen los requisitos metodológicos</w:t>
      </w:r>
    </w:p>
    <w:p w14:paraId="71AA0AD8" w14:textId="77777777" w:rsidR="00E22D4B" w:rsidRPr="00E22D4B" w:rsidRDefault="00E22D4B" w:rsidP="00E22D4B">
      <w:pPr>
        <w:spacing w:line="360" w:lineRule="auto"/>
        <w:rPr>
          <w:rFonts w:ascii="Arial" w:eastAsia="Arial" w:hAnsi="Arial" w:cs="Arial"/>
          <w:sz w:val="24"/>
          <w:szCs w:val="24"/>
        </w:rPr>
      </w:pP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3941C16" w14:textId="77777777" w:rsidR="00E22D4B" w:rsidRPr="00E22D4B" w:rsidRDefault="00E22D4B" w:rsidP="00E22D4B">
      <w:pPr>
        <w:spacing w:line="360" w:lineRule="auto"/>
        <w:rPr>
          <w:rFonts w:ascii="Arial" w:eastAsia="Arial" w:hAnsi="Arial" w:cs="Arial"/>
          <w:sz w:val="24"/>
          <w:szCs w:val="24"/>
        </w:rPr>
      </w:pPr>
    </w:p>
    <w:p w14:paraId="44065ABF"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1.3.9. Objeciones a la teoría de los requisitos metodológicos</w:t>
      </w:r>
    </w:p>
    <w:p w14:paraId="42D43AA9" w14:textId="77777777" w:rsidR="00E22D4B" w:rsidRPr="00E22D4B" w:rsidRDefault="00E22D4B" w:rsidP="00E22D4B">
      <w:pPr>
        <w:spacing w:line="360" w:lineRule="auto"/>
        <w:rPr>
          <w:rFonts w:ascii="Arial" w:eastAsia="Arial" w:hAnsi="Arial" w:cs="Arial"/>
          <w:sz w:val="24"/>
          <w:szCs w:val="24"/>
        </w:rPr>
      </w:pP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sido objeto de críticas que conviene examinar, porque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693C686D" w14:textId="77777777" w:rsidR="00E22D4B" w:rsidRPr="00E22D4B" w:rsidRDefault="00E22D4B" w:rsidP="00E22D4B">
      <w:pPr>
        <w:spacing w:line="360" w:lineRule="auto"/>
        <w:rPr>
          <w:rFonts w:ascii="Arial" w:eastAsia="Arial" w:hAnsi="Arial" w:cs="Arial"/>
          <w:sz w:val="24"/>
          <w:szCs w:val="24"/>
        </w:rPr>
      </w:pPr>
    </w:p>
    <w:p w14:paraId="4D7F00BA"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1.3.10. Aplicación de los requisitos a la prueba indiciaria en materia electoral</w:t>
      </w:r>
    </w:p>
    <w:p w14:paraId="1C4BC553" w14:textId="77777777" w:rsidR="00E22D4B" w:rsidRPr="00E22D4B" w:rsidRDefault="00E22D4B" w:rsidP="00E22D4B">
      <w:pPr>
        <w:spacing w:line="360" w:lineRule="auto"/>
        <w:rPr>
          <w:rFonts w:ascii="Arial" w:eastAsia="Arial" w:hAnsi="Arial" w:cs="Arial"/>
          <w:sz w:val="24"/>
          <w:szCs w:val="24"/>
        </w:rPr>
      </w:pP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65274E2A" w14:textId="77777777" w:rsidR="00E22D4B" w:rsidRPr="00E22D4B" w:rsidRDefault="00E22D4B" w:rsidP="00E22D4B">
      <w:pPr>
        <w:spacing w:line="360" w:lineRule="auto"/>
        <w:rPr>
          <w:rFonts w:ascii="Arial" w:eastAsia="Arial" w:hAnsi="Arial" w:cs="Arial"/>
          <w:sz w:val="24"/>
          <w:szCs w:val="24"/>
        </w:rPr>
      </w:pPr>
    </w:p>
    <w:p w14:paraId="2FEE9459"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1.3.11. Recapitulación y tránsito al capítulo segundo</w:t>
      </w:r>
    </w:p>
    <w:p w14:paraId="6EBDF42B"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p>
    <w:p w14:paraId="6B96F34C" w14:textId="77777777" w:rsidR="00BA1C97" w:rsidRPr="00BA1C97" w:rsidRDefault="00BA1C97" w:rsidP="00BA1C97">
      <w:pPr>
        <w:spacing w:line="360" w:lineRule="auto"/>
        <w:rPr>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2.1.1. La determinancia como institución. Fundamento normativo y principio de conservación</w:t>
      </w:r>
    </w:p>
    <w:p w14:paraId="4680E385" w14:textId="77777777" w:rsidR="00BA1C97" w:rsidRPr="00BA1C97" w:rsidRDefault="00BA1C97" w:rsidP="00BA1C97">
      <w:pPr>
        <w:spacing w:line="360" w:lineRule="auto"/>
        <w:rPr>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2.1.2. Genealogía de los factores. De la jurisprudencia de 1998 a la jurisprudencia 44/2024</w:t>
      </w:r>
    </w:p>
    <w:p w14:paraId="4F70CE37" w14:textId="77777777" w:rsidR="00BA1C97" w:rsidRPr="00BA1C97" w:rsidRDefault="00BA1C97" w:rsidP="00BA1C97">
      <w:pPr>
        <w:spacing w:line="360" w:lineRule="auto"/>
        <w:rPr>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2.1.3. El factor cuantitativo. Precisión aritmética y problema probatorio</w:t>
      </w:r>
    </w:p>
    <w:p w14:paraId="2EC0ED26" w14:textId="77777777" w:rsidR="00BA1C97" w:rsidRPr="00BA1C97" w:rsidRDefault="00BA1C97" w:rsidP="00BA1C97">
      <w:pPr>
        <w:spacing w:line="360" w:lineRule="auto"/>
        <w:rPr>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2.1.4. El factor cualitativo. Gravedad de la violación y suficiencia probatoria encubierta</w:t>
      </w:r>
    </w:p>
    <w:p w14:paraId="56D9E238" w14:textId="77777777" w:rsidR="00BA1C97" w:rsidRPr="00BA1C97" w:rsidRDefault="00BA1C97" w:rsidP="00BA1C97">
      <w:pPr>
        <w:spacing w:line="360" w:lineRule="auto"/>
        <w:rPr>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2.1.5. El factor constitucional. La presunción del cinco por ciento y su alcance</w:t>
      </w:r>
    </w:p>
    <w:p w14:paraId="41F49D67" w14:textId="77777777" w:rsidR="00BA1C97" w:rsidRPr="00BA1C97" w:rsidRDefault="00BA1C97" w:rsidP="00BA1C97">
      <w:pPr>
        <w:spacing w:line="360" w:lineRule="auto"/>
        <w:rPr>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2.1.6. El error de categoría proyectado sobre los tres factores</w:t>
      </w:r>
    </w:p>
    <w:p w14:paraId="0E4C8B28" w14:textId="77777777" w:rsidR="00BA1C97" w:rsidRPr="00BA1C97" w:rsidRDefault="00BA1C97" w:rsidP="00BA1C97">
      <w:pPr>
        <w:spacing w:line="360" w:lineRule="auto"/>
        <w:rPr>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2.1.7. Consecuencias prácticas. La variación del umbral en los casos</w:t>
      </w:r>
    </w:p>
    <w:p w14:paraId="303B50B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2.1.8. El paralelismo con el artículo 16 de la ley de medios</w:t>
      </w:r>
    </w:p>
    <w:p w14:paraId="0602AA32" w14:textId="77777777" w:rsidR="00BA1C97" w:rsidRPr="00BA1C97" w:rsidRDefault="00BA1C97" w:rsidP="00BA1C97">
      <w:pPr>
        <w:spacing w:line="360" w:lineRule="auto"/>
        <w:rPr>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2.1.9. Recapitulación y tránsito al apartado</w:t>
      </w:r>
    </w:p>
    <w:p w14:paraId="20AF5A2D"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 La estructura de la cláusula híbrida</w:t>
      </w:r>
    </w:p>
    <w:p w14:paraId="61071564" w14:textId="77777777" w:rsidR="000A1322" w:rsidRPr="000A1322" w:rsidRDefault="000A1322" w:rsidP="000A1322">
      <w:pPr>
        <w:spacing w:line="360" w:lineRule="auto"/>
        <w:rPr>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2.2.2. El contexto normativo. La reforma de 1996</w:t>
      </w:r>
    </w:p>
    <w:p w14:paraId="04740AD9"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2.2.3. Genealogía de la fórmula de la sana crítica</w:t>
      </w:r>
    </w:p>
    <w:p w14:paraId="7181B78E" w14:textId="77777777" w:rsidR="000A1322" w:rsidRPr="000A1322" w:rsidRDefault="000A1322" w:rsidP="000A1322">
      <w:pPr>
        <w:spacing w:line="360" w:lineRule="auto"/>
        <w:rPr>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fórmula de la sana crítica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2.2.4. El caso Tabasco. Marco fáctico y procesal</w:t>
      </w:r>
    </w:p>
    <w:p w14:paraId="646EBE6F"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2.2.5. La cláusula híbrida aplicada en el caso Tabasco</w:t>
      </w:r>
    </w:p>
    <w:p w14:paraId="3AEC21C7" w14:textId="77777777" w:rsidR="000A1322" w:rsidRPr="000A1322" w:rsidRDefault="000A1322" w:rsidP="000A1322">
      <w:pPr>
        <w:spacing w:line="360" w:lineRule="auto"/>
        <w:rPr>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2.2.6. La conclusión de la sentencia. Concurrencia de irregularidades y determinancia</w:t>
      </w:r>
    </w:p>
    <w:p w14:paraId="37D8061B" w14:textId="77777777" w:rsidR="000A1322" w:rsidRPr="000A1322" w:rsidRDefault="000A1322" w:rsidP="000A1322">
      <w:pPr>
        <w:spacing w:line="360" w:lineRule="auto"/>
        <w:rPr>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2.2.7. La jurisprudencia 38/2002 y sus precedentes</w:t>
      </w:r>
    </w:p>
    <w:p w14:paraId="773E637E" w14:textId="77777777" w:rsidR="000A1322" w:rsidRPr="000A1322" w:rsidRDefault="000A1322" w:rsidP="000A1322">
      <w:pPr>
        <w:spacing w:line="360" w:lineRule="auto"/>
        <w:rPr>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jurisprudencia 38/2002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2.2.8. El lenguaje de la convicción en la jurisprudencia 38/2002</w:t>
      </w:r>
    </w:p>
    <w:p w14:paraId="08E02A05" w14:textId="77777777" w:rsidR="000A1322" w:rsidRPr="000A1322" w:rsidRDefault="000A1322" w:rsidP="000A1322">
      <w:pPr>
        <w:spacing w:line="360" w:lineRule="auto"/>
        <w:rPr>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2.2.9. La persistencia de la cláusula híbrida en la jurisprudencia reciente</w:t>
      </w:r>
    </w:p>
    <w:p w14:paraId="028E286F" w14:textId="77777777" w:rsidR="000A1322" w:rsidRPr="000A1322" w:rsidRDefault="000A1322" w:rsidP="000A1322">
      <w:pPr>
        <w:spacing w:line="360" w:lineRule="auto"/>
        <w:rPr>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2.2.10. Recapitulación y tránsito al apartado 2.3</w:t>
      </w:r>
    </w:p>
    <w:p w14:paraId="035E9E3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2.3.1. El voto particular. Autores, alcance y estructura</w:t>
      </w:r>
    </w:p>
    <w:p w14:paraId="37B1AEF3" w14:textId="77777777" w:rsidR="0062405A" w:rsidRPr="0062405A" w:rsidRDefault="0062405A" w:rsidP="0062405A">
      <w:pPr>
        <w:spacing w:line="360" w:lineRule="auto"/>
        <w:rPr>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04D31069" w14:textId="77777777" w:rsidR="0062405A" w:rsidRPr="0062405A" w:rsidRDefault="0062405A" w:rsidP="0062405A">
      <w:pPr>
        <w:spacing w:line="360" w:lineRule="auto"/>
        <w:rPr>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2.3.2. El argumento de legalidad. La jornada electoral y la definitividad de las etapas</w:t>
      </w:r>
    </w:p>
    <w:p w14:paraId="3C40887E" w14:textId="77777777" w:rsidR="0062405A" w:rsidRPr="0062405A" w:rsidRDefault="0062405A" w:rsidP="0062405A">
      <w:pPr>
        <w:spacing w:line="360" w:lineRule="auto"/>
        <w:rPr>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2.3.3. El argumento probatorio. La crítica a las inferencias de la mayoría</w:t>
      </w:r>
    </w:p>
    <w:p w14:paraId="36012D18" w14:textId="77777777" w:rsidR="0062405A" w:rsidRPr="0062405A" w:rsidRDefault="0062405A" w:rsidP="0062405A">
      <w:pPr>
        <w:spacing w:line="360" w:lineRule="auto"/>
        <w:rPr>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25F9DF32" w14:textId="77777777" w:rsidR="0062405A" w:rsidRPr="0062405A" w:rsidRDefault="0062405A" w:rsidP="0062405A">
      <w:pPr>
        <w:spacing w:line="360" w:lineRule="auto"/>
        <w:rPr>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2.3.4. El par cuantitativo y cualitativo en el voto. ¿Antecedente de la tesis XXXI/2004?</w:t>
      </w:r>
    </w:p>
    <w:p w14:paraId="22094A66" w14:textId="77777777" w:rsidR="0062405A" w:rsidRPr="0062405A" w:rsidRDefault="0062405A" w:rsidP="0062405A">
      <w:pPr>
        <w:spacing w:line="360" w:lineRule="auto"/>
        <w:rPr>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2.3.5. La ceguera compartida. El vocabulario común de la convicción</w:t>
      </w:r>
    </w:p>
    <w:p w14:paraId="0F7BBAA6"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6AB20419" w14:textId="77777777" w:rsidR="0062405A" w:rsidRPr="0062405A" w:rsidRDefault="0062405A" w:rsidP="0062405A">
      <w:pPr>
        <w:spacing w:line="360" w:lineRule="auto"/>
        <w:rPr>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2.3.6. La continuidad del disenso en el caso Colima</w:t>
      </w:r>
    </w:p>
    <w:p w14:paraId="17AB5273" w14:textId="77777777" w:rsidR="0062405A" w:rsidRPr="0062405A" w:rsidRDefault="0062405A" w:rsidP="0062405A">
      <w:pPr>
        <w:spacing w:line="360" w:lineRule="auto"/>
        <w:rPr>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Conclusiones del capitulo</w:t>
      </w:r>
    </w:p>
    <w:p w14:paraId="5AD5F3B9"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3.1.4. El umbral de suficiencia. Convicción, certeza e irrefutabilidad</w:t>
      </w:r>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