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La tercera función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Queda por precisar cuáles son los errores que el estándar distribuye. 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Descartado el contextualismo, el criterio de la relatividad debe buscarse en la consecuencia jurídica. 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síntesis, 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Resta examinar si el ordenamiento declara una preferencia entre ambos errores. 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criterio consiste en suprimir la apelación a la convicción del juzgador. 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criterio consiste en fijar de manera explícita un umbral de suficiencia. 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criterio consiste en formular el umbral en términos de probabilidad inductiva. 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criterio consiste en diferenciar los umbrales según las decisiones del contencioso electoral. 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quinto criterio consiste en distribuir de manera consciente el riesgo del error. A los cuatro requisitos metodológicos se añade este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propuesta enfrenta objeciones previsibles. 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Resta precisar qué cambia y qué permanece con la reforma. 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