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The same provision makes the sufficiency of evidence depend on the conviction of the judge. Conviction is a psychologistic criterion detached from any objective threshold. This hybrid clause has remained largely unchanged in Mexican electoral case law for twenty-five years. The clause therefore undermines the rationality of fact-finding in electoral litigation. The thesis examines the extent to which the absence of an objective standard compromises rational adjudication of the facts. The thesis then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A comparative approach to Spanish, Italian and Anglo-American procedural doctrine complements this methodology, together with a case analysis of ruling SUP-JIN-194/2025. The analysis traced the hybrid clause to its earliest documented judicial application in SUP-JRC-487/2000. The formula persisted virtually unchanged for a quarter of a century. Judicial awareness of the underlying problem emerged only recently in a single dissenting opinion. The study identified a category mistake between sound criticism and standard of proof in the doctrine on the determinative effect of electoral irregularities. On this basis, the thesis confirms its hypothesis. The thesis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