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Queda por precisar con qué razones debe fijarse el umbral. Su fijación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recibido críticas 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w:t>
      </w:r>
    </w:p>
    <w:p w14:paraId="6B96F34C" w14:textId="77777777" w:rsidR="00BA1C97" w:rsidRPr="00BA1C97" w:rsidRDefault="00BA1C97" w:rsidP="00BA1C97">
      <w:pPr>
        <w:spacing w:line="360" w:lineRule="auto"/>
        <w:rPr>
          <w:rFonts w:ascii="Arial" w:eastAsia="Arial" w:hAnsi="Arial" w:cs="Arial"/>
          <w:sz w:val="24"/>
          <w:szCs w:val="24"/>
        </w:rPr>
      </w:pPr>
    </w:p>
    <w:p w14:paraId="190095D6"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2.1.1. La determinancia como institución. Fundamento normativo y principio de conservación</w:t>
      </w:r>
    </w:p>
    <w:p w14:paraId="4680E385" w14:textId="77777777" w:rsidR="00BA1C97" w:rsidRPr="00BA1C97" w:rsidRDefault="00BA1C97" w:rsidP="00BA1C97">
      <w:pPr>
        <w:spacing w:line="360" w:lineRule="auto"/>
        <w:rPr>
          <w:rFonts w:ascii="Arial" w:eastAsia="Arial" w:hAnsi="Arial" w:cs="Arial"/>
          <w:sz w:val="24"/>
          <w:szCs w:val="24"/>
        </w:rPr>
      </w:pP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53FA3365" w14:textId="77777777" w:rsidR="00BA1C97" w:rsidRPr="00BA1C97" w:rsidRDefault="00BA1C97" w:rsidP="00BA1C97">
      <w:pPr>
        <w:spacing w:line="360" w:lineRule="auto"/>
        <w:rPr>
          <w:rFonts w:ascii="Arial" w:eastAsia="Arial" w:hAnsi="Arial" w:cs="Arial"/>
          <w:sz w:val="24"/>
          <w:szCs w:val="24"/>
        </w:rPr>
      </w:pPr>
    </w:p>
    <w:p w14:paraId="40928122"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2.1.2. Genealogía de los factores. De la jurisprudencia de 1998 a la jurisprudencia 44/2024</w:t>
      </w:r>
    </w:p>
    <w:p w14:paraId="4F70CE37" w14:textId="77777777" w:rsidR="00BA1C97" w:rsidRPr="00BA1C97" w:rsidRDefault="00BA1C97" w:rsidP="00BA1C97">
      <w:pPr>
        <w:spacing w:line="360" w:lineRule="auto"/>
        <w:rPr>
          <w:rFonts w:ascii="Arial" w:eastAsia="Arial" w:hAnsi="Arial" w:cs="Arial"/>
          <w:sz w:val="24"/>
          <w:szCs w:val="24"/>
        </w:rPr>
      </w:pP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5F793D95" w14:textId="77777777" w:rsidR="00BA1C97" w:rsidRPr="00BA1C97" w:rsidRDefault="00BA1C97" w:rsidP="00BA1C97">
      <w:pPr>
        <w:spacing w:line="360" w:lineRule="auto"/>
        <w:rPr>
          <w:rFonts w:ascii="Arial" w:eastAsia="Arial" w:hAnsi="Arial" w:cs="Arial"/>
          <w:sz w:val="24"/>
          <w:szCs w:val="24"/>
        </w:rPr>
      </w:pPr>
    </w:p>
    <w:p w14:paraId="493C70D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2.1.3. El factor cuantitativo. Precisión aritmética y problema probatorio</w:t>
      </w:r>
    </w:p>
    <w:p w14:paraId="2EC0ED26" w14:textId="77777777" w:rsidR="00BA1C97" w:rsidRPr="00BA1C97" w:rsidRDefault="00BA1C97" w:rsidP="00BA1C97">
      <w:pPr>
        <w:spacing w:line="360" w:lineRule="auto"/>
        <w:rPr>
          <w:rFonts w:ascii="Arial" w:eastAsia="Arial" w:hAnsi="Arial" w:cs="Arial"/>
          <w:sz w:val="24"/>
          <w:szCs w:val="24"/>
        </w:rPr>
      </w:pP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2076C353" w14:textId="77777777" w:rsidR="00BA1C97" w:rsidRPr="00BA1C97" w:rsidRDefault="00BA1C97" w:rsidP="00BA1C97">
      <w:pPr>
        <w:spacing w:line="360" w:lineRule="auto"/>
        <w:rPr>
          <w:rFonts w:ascii="Arial" w:eastAsia="Arial" w:hAnsi="Arial" w:cs="Arial"/>
          <w:sz w:val="24"/>
          <w:szCs w:val="24"/>
        </w:rPr>
      </w:pPr>
    </w:p>
    <w:p w14:paraId="072FFBC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2.1.4. El factor cualitativo. Gravedad de la violación y suficiencia probatoria encubierta</w:t>
      </w:r>
    </w:p>
    <w:p w14:paraId="56D9E238" w14:textId="77777777" w:rsidR="00BA1C97" w:rsidRPr="00BA1C97" w:rsidRDefault="00BA1C97" w:rsidP="00BA1C97">
      <w:pPr>
        <w:spacing w:line="360" w:lineRule="auto"/>
        <w:rPr>
          <w:rFonts w:ascii="Arial" w:eastAsia="Arial" w:hAnsi="Arial" w:cs="Arial"/>
          <w:sz w:val="24"/>
          <w:szCs w:val="24"/>
        </w:rPr>
      </w:pP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39440386" w14:textId="77777777" w:rsidR="00BA1C97" w:rsidRPr="00BA1C97" w:rsidRDefault="00BA1C97" w:rsidP="00BA1C97">
      <w:pPr>
        <w:spacing w:line="360" w:lineRule="auto"/>
        <w:rPr>
          <w:rFonts w:ascii="Arial" w:eastAsia="Arial" w:hAnsi="Arial" w:cs="Arial"/>
          <w:sz w:val="24"/>
          <w:szCs w:val="24"/>
        </w:rPr>
      </w:pPr>
    </w:p>
    <w:p w14:paraId="0147FE5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2.1.5. El factor constitucional. La presunción del cinco por ciento y su alcance</w:t>
      </w:r>
    </w:p>
    <w:p w14:paraId="41F49D67" w14:textId="77777777" w:rsidR="00BA1C97" w:rsidRPr="00BA1C97" w:rsidRDefault="00BA1C97" w:rsidP="00BA1C97">
      <w:pPr>
        <w:spacing w:line="360" w:lineRule="auto"/>
        <w:rPr>
          <w:rFonts w:ascii="Arial" w:eastAsia="Arial" w:hAnsi="Arial" w:cs="Arial"/>
          <w:sz w:val="24"/>
          <w:szCs w:val="24"/>
        </w:rPr>
      </w:pP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3838EF63" w14:textId="77777777" w:rsidR="00BA1C97" w:rsidRPr="00BA1C97" w:rsidRDefault="00BA1C97" w:rsidP="00BA1C97">
      <w:pPr>
        <w:spacing w:line="360" w:lineRule="auto"/>
        <w:rPr>
          <w:rFonts w:ascii="Arial" w:eastAsia="Arial" w:hAnsi="Arial" w:cs="Arial"/>
          <w:sz w:val="24"/>
          <w:szCs w:val="24"/>
        </w:rPr>
      </w:pPr>
    </w:p>
    <w:p w14:paraId="7B44826D"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2.1.6. El error de categoría proyectado sobre los tres factores</w:t>
      </w:r>
    </w:p>
    <w:p w14:paraId="0E4C8B28" w14:textId="77777777" w:rsidR="00BA1C97" w:rsidRPr="00BA1C97" w:rsidRDefault="00BA1C97" w:rsidP="00BA1C97">
      <w:pPr>
        <w:spacing w:line="360" w:lineRule="auto"/>
        <w:rPr>
          <w:rFonts w:ascii="Arial" w:eastAsia="Arial" w:hAnsi="Arial" w:cs="Arial"/>
          <w:sz w:val="24"/>
          <w:szCs w:val="24"/>
        </w:rPr>
      </w:pP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937C2ED" w14:textId="77777777" w:rsidR="00BA1C97" w:rsidRPr="00BA1C97" w:rsidRDefault="00BA1C97" w:rsidP="00BA1C97">
      <w:pPr>
        <w:spacing w:line="360" w:lineRule="auto"/>
        <w:rPr>
          <w:rFonts w:ascii="Arial" w:eastAsia="Arial" w:hAnsi="Arial" w:cs="Arial"/>
          <w:sz w:val="24"/>
          <w:szCs w:val="24"/>
        </w:rPr>
      </w:pPr>
    </w:p>
    <w:p w14:paraId="1B3DE307"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2.1.7. Consecuencias prácticas. La variación del umbral en los casos</w:t>
      </w:r>
    </w:p>
    <w:p w14:paraId="303B50B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421A045D" w14:textId="77777777" w:rsidR="00BA1C97" w:rsidRPr="00BA1C97" w:rsidRDefault="00BA1C97" w:rsidP="00BA1C97">
      <w:pPr>
        <w:spacing w:line="360" w:lineRule="auto"/>
        <w:rPr>
          <w:rFonts w:ascii="Arial" w:eastAsia="Arial" w:hAnsi="Arial" w:cs="Arial"/>
          <w:sz w:val="24"/>
          <w:szCs w:val="24"/>
        </w:rPr>
      </w:pPr>
    </w:p>
    <w:p w14:paraId="7B2643C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2.1.8. El paralelismo con el artículo 16 de la ley de medios</w:t>
      </w:r>
    </w:p>
    <w:p w14:paraId="0602AA32" w14:textId="77777777" w:rsidR="00BA1C97" w:rsidRPr="00BA1C97" w:rsidRDefault="00BA1C97" w:rsidP="00BA1C97">
      <w:pPr>
        <w:spacing w:line="360" w:lineRule="auto"/>
        <w:rPr>
          <w:rFonts w:ascii="Arial" w:eastAsia="Arial" w:hAnsi="Arial" w:cs="Arial"/>
          <w:sz w:val="24"/>
          <w:szCs w:val="24"/>
        </w:rPr>
      </w:pP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4B556AB2" w14:textId="77777777" w:rsidR="00BA1C97" w:rsidRPr="00BA1C97" w:rsidRDefault="00BA1C97" w:rsidP="00BA1C97">
      <w:pPr>
        <w:spacing w:line="360" w:lineRule="auto"/>
        <w:rPr>
          <w:rFonts w:ascii="Arial" w:eastAsia="Arial" w:hAnsi="Arial" w:cs="Arial"/>
          <w:sz w:val="24"/>
          <w:szCs w:val="24"/>
        </w:rPr>
      </w:pPr>
    </w:p>
    <w:p w14:paraId="26EB01C3" w14:textId="42E2873C"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2.1.9. Recapitulación y tránsito al apartado</w:t>
      </w:r>
    </w:p>
    <w:p w14:paraId="20AF5A2D"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5BF8DC14" w14:textId="77777777" w:rsidR="000A1322" w:rsidRPr="000A1322" w:rsidRDefault="000A1322" w:rsidP="000A1322">
      <w:pPr>
        <w:spacing w:line="360" w:lineRule="auto"/>
        <w:rPr>
          <w:rFonts w:ascii="Arial" w:eastAsia="Arial" w:hAnsi="Arial" w:cs="Arial"/>
          <w:sz w:val="24"/>
          <w:szCs w:val="24"/>
        </w:rPr>
      </w:pPr>
    </w:p>
    <w:p w14:paraId="751FD3A3"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 La estructura de la cláusula híbrida</w:t>
      </w:r>
    </w:p>
    <w:p w14:paraId="61071564" w14:textId="77777777" w:rsidR="000A1322" w:rsidRPr="000A1322" w:rsidRDefault="000A1322" w:rsidP="000A1322">
      <w:pPr>
        <w:spacing w:line="360" w:lineRule="auto"/>
        <w:rPr>
          <w:rFonts w:ascii="Arial" w:eastAsia="Arial" w:hAnsi="Arial" w:cs="Arial"/>
          <w:sz w:val="24"/>
          <w:szCs w:val="24"/>
        </w:rPr>
      </w:pP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42FA59AC" w14:textId="77777777" w:rsidR="000A1322" w:rsidRPr="000A1322" w:rsidRDefault="000A1322" w:rsidP="000A1322">
      <w:pPr>
        <w:spacing w:line="360" w:lineRule="auto"/>
        <w:rPr>
          <w:rFonts w:ascii="Arial" w:eastAsia="Arial" w:hAnsi="Arial" w:cs="Arial"/>
          <w:sz w:val="24"/>
          <w:szCs w:val="24"/>
        </w:rPr>
      </w:pPr>
    </w:p>
    <w:p w14:paraId="194EF0AE"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2.2.2. El contexto normativo. La reforma de 1996</w:t>
      </w:r>
    </w:p>
    <w:p w14:paraId="04740AD9"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0F6AD3BC" w14:textId="77777777" w:rsidR="000A1322" w:rsidRPr="000A1322" w:rsidRDefault="000A1322" w:rsidP="000A1322">
      <w:pPr>
        <w:spacing w:line="360" w:lineRule="auto"/>
        <w:rPr>
          <w:rFonts w:ascii="Arial" w:eastAsia="Arial" w:hAnsi="Arial" w:cs="Arial"/>
          <w:sz w:val="24"/>
          <w:szCs w:val="24"/>
        </w:rPr>
      </w:pPr>
    </w:p>
    <w:p w14:paraId="10499264"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2.2.3. Genealogía de la fórmula de la sana crítica</w:t>
      </w:r>
    </w:p>
    <w:p w14:paraId="7181B78E" w14:textId="77777777" w:rsidR="000A1322" w:rsidRPr="000A1322" w:rsidRDefault="000A1322" w:rsidP="000A1322">
      <w:pPr>
        <w:spacing w:line="360" w:lineRule="auto"/>
        <w:rPr>
          <w:rFonts w:ascii="Arial" w:eastAsia="Arial" w:hAnsi="Arial" w:cs="Arial"/>
          <w:sz w:val="24"/>
          <w:szCs w:val="24"/>
        </w:rPr>
      </w:pP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fórmula de la sana crítica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5824D90A" w14:textId="77777777" w:rsidR="000A1322" w:rsidRPr="000A1322" w:rsidRDefault="000A1322" w:rsidP="000A1322">
      <w:pPr>
        <w:spacing w:line="360" w:lineRule="auto"/>
        <w:rPr>
          <w:rFonts w:ascii="Arial" w:eastAsia="Arial" w:hAnsi="Arial" w:cs="Arial"/>
          <w:sz w:val="24"/>
          <w:szCs w:val="24"/>
        </w:rPr>
      </w:pPr>
    </w:p>
    <w:p w14:paraId="18A74780"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2.2.4. El caso Tabasco. Marco fáctico y procesal</w:t>
      </w:r>
    </w:p>
    <w:p w14:paraId="646EBE6F"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DFCEBBB"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2.2.5. La cláusula híbrida aplicada en el caso Tabasco</w:t>
      </w:r>
    </w:p>
    <w:p w14:paraId="3AEC21C7" w14:textId="77777777" w:rsidR="000A1322" w:rsidRPr="000A1322" w:rsidRDefault="000A1322" w:rsidP="000A1322">
      <w:pPr>
        <w:spacing w:line="360" w:lineRule="auto"/>
        <w:rPr>
          <w:rFonts w:ascii="Arial" w:eastAsia="Arial" w:hAnsi="Arial" w:cs="Arial"/>
          <w:sz w:val="24"/>
          <w:szCs w:val="24"/>
        </w:rPr>
      </w:pP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0F0FA48D" w14:textId="77777777" w:rsidR="000A1322" w:rsidRPr="000A1322" w:rsidRDefault="000A1322" w:rsidP="000A1322">
      <w:pPr>
        <w:spacing w:line="360" w:lineRule="auto"/>
        <w:rPr>
          <w:rFonts w:ascii="Arial" w:eastAsia="Arial" w:hAnsi="Arial" w:cs="Arial"/>
          <w:sz w:val="24"/>
          <w:szCs w:val="24"/>
        </w:rPr>
      </w:pPr>
    </w:p>
    <w:p w14:paraId="66286C85"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2.2.6. La conclusión de la sentencia. Concurrencia de irregularidades y determinancia</w:t>
      </w:r>
    </w:p>
    <w:p w14:paraId="37D8061B" w14:textId="77777777" w:rsidR="000A1322" w:rsidRPr="000A1322" w:rsidRDefault="000A1322" w:rsidP="000A1322">
      <w:pPr>
        <w:spacing w:line="360" w:lineRule="auto"/>
        <w:rPr>
          <w:rFonts w:ascii="Arial" w:eastAsia="Arial" w:hAnsi="Arial" w:cs="Arial"/>
          <w:sz w:val="24"/>
          <w:szCs w:val="24"/>
        </w:rPr>
      </w:pP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535CB5BA" w14:textId="77777777" w:rsidR="000A1322" w:rsidRPr="000A1322" w:rsidRDefault="000A1322" w:rsidP="000A1322">
      <w:pPr>
        <w:spacing w:line="360" w:lineRule="auto"/>
        <w:rPr>
          <w:rFonts w:ascii="Arial" w:eastAsia="Arial" w:hAnsi="Arial" w:cs="Arial"/>
          <w:sz w:val="24"/>
          <w:szCs w:val="24"/>
        </w:rPr>
      </w:pPr>
    </w:p>
    <w:p w14:paraId="26B48AD2"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2.2.7. La jurisprudencia 38/2002 y sus precedentes</w:t>
      </w:r>
    </w:p>
    <w:p w14:paraId="773E637E" w14:textId="77777777" w:rsidR="000A1322" w:rsidRPr="000A1322" w:rsidRDefault="000A1322" w:rsidP="000A1322">
      <w:pPr>
        <w:spacing w:line="360" w:lineRule="auto"/>
        <w:rPr>
          <w:rFonts w:ascii="Arial" w:eastAsia="Arial" w:hAnsi="Arial" w:cs="Arial"/>
          <w:sz w:val="24"/>
          <w:szCs w:val="24"/>
        </w:rPr>
      </w:pP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jurisprudencia 38/2002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0AF3E735" w14:textId="77777777" w:rsidR="000A1322" w:rsidRPr="000A1322" w:rsidRDefault="000A1322" w:rsidP="000A1322">
      <w:pPr>
        <w:spacing w:line="360" w:lineRule="auto"/>
        <w:rPr>
          <w:rFonts w:ascii="Arial" w:eastAsia="Arial" w:hAnsi="Arial" w:cs="Arial"/>
          <w:sz w:val="24"/>
          <w:szCs w:val="24"/>
        </w:rPr>
      </w:pPr>
    </w:p>
    <w:p w14:paraId="49F9A29C"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2.2.8. El lenguaje de la convicción en la jurisprudencia 38/2002</w:t>
      </w:r>
    </w:p>
    <w:p w14:paraId="08E02A05" w14:textId="77777777" w:rsidR="000A1322" w:rsidRPr="000A1322" w:rsidRDefault="000A1322" w:rsidP="000A1322">
      <w:pPr>
        <w:spacing w:line="360" w:lineRule="auto"/>
        <w:rPr>
          <w:rFonts w:ascii="Arial" w:eastAsia="Arial" w:hAnsi="Arial" w:cs="Arial"/>
          <w:sz w:val="24"/>
          <w:szCs w:val="24"/>
        </w:rPr>
      </w:pP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511AE45A" w14:textId="77777777" w:rsidR="000A1322" w:rsidRPr="000A1322" w:rsidRDefault="000A1322" w:rsidP="000A1322">
      <w:pPr>
        <w:spacing w:line="360" w:lineRule="auto"/>
        <w:rPr>
          <w:rFonts w:ascii="Arial" w:eastAsia="Arial" w:hAnsi="Arial" w:cs="Arial"/>
          <w:sz w:val="24"/>
          <w:szCs w:val="24"/>
        </w:rPr>
      </w:pPr>
    </w:p>
    <w:p w14:paraId="0FB7358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2.2.9. La persistencia de la cláusula híbrida en la jurisprudencia reciente</w:t>
      </w:r>
    </w:p>
    <w:p w14:paraId="028E286F" w14:textId="77777777" w:rsidR="000A1322" w:rsidRPr="000A1322" w:rsidRDefault="000A1322" w:rsidP="000A1322">
      <w:pPr>
        <w:spacing w:line="360" w:lineRule="auto"/>
        <w:rPr>
          <w:rFonts w:ascii="Arial" w:eastAsia="Arial" w:hAnsi="Arial" w:cs="Arial"/>
          <w:sz w:val="24"/>
          <w:szCs w:val="24"/>
        </w:rPr>
      </w:pP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7C0BB0AA" w14:textId="77777777" w:rsidR="000A1322" w:rsidRPr="000A1322" w:rsidRDefault="000A1322" w:rsidP="000A1322">
      <w:pPr>
        <w:spacing w:line="360" w:lineRule="auto"/>
        <w:rPr>
          <w:rFonts w:ascii="Arial" w:eastAsia="Arial" w:hAnsi="Arial" w:cs="Arial"/>
          <w:sz w:val="24"/>
          <w:szCs w:val="24"/>
        </w:rPr>
      </w:pPr>
    </w:p>
    <w:p w14:paraId="6785641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2.2.10. Recapitulación y tránsito al apartado 2.3</w:t>
      </w:r>
    </w:p>
    <w:p w14:paraId="035E9E3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6A872526" w14:textId="77777777" w:rsidR="0062405A" w:rsidRPr="0062405A" w:rsidRDefault="0062405A" w:rsidP="0062405A">
      <w:pPr>
        <w:spacing w:line="360" w:lineRule="auto"/>
        <w:rPr>
          <w:rFonts w:ascii="Arial" w:eastAsia="Arial" w:hAnsi="Arial" w:cs="Arial"/>
          <w:sz w:val="24"/>
          <w:szCs w:val="24"/>
        </w:rPr>
      </w:pPr>
    </w:p>
    <w:p w14:paraId="5DA901AA"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2.3.1. El voto particular. Autores, alcance y estructura</w:t>
      </w:r>
    </w:p>
    <w:p w14:paraId="37B1AEF3" w14:textId="77777777" w:rsidR="0062405A" w:rsidRPr="0062405A" w:rsidRDefault="0062405A" w:rsidP="0062405A">
      <w:pPr>
        <w:spacing w:line="360" w:lineRule="auto"/>
        <w:rPr>
          <w:rFonts w:ascii="Arial" w:eastAsia="Arial" w:hAnsi="Arial" w:cs="Arial"/>
          <w:sz w:val="24"/>
          <w:szCs w:val="24"/>
        </w:rPr>
      </w:pP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04D31069" w14:textId="77777777" w:rsidR="0062405A" w:rsidRPr="0062405A" w:rsidRDefault="0062405A" w:rsidP="0062405A">
      <w:pPr>
        <w:spacing w:line="360" w:lineRule="auto"/>
        <w:rPr>
          <w:rFonts w:ascii="Arial" w:eastAsia="Arial" w:hAnsi="Arial" w:cs="Arial"/>
          <w:sz w:val="24"/>
          <w:szCs w:val="24"/>
        </w:rPr>
      </w:pPr>
    </w:p>
    <w:p w14:paraId="30295221"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2.3.2. El argumento de legalidad. La jornada electoral y la definitividad de las etapas</w:t>
      </w:r>
    </w:p>
    <w:p w14:paraId="3C40887E" w14:textId="77777777" w:rsidR="0062405A" w:rsidRPr="0062405A" w:rsidRDefault="0062405A" w:rsidP="0062405A">
      <w:pPr>
        <w:spacing w:line="360" w:lineRule="auto"/>
        <w:rPr>
          <w:rFonts w:ascii="Arial" w:eastAsia="Arial" w:hAnsi="Arial" w:cs="Arial"/>
          <w:sz w:val="24"/>
          <w:szCs w:val="24"/>
        </w:rPr>
      </w:pP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135E13CB" w14:textId="77777777" w:rsidR="0062405A" w:rsidRPr="0062405A" w:rsidRDefault="0062405A" w:rsidP="0062405A">
      <w:pPr>
        <w:spacing w:line="360" w:lineRule="auto"/>
        <w:rPr>
          <w:rFonts w:ascii="Arial" w:eastAsia="Arial" w:hAnsi="Arial" w:cs="Arial"/>
          <w:sz w:val="24"/>
          <w:szCs w:val="24"/>
        </w:rPr>
      </w:pPr>
    </w:p>
    <w:p w14:paraId="1B2A04A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2.3.3. El argumento probatorio. La crítica a las inferencias de la mayoría</w:t>
      </w:r>
    </w:p>
    <w:p w14:paraId="36012D18" w14:textId="77777777" w:rsidR="0062405A" w:rsidRPr="0062405A" w:rsidRDefault="0062405A" w:rsidP="0062405A">
      <w:pPr>
        <w:spacing w:line="360" w:lineRule="auto"/>
        <w:rPr>
          <w:rFonts w:ascii="Arial" w:eastAsia="Arial" w:hAnsi="Arial" w:cs="Arial"/>
          <w:sz w:val="24"/>
          <w:szCs w:val="24"/>
        </w:rPr>
      </w:pP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25F9DF32" w14:textId="77777777" w:rsidR="0062405A" w:rsidRPr="0062405A" w:rsidRDefault="0062405A" w:rsidP="0062405A">
      <w:pPr>
        <w:spacing w:line="360" w:lineRule="auto"/>
        <w:rPr>
          <w:rFonts w:ascii="Arial" w:eastAsia="Arial" w:hAnsi="Arial" w:cs="Arial"/>
          <w:sz w:val="24"/>
          <w:szCs w:val="24"/>
        </w:rPr>
      </w:pPr>
    </w:p>
    <w:p w14:paraId="7DF4590D"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2.3.4. El par cuantitativo y cualitativo en el voto. ¿Antecedente de la tesis XXXI/2004?</w:t>
      </w:r>
    </w:p>
    <w:p w14:paraId="22094A66" w14:textId="77777777" w:rsidR="0062405A" w:rsidRPr="0062405A" w:rsidRDefault="0062405A" w:rsidP="0062405A">
      <w:pPr>
        <w:spacing w:line="360" w:lineRule="auto"/>
        <w:rPr>
          <w:rFonts w:ascii="Arial" w:eastAsia="Arial" w:hAnsi="Arial" w:cs="Arial"/>
          <w:sz w:val="24"/>
          <w:szCs w:val="24"/>
        </w:rPr>
      </w:pP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35FE62AE" w14:textId="77777777" w:rsidR="0062405A" w:rsidRPr="0062405A" w:rsidRDefault="0062405A" w:rsidP="0062405A">
      <w:pPr>
        <w:spacing w:line="360" w:lineRule="auto"/>
        <w:rPr>
          <w:rFonts w:ascii="Arial" w:eastAsia="Arial" w:hAnsi="Arial" w:cs="Arial"/>
          <w:sz w:val="24"/>
          <w:szCs w:val="24"/>
        </w:rPr>
      </w:pPr>
    </w:p>
    <w:p w14:paraId="7B1C808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2.3.5. La ceguera compartida. El vocabulario común de la convicción</w:t>
      </w:r>
    </w:p>
    <w:p w14:paraId="0F7BBAA6"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6AB20419" w14:textId="77777777" w:rsidR="0062405A" w:rsidRPr="0062405A" w:rsidRDefault="0062405A" w:rsidP="0062405A">
      <w:pPr>
        <w:spacing w:line="360" w:lineRule="auto"/>
        <w:rPr>
          <w:rFonts w:ascii="Arial" w:eastAsia="Arial" w:hAnsi="Arial" w:cs="Arial"/>
          <w:sz w:val="24"/>
          <w:szCs w:val="24"/>
        </w:rPr>
      </w:pPr>
    </w:p>
    <w:p w14:paraId="4A541B62"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2.3.6. La continuidad del disenso en el caso Colima</w:t>
      </w:r>
    </w:p>
    <w:p w14:paraId="17AB5273" w14:textId="77777777" w:rsidR="0062405A" w:rsidRPr="0062405A" w:rsidRDefault="0062405A" w:rsidP="0062405A">
      <w:pPr>
        <w:spacing w:line="360" w:lineRule="auto"/>
        <w:rPr>
          <w:rFonts w:ascii="Arial" w:eastAsia="Arial" w:hAnsi="Arial" w:cs="Arial"/>
          <w:sz w:val="24"/>
          <w:szCs w:val="24"/>
        </w:rPr>
      </w:pP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4649B1C2" w14:textId="77777777" w:rsidR="0062405A" w:rsidRPr="0062405A" w:rsidRDefault="0062405A" w:rsidP="0062405A">
      <w:pPr>
        <w:spacing w:line="360" w:lineRule="auto"/>
        <w:rPr>
          <w:rFonts w:ascii="Arial" w:eastAsia="Arial" w:hAnsi="Arial" w:cs="Arial"/>
          <w:sz w:val="24"/>
          <w:szCs w:val="24"/>
        </w:rPr>
      </w:pPr>
    </w:p>
    <w:p w14:paraId="14354648" w14:textId="24F46A76" w:rsidR="0062405A" w:rsidRPr="0062405A" w:rsidRDefault="006E43DD"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Conclusiones del capitulo</w:t>
      </w:r>
    </w:p>
    <w:p w14:paraId="5AD5F3B9"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w:t>
      </w:r>
    </w:p>
    <w:p w14:paraId="1474A492" w14:textId="77777777" w:rsidR="00A019C7" w:rsidRPr="00A019C7" w:rsidRDefault="00A019C7" w:rsidP="00A019C7">
      <w:pPr>
        <w:spacing w:line="360" w:lineRule="auto"/>
        <w:rPr>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3.1.1. Marco normativo, fáctico y procesal</w:t>
      </w:r>
    </w:p>
    <w:p w14:paraId="2073CB96" w14:textId="77777777" w:rsidR="00A019C7" w:rsidRPr="00A019C7" w:rsidRDefault="00A019C7" w:rsidP="00A019C7">
      <w:pPr>
        <w:spacing w:line="360" w:lineRule="auto"/>
        <w:rPr>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en el apartado 3.1.5.</w:t>
      </w:r>
    </w:p>
    <w:p w14:paraId="75DBB70C" w14:textId="77777777" w:rsidR="00A019C7" w:rsidRPr="00A019C7" w:rsidRDefault="00A019C7" w:rsidP="00A019C7">
      <w:pPr>
        <w:spacing w:line="360" w:lineRule="auto"/>
        <w:rPr>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3.1.2. La doctrina probatoria de la mayoría</w:t>
      </w:r>
    </w:p>
    <w:p w14:paraId="6A627151" w14:textId="77777777" w:rsidR="00A019C7" w:rsidRPr="00A019C7" w:rsidRDefault="00A019C7" w:rsidP="00A019C7">
      <w:pPr>
        <w:spacing w:line="360" w:lineRule="auto"/>
        <w:rPr>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3.1.3. La aplicación de la doctrina al caudal probatorio</w:t>
      </w:r>
    </w:p>
    <w:p w14:paraId="0A51CE76" w14:textId="77777777" w:rsidR="00A019C7" w:rsidRPr="00A019C7" w:rsidRDefault="00A019C7" w:rsidP="00A019C7">
      <w:pPr>
        <w:spacing w:line="360" w:lineRule="auto"/>
        <w:rPr>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caudal probatorio fue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3.1.4. El umbral de suficiencia. Convicción, certeza e irrefutabilidad</w:t>
      </w:r>
    </w:p>
    <w:p w14:paraId="3E918DD9" w14:textId="77777777" w:rsidR="00A019C7" w:rsidRPr="00A019C7" w:rsidRDefault="00A019C7" w:rsidP="00A019C7">
      <w:pPr>
        <w:spacing w:line="360" w:lineRule="auto"/>
        <w:rPr>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3.1.5. Cotejo con el caso Tabasco</w:t>
      </w:r>
    </w:p>
    <w:p w14:paraId="2A874E77" w14:textId="77777777" w:rsidR="00A019C7" w:rsidRPr="00A019C7" w:rsidRDefault="00A019C7" w:rsidP="00A019C7">
      <w:pPr>
        <w:spacing w:line="360" w:lineRule="auto"/>
        <w:rPr>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3.1.6. La estabilidad del artículo 16 frente a las reformas de 2008 a 2025</w:t>
      </w:r>
    </w:p>
    <w:p w14:paraId="0953C732" w14:textId="77777777" w:rsidR="00A019C7" w:rsidRPr="00A019C7" w:rsidRDefault="00A019C7" w:rsidP="00A019C7">
      <w:pPr>
        <w:spacing w:line="360" w:lineRule="auto"/>
        <w:rPr>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3.1.7. Recapitulación y tránsito al apartado 3.2</w:t>
      </w:r>
    </w:p>
    <w:p w14:paraId="296E0652" w14:textId="77777777" w:rsidR="00A019C7" w:rsidRPr="00A019C7" w:rsidRDefault="00A019C7" w:rsidP="00A019C7">
      <w:pPr>
        <w:spacing w:line="360" w:lineRule="auto"/>
        <w:rPr>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 Los votos particulares del SUP-JIN-194/2025. Autoría, estructura y alcance</w:t>
      </w:r>
    </w:p>
    <w:p w14:paraId="1417A26D" w14:textId="77777777" w:rsidR="00224E50" w:rsidRPr="00224E50" w:rsidRDefault="00224E50" w:rsidP="00224E50">
      <w:pPr>
        <w:spacing w:line="360" w:lineRule="auto"/>
        <w:rPr>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3.2.2. La denuncia de la ausencia de un estándar de prueba</w:t>
      </w:r>
    </w:p>
    <w:p w14:paraId="42B3FD77" w14:textId="77777777" w:rsidR="00224E50" w:rsidRPr="00224E50" w:rsidRDefault="00224E50" w:rsidP="00224E50">
      <w:pPr>
        <w:spacing w:line="360" w:lineRule="auto"/>
        <w:rPr>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punto dedicado a los estándares probatorios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3.2.3. La teoría de los estándares en el proyecto incorporado al voto</w:t>
      </w:r>
    </w:p>
    <w:p w14:paraId="32BE13DF" w14:textId="77777777" w:rsidR="00224E50" w:rsidRPr="00224E50" w:rsidRDefault="00224E50" w:rsidP="00224E50">
      <w:pPr>
        <w:spacing w:line="360" w:lineRule="auto"/>
        <w:rPr>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3.2.4. El estándar elevado para la autoría</w:t>
      </w:r>
    </w:p>
    <w:p w14:paraId="000E0289" w14:textId="77777777" w:rsidR="00224E50" w:rsidRPr="00224E50" w:rsidRDefault="00224E50" w:rsidP="00224E50">
      <w:pPr>
        <w:spacing w:line="360" w:lineRule="auto"/>
        <w:rPr>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3.2.5. La fuente del estándar. Modulación judicial y previsibilidad</w:t>
      </w:r>
    </w:p>
    <w:p w14:paraId="4F455E2E"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3.2.6. La crítica a la fragmentación del acervo probatorio</w:t>
      </w:r>
    </w:p>
    <w:p w14:paraId="770868B7" w14:textId="77777777" w:rsidR="00224E50" w:rsidRPr="00224E50" w:rsidRDefault="00224E50" w:rsidP="00224E50">
      <w:pPr>
        <w:spacing w:line="360" w:lineRule="auto"/>
        <w:rPr>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3.2.7. La determinancia y el uso de la estadística</w:t>
      </w:r>
    </w:p>
    <w:p w14:paraId="4A3BC90C" w14:textId="77777777" w:rsidR="00224E50" w:rsidRPr="00224E50" w:rsidRDefault="00224E50" w:rsidP="00224E50">
      <w:pPr>
        <w:spacing w:line="360" w:lineRule="auto"/>
        <w:rPr>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3.2.8. El voto de 2025 frente a los requisitos metodológicos</w:t>
      </w:r>
    </w:p>
    <w:p w14:paraId="22003E77" w14:textId="77777777" w:rsidR="00224E50" w:rsidRPr="00224E50" w:rsidRDefault="00224E50" w:rsidP="00224E50">
      <w:pPr>
        <w:spacing w:line="360" w:lineRule="auto"/>
        <w:rPr>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analizaremos más adelante.</w:t>
      </w:r>
    </w:p>
    <w:p w14:paraId="616644C9" w14:textId="77777777" w:rsidR="00224E50" w:rsidRPr="00224E50" w:rsidRDefault="00224E50" w:rsidP="00224E50">
      <w:pPr>
        <w:spacing w:line="360" w:lineRule="auto"/>
        <w:rPr>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3.2.9. Cotejo con el voto particular del caso Tabasco</w:t>
      </w:r>
    </w:p>
    <w:p w14:paraId="1021E535" w14:textId="77777777" w:rsidR="00224E50" w:rsidRPr="00224E50" w:rsidRDefault="00224E50" w:rsidP="00224E50">
      <w:pPr>
        <w:spacing w:line="360" w:lineRule="auto"/>
        <w:rPr>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3.2.10. Un antecedente del mismo disidente. El voto razonado en el SUP-REC-1388/2018</w:t>
      </w:r>
    </w:p>
    <w:p w14:paraId="3F44C7E6"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3.2.11. El alcance de una crítica sin efectos vinculantes</w:t>
      </w:r>
    </w:p>
    <w:p w14:paraId="569A71B4" w14:textId="77777777" w:rsidR="00224E50" w:rsidRPr="00224E50" w:rsidRDefault="00224E50" w:rsidP="00224E50">
      <w:pPr>
        <w:spacing w:line="360" w:lineRule="auto"/>
        <w:rPr>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4715C652" w14:textId="77777777" w:rsidR="005D4DF8" w:rsidRPr="00224E50" w:rsidRDefault="005D4DF8" w:rsidP="00647260">
      <w:pPr>
        <w:spacing w:line="360" w:lineRule="auto"/>
        <w:jc w:val="both"/>
        <w:rPr>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Conclusiones del capitulo </w:t>
      </w:r>
    </w:p>
    <w:p w14:paraId="73075E5F" w14:textId="77777777" w:rsidR="00224E50" w:rsidRPr="00224E50" w:rsidRDefault="00224E50" w:rsidP="00224E50">
      <w:pPr>
        <w:spacing w:line="360" w:lineRule="auto"/>
        <w:rPr>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3.3. La cláusula mixta. Expresión normativa del error de categoría y su inercia en el sistema probatorio</w:t>
      </w:r>
    </w:p>
    <w:p w14:paraId="42851895" w14:textId="77777777" w:rsidR="00FB3B55" w:rsidRPr="00FB3B55" w:rsidRDefault="00FB3B55" w:rsidP="00FB3B55">
      <w:pPr>
        <w:spacing w:line="360" w:lineRule="auto"/>
        <w:rPr>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Al final se examina su relación con el error de categoría y se traza el tránsito al capítulo cuarto.</w:t>
      </w:r>
    </w:p>
    <w:p w14:paraId="11FF4DE0" w14:textId="77777777" w:rsidR="00FB3B55" w:rsidRPr="00FB3B55" w:rsidRDefault="00FB3B55" w:rsidP="00FB3B55">
      <w:pPr>
        <w:spacing w:line="360" w:lineRule="auto"/>
        <w:rPr>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 Los sistemas de valoración y la noción clásica de sistema mixto</w:t>
      </w:r>
    </w:p>
    <w:p w14:paraId="6C2F4589" w14:textId="77777777" w:rsidR="00FB3B55" w:rsidRPr="00FB3B55" w:rsidRDefault="00FB3B55" w:rsidP="00FB3B55">
      <w:pPr>
        <w:spacing w:line="360" w:lineRule="auto"/>
        <w:rPr>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3.3.2. Definición de la cláusula mixta</w:t>
      </w:r>
    </w:p>
    <w:p w14:paraId="4F15933E" w14:textId="77777777" w:rsidR="00FB3B55" w:rsidRPr="00FB3B55" w:rsidRDefault="00FB3B55" w:rsidP="00FB3B55">
      <w:pPr>
        <w:spacing w:line="360" w:lineRule="auto"/>
        <w:rPr>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3.3.3. Deslinde frente a la textura abierta y la ambigüedad</w:t>
      </w:r>
    </w:p>
    <w:p w14:paraId="08688524" w14:textId="77777777" w:rsidR="00FB3B55" w:rsidRPr="00FB3B55" w:rsidRDefault="00FB3B55" w:rsidP="00FB3B55">
      <w:pPr>
        <w:spacing w:line="360" w:lineRule="auto"/>
        <w:rPr>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3.3.4. Anatomía del artículo 16 de la ley de medios</w:t>
      </w:r>
    </w:p>
    <w:p w14:paraId="4CE77188" w14:textId="77777777" w:rsidR="00FB3B55" w:rsidRPr="00FB3B55" w:rsidRDefault="00FB3B55" w:rsidP="00FB3B55">
      <w:pPr>
        <w:spacing w:line="360" w:lineRule="auto"/>
        <w:rPr>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El párrafo 1 del artículo 16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3.3.5. El funcionamiento inerte del componente racional</w:t>
      </w:r>
    </w:p>
    <w:p w14:paraId="5C6AAD14" w14:textId="77777777" w:rsidR="00FB3B55" w:rsidRPr="00FB3B55" w:rsidRDefault="00FB3B55" w:rsidP="00FB3B55">
      <w:pPr>
        <w:spacing w:line="360" w:lineRule="auto"/>
        <w:rPr>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3.3.6. Las reglas jurisprudenciales de peso y el desplazamiento del problema</w:t>
      </w:r>
    </w:p>
    <w:p w14:paraId="0B042A0E" w14:textId="77777777" w:rsidR="00FB3B55" w:rsidRPr="00FB3B55" w:rsidRDefault="00FB3B55" w:rsidP="00FB3B55">
      <w:pPr>
        <w:spacing w:line="360" w:lineRule="auto"/>
        <w:rPr>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3.3.7. Cláusulas mixtas análogas en el derecho procesal mexicano</w:t>
      </w:r>
    </w:p>
    <w:p w14:paraId="748E571A" w14:textId="77777777" w:rsidR="00FB3B55" w:rsidRPr="00FB3B55" w:rsidRDefault="00FB3B55" w:rsidP="00FB3B55">
      <w:pPr>
        <w:spacing w:line="360" w:lineRule="auto"/>
        <w:rPr>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3.3.8. Consecuencias dogmáticas de la calificación</w:t>
      </w:r>
    </w:p>
    <w:p w14:paraId="5CD6DB28" w14:textId="77777777" w:rsidR="00FB3B55" w:rsidRPr="00FB3B55" w:rsidRDefault="00FB3B55" w:rsidP="00FB3B55">
      <w:pPr>
        <w:spacing w:line="360" w:lineRule="auto"/>
        <w:rPr>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3.3.9. La cláusula mixta como expresión normativa del error de categoría</w:t>
      </w:r>
    </w:p>
    <w:p w14:paraId="2B2932D1" w14:textId="77777777" w:rsidR="00FB3B55" w:rsidRPr="00FB3B55" w:rsidRDefault="00FB3B55" w:rsidP="00FB3B55">
      <w:pPr>
        <w:spacing w:line="360" w:lineRule="auto"/>
        <w:rPr>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La noción de error de categoría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3.3.10. Síntesis capitular y tránsito al capítulo cuarto</w:t>
      </w:r>
    </w:p>
    <w:p w14:paraId="11DB4FA1" w14:textId="77777777" w:rsidR="00FB3B55" w:rsidRPr="00FB3B55" w:rsidRDefault="00FB3B55" w:rsidP="00FB3B55">
      <w:pPr>
        <w:spacing w:line="360" w:lineRule="auto"/>
        <w:rPr>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