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545337F5" w14:textId="77777777" w:rsidR="00E22D4B" w:rsidRPr="00E22D4B" w:rsidRDefault="00E22D4B" w:rsidP="00E22D4B">
      <w:pPr>
        <w:spacing w:line="360" w:lineRule="auto"/>
        <w:rPr>
          <w:del w:id="950047" w:author="Claude (fusión 1.3)" w:date="2026-09-26T00:00:00Z"/>
          <w:rFonts w:ascii="Arial" w:eastAsia="Arial" w:hAnsi="Arial" w:cs="Arial"/>
          <w:sz w:val="24"/>
          <w:szCs w:val="24"/>
        </w:rPr>
      </w:pPr>
      <w:bookmarkStart w:id="8" w:name="_Toc240931705"/>
    </w:p>
    <w:p w14:paraId="17969270" w14:textId="77777777" w:rsidR="00E22D4B" w:rsidRPr="00E22D4B" w:rsidRDefault="00E22D4B" w:rsidP="00E22D4B">
      <w:pPr>
        <w:spacing w:line="360" w:lineRule="auto"/>
        <w:ind w:left="568" w:hanging="284"/>
        <w:outlineLvl w:val="0"/>
        <w:rPr>
          <w:del w:id="950045" w:author="Claude (fusión 1.3)" w:date="2026-09-26T00:00:00Z"/>
          <w:rFonts w:ascii="Arial" w:eastAsia="Arial" w:hAnsi="Arial" w:cs="Arial"/>
          <w:i/>
          <w:iCs/>
          <w:color w:val="000000"/>
          <w:sz w:val="24"/>
          <w:szCs w:val="24"/>
        </w:rPr>
      </w:pPr>
      <w:del w:id="950047" w:author="Claude (fusión 1.3)" w:date="2026-09-26T00:00:00Z">
        <w:r>
          <w:rPr>
            <w:rFonts w:ascii="Arial" w:eastAsia="Arial" w:hAnsi="Arial" w:cs="Arial"/>
            <w:i/>
            <w:iCs/>
            <w:color w:val="000000"/>
            <w:sz w:val="24"/>
            <w:szCs w:val="24"/>
          </w:rPr>
          <w:delText>1.3. Los requisitos metodológicos de un estándar de prueba válido</w:delText>
        </w:r>
      </w:del>
    </w:p>
    <w:p w14:paraId="067CA3C4" w14:textId="77777777" w:rsidR="00E22D4B" w:rsidRPr="00E22D4B" w:rsidRDefault="00E22D4B" w:rsidP="00E22D4B">
      <w:pPr>
        <w:spacing w:line="360" w:lineRule="auto"/>
        <w:rPr>
          <w:del w:id="950044" w:author="Claude (fusión 1.3)" w:date="2026-09-26T00:00:00Z"/>
          <w:rFonts w:ascii="Arial" w:eastAsia="Arial" w:hAnsi="Arial" w:cs="Arial"/>
          <w:sz w:val="24"/>
          <w:szCs w:val="24"/>
        </w:rPr>
      </w:pPr>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w:t>
      </w:r>
      <w:ins w:id="950049" w:author="Claude (fusión 1.3)" w:date="2026-09-26T00:00:00Z">
        <w:r>
          <w:rPr>
            <w:rFonts w:ascii="Arial" w:eastAsia="Arial" w:hAnsi="Arial" w:cs="Arial"/>
            <w:sz w:val="24"/>
            <w:szCs w:val="24"/>
          </w:rPr>
          <w:t xml:space="preserve">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ins>
      <w:r>
        <w:rPr>
          <w:rFonts w:ascii="Arial" w:eastAsia="Arial" w:hAnsi="Arial" w:cs="Arial"/>
          <w:sz w:val="24"/>
          <w:szCs w:val="24"/>
        </w:rPr>
      </w:r>
    </w:p>
    <w:p w14:paraId="6EA248A9" w14:textId="77777777" w:rsidR="00E22D4B" w:rsidRPr="00E22D4B" w:rsidRDefault="00E22D4B" w:rsidP="00E22D4B">
      <w:pPr>
        <w:spacing w:line="360" w:lineRule="auto"/>
        <w:rPr>
          <w:del w:id="950043" w:author="Claude (fusión 1.3)" w:date="2026-09-26T00:00:00Z"/>
          <w:rFonts w:ascii="Arial" w:eastAsia="Arial" w:hAnsi="Arial" w:cs="Arial"/>
          <w:sz w:val="24"/>
          <w:szCs w:val="24"/>
        </w:rPr>
      </w:pPr>
    </w:p>
    <w:p w14:paraId="62CA6A83" w14:textId="77777777" w:rsidR="00E22D4B" w:rsidRPr="00E22D4B" w:rsidRDefault="00E22D4B" w:rsidP="00E22D4B">
      <w:pPr>
        <w:spacing w:line="360" w:lineRule="auto"/>
        <w:ind w:left="992" w:hanging="425"/>
        <w:outlineLvl w:val="1"/>
        <w:rPr>
          <w:del w:id="950041" w:author="Claude (fusión 1.3)" w:date="2026-09-26T00:00:00Z"/>
          <w:rFonts w:ascii="Arial" w:eastAsia="Arial" w:hAnsi="Arial" w:cs="Arial"/>
          <w:i/>
          <w:iCs/>
          <w:color w:val="000000"/>
          <w:sz w:val="24"/>
          <w:szCs w:val="24"/>
        </w:rPr>
      </w:pPr>
      <w:del w:id="950043" w:author="Claude (fusión 1.3)" w:date="2026-09-26T00:00:00Z">
        <w:r>
          <w:rPr>
            <w:rFonts w:ascii="Arial" w:eastAsia="Arial" w:hAnsi="Arial" w:cs="Arial"/>
            <w:i/>
            <w:iCs/>
            <w:color w:val="000000"/>
            <w:sz w:val="24"/>
            <w:szCs w:val="24"/>
          </w:rPr>
          <w:delText>1.3.1. La noción de requisito metodológico y su alcance</w:delText>
        </w:r>
      </w:del>
    </w:p>
    <w:p w14:paraId="0A650BD2" w14:textId="77777777" w:rsidR="00E22D4B" w:rsidRPr="00E22D4B" w:rsidRDefault="00E22D4B" w:rsidP="00E22D4B">
      <w:pPr>
        <w:spacing w:line="360" w:lineRule="auto"/>
        <w:rPr>
          <w:del w:id="950040" w:author="Claude (fusión 1.3)" w:date="2026-09-26T00:00:00Z"/>
          <w:rFonts w:ascii="Arial" w:eastAsia="Arial" w:hAnsi="Arial" w:cs="Arial"/>
          <w:sz w:val="24"/>
          <w:szCs w:val="24"/>
        </w:rPr>
      </w:pP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C46B7D" w14:textId="77777777" w:rsidR="00E22D4B" w:rsidRPr="00E22D4B" w:rsidRDefault="00E22D4B" w:rsidP="00E22D4B">
      <w:pPr>
        <w:spacing w:line="360" w:lineRule="auto"/>
        <w:rPr>
          <w:del w:id="950039" w:author="Claude (fusión 1.3)" w:date="2026-09-26T00:00:00Z"/>
          <w:rFonts w:ascii="Arial" w:eastAsia="Arial" w:hAnsi="Arial" w:cs="Arial"/>
          <w:sz w:val="24"/>
          <w:szCs w:val="24"/>
        </w:rPr>
      </w:pPr>
    </w:p>
    <w:p w14:paraId="405C60B1" w14:textId="77777777" w:rsidR="00E22D4B" w:rsidRPr="00E22D4B" w:rsidRDefault="00E22D4B" w:rsidP="00E22D4B">
      <w:pPr>
        <w:spacing w:line="360" w:lineRule="auto"/>
        <w:ind w:left="992" w:hanging="425"/>
        <w:outlineLvl w:val="1"/>
        <w:rPr>
          <w:del w:id="950037" w:author="Claude (fusión 1.3)" w:date="2026-09-26T00:00:00Z"/>
          <w:rFonts w:ascii="Arial" w:eastAsia="Arial" w:hAnsi="Arial" w:cs="Arial"/>
          <w:i/>
          <w:iCs/>
          <w:color w:val="000000"/>
          <w:sz w:val="24"/>
          <w:szCs w:val="24"/>
        </w:rPr>
      </w:pPr>
      <w:del w:id="950039" w:author="Claude (fusión 1.3)" w:date="2026-09-26T00:00:00Z">
        <w:r>
          <w:rPr>
            <w:rFonts w:ascii="Arial" w:eastAsia="Arial" w:hAnsi="Arial" w:cs="Arial"/>
            <w:i/>
            <w:iCs/>
            <w:color w:val="000000"/>
            <w:sz w:val="24"/>
            <w:szCs w:val="24"/>
          </w:rPr>
          <w:delText>1.3.2. Primer requisito. Criterios relativos a la capacidad justificativa del acervo probatorio</w:delText>
        </w:r>
      </w:del>
    </w:p>
    <w:p w14:paraId="32F64EAD" w14:textId="77777777" w:rsidR="00E22D4B" w:rsidRPr="00E22D4B" w:rsidRDefault="00E22D4B" w:rsidP="00E22D4B">
      <w:pPr>
        <w:spacing w:line="360" w:lineRule="auto"/>
        <w:rPr>
          <w:del w:id="950036" w:author="Claude (fusión 1.3)" w:date="2026-09-26T00:00:00Z"/>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4B905DAC" w14:textId="77777777" w:rsidR="00E22D4B" w:rsidRPr="00E22D4B" w:rsidRDefault="00E22D4B" w:rsidP="00E22D4B">
      <w:pPr>
        <w:spacing w:line="360" w:lineRule="auto"/>
        <w:rPr>
          <w:del w:id="950035" w:author="Claude (fusión 1.3)" w:date="2026-09-26T00:00:00Z"/>
          <w:rFonts w:ascii="Arial" w:eastAsia="Arial" w:hAnsi="Arial" w:cs="Arial"/>
          <w:sz w:val="24"/>
          <w:szCs w:val="24"/>
        </w:rPr>
      </w:pPr>
    </w:p>
    <w:p w14:paraId="7C667A2E" w14:textId="77777777" w:rsidR="00E22D4B" w:rsidRPr="00E22D4B" w:rsidRDefault="00E22D4B" w:rsidP="00E22D4B">
      <w:pPr>
        <w:spacing w:line="360" w:lineRule="auto"/>
        <w:ind w:left="992" w:hanging="425"/>
        <w:outlineLvl w:val="1"/>
        <w:rPr>
          <w:del w:id="950033" w:author="Claude (fusión 1.3)" w:date="2026-09-26T00:00:00Z"/>
          <w:rFonts w:ascii="Arial" w:eastAsia="Arial" w:hAnsi="Arial" w:cs="Arial"/>
          <w:i/>
          <w:iCs/>
          <w:color w:val="000000"/>
          <w:sz w:val="24"/>
          <w:szCs w:val="24"/>
        </w:rPr>
      </w:pPr>
      <w:del w:id="950035" w:author="Claude (fusión 1.3)" w:date="2026-09-26T00:00:00Z">
        <w:r>
          <w:rPr>
            <w:rFonts w:ascii="Arial" w:eastAsia="Arial" w:hAnsi="Arial" w:cs="Arial"/>
            <w:i/>
            <w:iCs/>
            <w:color w:val="000000"/>
            <w:sz w:val="24"/>
            <w:szCs w:val="24"/>
          </w:rPr>
          <w:delText>1.3.3. Segundo requisito. La determinación de un umbral de suficiencia con vaguedad minimizada</w:delText>
        </w:r>
      </w:del>
    </w:p>
    <w:p w14:paraId="026A29BB" w14:textId="77777777" w:rsidR="00E22D4B" w:rsidRPr="00E22D4B" w:rsidRDefault="00E22D4B" w:rsidP="00E22D4B">
      <w:pPr>
        <w:spacing w:line="360" w:lineRule="auto"/>
        <w:rPr>
          <w:del w:id="950032" w:author="Claude (fusión 1.3)" w:date="2026-09-26T00:00:00Z"/>
          <w:rFonts w:ascii="Arial" w:eastAsia="Arial" w:hAnsi="Arial" w:cs="Arial"/>
          <w:sz w:val="24"/>
          <w:szCs w:val="24"/>
        </w:rPr>
      </w:pP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5D477E8" w14:textId="77777777" w:rsidR="00E22D4B" w:rsidRPr="00E22D4B" w:rsidRDefault="00E22D4B" w:rsidP="00E22D4B">
      <w:pPr>
        <w:spacing w:line="360" w:lineRule="auto"/>
        <w:rPr>
          <w:del w:id="950031" w:author="Claude (fusión 1.3)" w:date="2026-09-26T00:00:00Z"/>
          <w:rFonts w:ascii="Arial" w:eastAsia="Arial" w:hAnsi="Arial" w:cs="Arial"/>
          <w:sz w:val="24"/>
          <w:szCs w:val="24"/>
        </w:rPr>
      </w:pPr>
    </w:p>
    <w:p w14:paraId="5308DB11" w14:textId="77777777" w:rsidR="00E22D4B" w:rsidRPr="00E22D4B" w:rsidRDefault="00E22D4B" w:rsidP="00E22D4B">
      <w:pPr>
        <w:spacing w:line="360" w:lineRule="auto"/>
        <w:ind w:left="992" w:hanging="425"/>
        <w:outlineLvl w:val="1"/>
        <w:rPr>
          <w:del w:id="950029" w:author="Claude (fusión 1.3)" w:date="2026-09-26T00:00:00Z"/>
          <w:rFonts w:ascii="Arial" w:eastAsia="Arial" w:hAnsi="Arial" w:cs="Arial"/>
          <w:i/>
          <w:iCs/>
          <w:color w:val="000000"/>
          <w:sz w:val="24"/>
          <w:szCs w:val="24"/>
        </w:rPr>
      </w:pPr>
      <w:del w:id="950031" w:author="Claude (fusión 1.3)" w:date="2026-09-26T00:00:00Z">
        <w:r>
          <w:rPr>
            <w:rFonts w:ascii="Arial" w:eastAsia="Arial" w:hAnsi="Arial" w:cs="Arial"/>
            <w:i/>
            <w:iCs/>
            <w:color w:val="000000"/>
            <w:sz w:val="24"/>
            <w:szCs w:val="24"/>
          </w:rPr>
          <w:delText>1.3.4. Tercer requisito. Criterios propios de la probabilidad inductiva</w:delText>
        </w:r>
      </w:del>
    </w:p>
    <w:p w14:paraId="15C90893" w14:textId="77777777" w:rsidR="00E22D4B" w:rsidRPr="00E22D4B" w:rsidRDefault="00E22D4B" w:rsidP="00E22D4B">
      <w:pPr>
        <w:spacing w:line="360" w:lineRule="auto"/>
        <w:rPr>
          <w:del w:id="950028" w:author="Claude (fusión 1.3)" w:date="2026-09-26T00:00:00Z"/>
          <w:rFonts w:ascii="Arial" w:eastAsia="Arial" w:hAnsi="Arial" w:cs="Arial"/>
          <w:sz w:val="24"/>
          <w:szCs w:val="24"/>
        </w:rPr>
      </w:pP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2AC2CD17" w14:textId="77777777" w:rsidR="00E22D4B" w:rsidRPr="00E22D4B" w:rsidRDefault="00E22D4B" w:rsidP="00E22D4B">
      <w:pPr>
        <w:spacing w:line="360" w:lineRule="auto"/>
        <w:rPr>
          <w:del w:id="950027" w:author="Claude (fusión 1.3)" w:date="2026-09-26T00:00:00Z"/>
          <w:rFonts w:ascii="Arial" w:eastAsia="Arial" w:hAnsi="Arial" w:cs="Arial"/>
          <w:sz w:val="24"/>
          <w:szCs w:val="24"/>
        </w:rPr>
      </w:pPr>
    </w:p>
    <w:p w14:paraId="0E42BD41" w14:textId="77777777" w:rsidR="00E22D4B" w:rsidRPr="00E22D4B" w:rsidRDefault="00E22D4B" w:rsidP="00E22D4B">
      <w:pPr>
        <w:spacing w:line="360" w:lineRule="auto"/>
        <w:ind w:left="992" w:hanging="425"/>
        <w:outlineLvl w:val="1"/>
        <w:rPr>
          <w:del w:id="950025" w:author="Claude (fusión 1.3)" w:date="2026-09-26T00:00:00Z"/>
          <w:rFonts w:ascii="Arial" w:eastAsia="Arial" w:hAnsi="Arial" w:cs="Arial"/>
          <w:i/>
          <w:iCs/>
          <w:color w:val="000000"/>
          <w:sz w:val="24"/>
          <w:szCs w:val="24"/>
        </w:rPr>
      </w:pPr>
      <w:del w:id="950027" w:author="Claude (fusión 1.3)" w:date="2026-09-26T00:00:00Z">
        <w:r>
          <w:rPr>
            <w:rFonts w:ascii="Arial" w:eastAsia="Arial" w:hAnsi="Arial" w:cs="Arial"/>
            <w:i/>
            <w:iCs/>
            <w:color w:val="000000"/>
            <w:sz w:val="24"/>
            <w:szCs w:val="24"/>
          </w:rPr>
          <w:delText>1.3.5. Cuarto requisito. La progresión de los estándares dentro de un mismo proceso</w:delText>
        </w:r>
      </w:del>
    </w:p>
    <w:p w14:paraId="31632E8C" w14:textId="77777777" w:rsidR="00E22D4B" w:rsidRPr="00E22D4B" w:rsidRDefault="00E22D4B" w:rsidP="00E22D4B">
      <w:pPr>
        <w:spacing w:line="360" w:lineRule="auto"/>
        <w:rPr>
          <w:del w:id="950024" w:author="Claude (fusión 1.3)" w:date="2026-09-26T00:00:00Z"/>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52D53D67" w14:textId="77777777" w:rsidR="00E22D4B" w:rsidRPr="00E22D4B" w:rsidRDefault="00E22D4B" w:rsidP="00E22D4B">
      <w:pPr>
        <w:spacing w:line="360" w:lineRule="auto"/>
        <w:rPr>
          <w:del w:id="950023" w:author="Claude (fusión 1.3)" w:date="2026-09-26T00:00:00Z"/>
          <w:rFonts w:ascii="Arial" w:eastAsia="Arial" w:hAnsi="Arial" w:cs="Arial"/>
          <w:sz w:val="24"/>
          <w:szCs w:val="24"/>
        </w:rPr>
      </w:pPr>
    </w:p>
    <w:p w14:paraId="59A18836" w14:textId="77777777" w:rsidR="00E22D4B" w:rsidRPr="00E22D4B" w:rsidRDefault="00E22D4B" w:rsidP="00E22D4B">
      <w:pPr>
        <w:spacing w:line="360" w:lineRule="auto"/>
        <w:ind w:left="992" w:hanging="425"/>
        <w:outlineLvl w:val="1"/>
        <w:rPr>
          <w:del w:id="950021" w:author="Claude (fusión 1.3)" w:date="2026-09-26T00:00:00Z"/>
          <w:rFonts w:ascii="Arial" w:eastAsia="Arial" w:hAnsi="Arial" w:cs="Arial"/>
          <w:i/>
          <w:iCs/>
          <w:color w:val="000000"/>
          <w:sz w:val="24"/>
          <w:szCs w:val="24"/>
        </w:rPr>
      </w:pPr>
      <w:del w:id="950023" w:author="Claude (fusión 1.3)" w:date="2026-09-26T00:00:00Z">
        <w:r>
          <w:rPr>
            <w:rFonts w:ascii="Arial" w:eastAsia="Arial" w:hAnsi="Arial" w:cs="Arial"/>
            <w:i/>
            <w:iCs/>
            <w:color w:val="000000"/>
            <w:sz w:val="24"/>
            <w:szCs w:val="24"/>
          </w:rPr>
          <w:delText>1.3.6. La distribución del riesgo del error y el peligro de absorber las demás funciones</w:delText>
        </w:r>
      </w:del>
    </w:p>
    <w:p w14:paraId="24F359C2" w14:textId="77777777" w:rsidR="00E22D4B" w:rsidRPr="00E22D4B" w:rsidRDefault="00E22D4B" w:rsidP="00E22D4B">
      <w:pPr>
        <w:spacing w:line="360" w:lineRule="auto"/>
        <w:rPr>
          <w:del w:id="950020" w:author="Claude (fusión 1.3)" w:date="2026-09-26T00:00:00Z"/>
          <w:rFonts w:ascii="Arial" w:eastAsia="Arial" w:hAnsi="Arial" w:cs="Arial"/>
          <w:sz w:val="24"/>
          <w:szCs w:val="24"/>
        </w:rPr>
      </w:pP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7171A3B2" w14:textId="77777777" w:rsidR="00E22D4B" w:rsidRPr="00E22D4B" w:rsidRDefault="00E22D4B" w:rsidP="00E22D4B">
      <w:pPr>
        <w:spacing w:line="360" w:lineRule="auto"/>
        <w:rPr>
          <w:del w:id="950019" w:author="Claude (fusión 1.3)" w:date="2026-09-26T00:00:00Z"/>
          <w:rFonts w:ascii="Arial" w:eastAsia="Arial" w:hAnsi="Arial" w:cs="Arial"/>
          <w:sz w:val="24"/>
          <w:szCs w:val="24"/>
        </w:rPr>
      </w:pPr>
    </w:p>
    <w:p w14:paraId="2FA1C7B2" w14:textId="77777777" w:rsidR="00E22D4B" w:rsidRPr="00E22D4B" w:rsidRDefault="00E22D4B" w:rsidP="00E22D4B">
      <w:pPr>
        <w:spacing w:line="360" w:lineRule="auto"/>
        <w:ind w:left="992" w:hanging="425"/>
        <w:outlineLvl w:val="1"/>
        <w:rPr>
          <w:del w:id="950017" w:author="Claude (fusión 1.3)" w:date="2026-09-26T00:00:00Z"/>
          <w:rFonts w:ascii="Arial" w:eastAsia="Arial" w:hAnsi="Arial" w:cs="Arial"/>
          <w:i/>
          <w:iCs/>
          <w:color w:val="000000"/>
          <w:sz w:val="24"/>
          <w:szCs w:val="24"/>
        </w:rPr>
      </w:pPr>
      <w:del w:id="950019" w:author="Claude (fusión 1.3)" w:date="2026-09-26T00:00:00Z">
        <w:r>
          <w:rPr>
            <w:rFonts w:ascii="Arial" w:eastAsia="Arial" w:hAnsi="Arial" w:cs="Arial"/>
            <w:i/>
            <w:iCs/>
            <w:color w:val="000000"/>
            <w:sz w:val="24"/>
            <w:szCs w:val="24"/>
          </w:rPr>
          <w:delText>1.3.7. Las razones para fijar el umbral. Relatividad según los bienes y los costos del error</w:delText>
        </w:r>
      </w:del>
    </w:p>
    <w:p w14:paraId="6C76BE05" w14:textId="77777777" w:rsidR="00E22D4B" w:rsidRPr="00E22D4B" w:rsidRDefault="00E22D4B" w:rsidP="00E22D4B">
      <w:pPr>
        <w:spacing w:line="360" w:lineRule="auto"/>
        <w:rPr>
          <w:del w:id="950016" w:author="Claude (fusión 1.3)" w:date="2026-09-26T00:00:00Z"/>
          <w:rFonts w:ascii="Arial" w:eastAsia="Arial" w:hAnsi="Arial" w:cs="Arial"/>
          <w:sz w:val="24"/>
          <w:szCs w:val="24"/>
        </w:rPr>
      </w:pP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r>
      <w:del w:id="950050" w:author="Claude (fusión 1.3)" w:date="2026-09-26T00:00:00Z">
        <w:r>
          <w:rPr>
            <w:rFonts w:ascii="Arial" w:eastAsia="Arial" w:hAnsi="Arial" w:cs="Arial"/>
            <w:sz w:val="24"/>
            <w:szCs w:val="24"/>
          </w:rPr>
          <w:delText xml:space="preserve">La fijación del umbral</w:delText>
        </w:r>
      </w:del>
      <w:ins w:id="950051" w:author="Claude (fusión 1.3)" w:date="2026-09-26T00:00:00Z">
        <w:r>
          <w:rPr>
            <w:rFonts w:ascii="Arial" w:eastAsia="Arial" w:hAnsi="Arial" w:cs="Arial"/>
            <w:sz w:val="24"/>
            <w:szCs w:val="24"/>
          </w:rPr>
          <w:t xml:space="preserve">Queda por precisar con qué razones debe fijarse el umbral. Su fijación</w:t>
        </w:r>
      </w:ins>
      <w:r>
        <w:rPr>
          <w:rFonts w:ascii="Arial" w:eastAsia="Arial" w:hAnsi="Arial" w:cs="Arial"/>
          <w:sz w:val="24"/>
          <w:szCs w:val="24"/>
        </w:rPr>
        <w:t xml:space="preserve">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029B6185" w14:textId="77777777" w:rsidR="00E22D4B" w:rsidRPr="00E22D4B" w:rsidRDefault="00E22D4B" w:rsidP="00E22D4B">
      <w:pPr>
        <w:spacing w:line="360" w:lineRule="auto"/>
        <w:rPr>
          <w:del w:id="950015" w:author="Claude (fusión 1.3)" w:date="2026-09-26T00:00:00Z"/>
          <w:rFonts w:ascii="Arial" w:eastAsia="Arial" w:hAnsi="Arial" w:cs="Arial"/>
          <w:sz w:val="24"/>
          <w:szCs w:val="24"/>
        </w:rPr>
      </w:pPr>
    </w:p>
    <w:p w14:paraId="1DF8ED08" w14:textId="77777777" w:rsidR="00E22D4B" w:rsidRPr="00E22D4B" w:rsidRDefault="00E22D4B" w:rsidP="00E22D4B">
      <w:pPr>
        <w:spacing w:line="360" w:lineRule="auto"/>
        <w:ind w:left="992" w:hanging="425"/>
        <w:outlineLvl w:val="1"/>
        <w:rPr>
          <w:del w:id="950013" w:author="Claude (fusión 1.3)" w:date="2026-09-26T00:00:00Z"/>
          <w:rFonts w:ascii="Arial" w:eastAsia="Arial" w:hAnsi="Arial" w:cs="Arial"/>
          <w:i/>
          <w:iCs/>
          <w:color w:val="000000"/>
          <w:sz w:val="24"/>
          <w:szCs w:val="24"/>
        </w:rPr>
      </w:pPr>
      <w:del w:id="950015" w:author="Claude (fusión 1.3)" w:date="2026-09-26T00:00:00Z">
        <w:r>
          <w:rPr>
            <w:rFonts w:ascii="Arial" w:eastAsia="Arial" w:hAnsi="Arial" w:cs="Arial"/>
            <w:i/>
            <w:iCs/>
            <w:color w:val="000000"/>
            <w:sz w:val="24"/>
            <w:szCs w:val="24"/>
          </w:rPr>
          <w:delText>1.3.8. Ejemplos de estándares que satisfacen los requisitos metodológicos</w:delText>
        </w:r>
      </w:del>
    </w:p>
    <w:p w14:paraId="71AA0AD8" w14:textId="77777777" w:rsidR="00E22D4B" w:rsidRPr="00E22D4B" w:rsidRDefault="00E22D4B" w:rsidP="00E22D4B">
      <w:pPr>
        <w:spacing w:line="360" w:lineRule="auto"/>
        <w:rPr>
          <w:del w:id="950012" w:author="Claude (fusión 1.3)" w:date="2026-09-26T00:00:00Z"/>
          <w:rFonts w:ascii="Arial" w:eastAsia="Arial" w:hAnsi="Arial" w:cs="Arial"/>
          <w:sz w:val="24"/>
          <w:szCs w:val="24"/>
        </w:rPr>
      </w:pP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3941C16" w14:textId="77777777" w:rsidR="00E22D4B" w:rsidRPr="00E22D4B" w:rsidRDefault="00E22D4B" w:rsidP="00E22D4B">
      <w:pPr>
        <w:spacing w:line="360" w:lineRule="auto"/>
        <w:rPr>
          <w:del w:id="950011" w:author="Claude (fusión 1.3)" w:date="2026-09-26T00:00:00Z"/>
          <w:rFonts w:ascii="Arial" w:eastAsia="Arial" w:hAnsi="Arial" w:cs="Arial"/>
          <w:sz w:val="24"/>
          <w:szCs w:val="24"/>
        </w:rPr>
      </w:pPr>
    </w:p>
    <w:p w14:paraId="44065ABF" w14:textId="77777777" w:rsidR="00E22D4B" w:rsidRPr="00E22D4B" w:rsidRDefault="00E22D4B" w:rsidP="00E22D4B">
      <w:pPr>
        <w:spacing w:line="360" w:lineRule="auto"/>
        <w:ind w:left="992" w:hanging="425"/>
        <w:outlineLvl w:val="1"/>
        <w:rPr>
          <w:del w:id="950009" w:author="Claude (fusión 1.3)" w:date="2026-09-26T00:00:00Z"/>
          <w:rFonts w:ascii="Arial" w:eastAsia="Arial" w:hAnsi="Arial" w:cs="Arial"/>
          <w:i/>
          <w:iCs/>
          <w:color w:val="000000"/>
          <w:sz w:val="24"/>
          <w:szCs w:val="24"/>
        </w:rPr>
      </w:pPr>
      <w:del w:id="950011" w:author="Claude (fusión 1.3)" w:date="2026-09-26T00:00:00Z">
        <w:r>
          <w:rPr>
            <w:rFonts w:ascii="Arial" w:eastAsia="Arial" w:hAnsi="Arial" w:cs="Arial"/>
            <w:i/>
            <w:iCs/>
            <w:color w:val="000000"/>
            <w:sz w:val="24"/>
            <w:szCs w:val="24"/>
          </w:rPr>
          <w:delText>1.3.9. Objeciones a la teoría de los requisitos metodológicos</w:delText>
        </w:r>
      </w:del>
    </w:p>
    <w:p w14:paraId="42D43AA9" w14:textId="77777777" w:rsidR="00E22D4B" w:rsidRPr="00E22D4B" w:rsidRDefault="00E22D4B" w:rsidP="00E22D4B">
      <w:pPr>
        <w:spacing w:line="360" w:lineRule="auto"/>
        <w:rPr>
          <w:del w:id="950008" w:author="Claude (fusión 1.3)" w:date="2026-09-26T00:00:00Z"/>
          <w:rFonts w:ascii="Arial" w:eastAsia="Arial" w:hAnsi="Arial" w:cs="Arial"/>
          <w:sz w:val="24"/>
          <w:szCs w:val="24"/>
        </w:rPr>
      </w:pP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La propuesta de Ferrer Beltrán ha </w:t>
      </w:r>
      <w:del w:id="950052" w:author="Claude (fusión 1.3)" w:date="2026-09-26T00:00:00Z">
        <w:r>
          <w:rPr>
            <w:rFonts w:ascii="Arial" w:eastAsia="Arial" w:hAnsi="Arial" w:cs="Arial"/>
            <w:sz w:val="24"/>
            <w:szCs w:val="24"/>
          </w:rPr>
          <w:delText xml:space="preserve">sido objeto de críticas que conviene examinar, por</w:delText>
        </w:r>
      </w:del>
      <w:ins w:id="950053" w:author="Claude (fusión 1.3)" w:date="2026-09-26T00:00:00Z">
        <w:r>
          <w:rPr>
            <w:rFonts w:ascii="Arial" w:eastAsia="Arial" w:hAnsi="Arial" w:cs="Arial"/>
            <w:sz w:val="24"/>
            <w:szCs w:val="24"/>
          </w:rPr>
          <w:t xml:space="preserve">recibido críticas </w:t>
        </w:r>
      </w:ins>
      <w:r>
        <w:rPr>
          <w:rFonts w:ascii="Arial" w:eastAsia="Arial" w:hAnsi="Arial" w:cs="Arial"/>
          <w:sz w:val="24"/>
          <w:szCs w:val="24"/>
        </w:rPr>
        <w:t xml:space="preserve">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693C686D" w14:textId="77777777" w:rsidR="00E22D4B" w:rsidRPr="00E22D4B" w:rsidRDefault="00E22D4B" w:rsidP="00E22D4B">
      <w:pPr>
        <w:spacing w:line="360" w:lineRule="auto"/>
        <w:rPr>
          <w:del w:id="950007" w:author="Claude (fusión 1.3)" w:date="2026-09-26T00:00:00Z"/>
          <w:rFonts w:ascii="Arial" w:eastAsia="Arial" w:hAnsi="Arial" w:cs="Arial"/>
          <w:sz w:val="24"/>
          <w:szCs w:val="24"/>
        </w:rPr>
      </w:pPr>
    </w:p>
    <w:p w14:paraId="4D7F00BA" w14:textId="77777777" w:rsidR="00E22D4B" w:rsidRPr="00E22D4B" w:rsidRDefault="00E22D4B" w:rsidP="00E22D4B">
      <w:pPr>
        <w:spacing w:line="360" w:lineRule="auto"/>
        <w:ind w:left="992" w:hanging="425"/>
        <w:outlineLvl w:val="1"/>
        <w:rPr>
          <w:del w:id="950005" w:author="Claude (fusión 1.3)" w:date="2026-09-26T00:00:00Z"/>
          <w:rFonts w:ascii="Arial" w:eastAsia="Arial" w:hAnsi="Arial" w:cs="Arial"/>
          <w:i/>
          <w:iCs/>
          <w:color w:val="000000"/>
          <w:sz w:val="24"/>
          <w:szCs w:val="24"/>
        </w:rPr>
      </w:pPr>
      <w:del w:id="950007" w:author="Claude (fusión 1.3)" w:date="2026-09-26T00:00:00Z">
        <w:r>
          <w:rPr>
            <w:rFonts w:ascii="Arial" w:eastAsia="Arial" w:hAnsi="Arial" w:cs="Arial"/>
            <w:i/>
            <w:iCs/>
            <w:color w:val="000000"/>
            <w:sz w:val="24"/>
            <w:szCs w:val="24"/>
          </w:rPr>
          <w:delText>1.3.10. Aplicación de los requisitos a la prueba indiciaria en materia electoral</w:delText>
        </w:r>
      </w:del>
    </w:p>
    <w:p w14:paraId="1C4BC553" w14:textId="77777777" w:rsidR="00E22D4B" w:rsidRPr="00E22D4B" w:rsidRDefault="00E22D4B" w:rsidP="00E22D4B">
      <w:pPr>
        <w:spacing w:line="360" w:lineRule="auto"/>
        <w:rPr>
          <w:del w:id="950004" w:author="Claude (fusión 1.3)" w:date="2026-09-26T00:00:00Z"/>
          <w:rFonts w:ascii="Arial" w:eastAsia="Arial" w:hAnsi="Arial" w:cs="Arial"/>
          <w:sz w:val="24"/>
          <w:szCs w:val="24"/>
        </w:rPr>
      </w:pP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65274E2A" w14:textId="77777777" w:rsidR="00E22D4B" w:rsidRPr="00E22D4B" w:rsidRDefault="00E22D4B" w:rsidP="00E22D4B">
      <w:pPr>
        <w:spacing w:line="360" w:lineRule="auto"/>
        <w:rPr>
          <w:del w:id="950003" w:author="Claude (fusión 1.3)" w:date="2026-09-26T00:00:00Z"/>
          <w:rFonts w:ascii="Arial" w:eastAsia="Arial" w:hAnsi="Arial" w:cs="Arial"/>
          <w:sz w:val="24"/>
          <w:szCs w:val="24"/>
        </w:rPr>
      </w:pPr>
    </w:p>
    <w:p w14:paraId="2FEE9459" w14:textId="77777777" w:rsidR="00E22D4B" w:rsidRPr="00E22D4B" w:rsidRDefault="00E22D4B" w:rsidP="00E22D4B">
      <w:pPr>
        <w:spacing w:line="360" w:lineRule="auto"/>
        <w:ind w:left="992" w:hanging="425"/>
        <w:outlineLvl w:val="1"/>
        <w:rPr>
          <w:del w:id="950001" w:author="Claude (fusión 1.3)" w:date="2026-09-26T00:00:00Z"/>
          <w:rFonts w:ascii="Arial" w:eastAsia="Arial" w:hAnsi="Arial" w:cs="Arial"/>
          <w:i/>
          <w:iCs/>
          <w:color w:val="000000"/>
          <w:sz w:val="24"/>
          <w:szCs w:val="24"/>
        </w:rPr>
      </w:pPr>
      <w:del w:id="950003" w:author="Claude (fusión 1.3)" w:date="2026-09-26T00:00:00Z">
        <w:r>
          <w:rPr>
            <w:rFonts w:ascii="Arial" w:eastAsia="Arial" w:hAnsi="Arial" w:cs="Arial"/>
            <w:i/>
            <w:iCs/>
            <w:color w:val="000000"/>
            <w:sz w:val="24"/>
            <w:szCs w:val="24"/>
          </w:rPr>
          <w:delText>1.3.11. Recapitulación y tránsito al capítulo segundo</w:delText>
        </w:r>
      </w:del>
    </w:p>
    <w:p w14:paraId="6EBDF42B" w14:textId="77777777" w:rsidR="00E22D4B" w:rsidRPr="00E22D4B" w:rsidRDefault="00E22D4B" w:rsidP="00E22D4B">
      <w:pPr>
        <w:spacing w:line="360" w:lineRule="auto"/>
        <w:rPr>
          <w:del w:id="950000" w:author="Claude (fusión 1.3)" w:date="2026-09-26T00:00:00Z"/>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w:t>
      </w:r>
    </w:p>
    <w:p w14:paraId="6B96F34C" w14:textId="77777777" w:rsidR="00BA1C97" w:rsidRPr="00BA1C97" w:rsidRDefault="00BA1C97" w:rsidP="00BA1C97">
      <w:pPr>
        <w:spacing w:line="360" w:lineRule="auto"/>
        <w:rPr>
          <w:rFonts w:ascii="Arial" w:eastAsia="Arial" w:hAnsi="Arial" w:cs="Arial"/>
          <w:sz w:val="24"/>
          <w:szCs w:val="24"/>
        </w:rPr>
      </w:pPr>
    </w:p>
    <w:p w14:paraId="190095D6"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2.1.1. La determinancia como institución. Fundamento normativo y principio de conservación</w:t>
      </w:r>
    </w:p>
    <w:p w14:paraId="4680E385" w14:textId="77777777" w:rsidR="00BA1C97" w:rsidRPr="00BA1C97" w:rsidRDefault="00BA1C97" w:rsidP="00BA1C97">
      <w:pPr>
        <w:spacing w:line="360" w:lineRule="auto"/>
        <w:rPr>
          <w:rFonts w:ascii="Arial" w:eastAsia="Arial" w:hAnsi="Arial" w:cs="Arial"/>
          <w:sz w:val="24"/>
          <w:szCs w:val="24"/>
        </w:rPr>
      </w:pP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53FA3365" w14:textId="77777777" w:rsidR="00BA1C97" w:rsidRPr="00BA1C97" w:rsidRDefault="00BA1C97" w:rsidP="00BA1C97">
      <w:pPr>
        <w:spacing w:line="360" w:lineRule="auto"/>
        <w:rPr>
          <w:rFonts w:ascii="Arial" w:eastAsia="Arial" w:hAnsi="Arial" w:cs="Arial"/>
          <w:sz w:val="24"/>
          <w:szCs w:val="24"/>
        </w:rPr>
      </w:pPr>
    </w:p>
    <w:p w14:paraId="40928122"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2.1.2. Genealogía de los factores. De la jurisprudencia de 1998 a la jurisprudencia 44/2024</w:t>
      </w:r>
    </w:p>
    <w:p w14:paraId="4F70CE37" w14:textId="77777777" w:rsidR="00BA1C97" w:rsidRPr="00BA1C97" w:rsidRDefault="00BA1C97" w:rsidP="00BA1C97">
      <w:pPr>
        <w:spacing w:line="360" w:lineRule="auto"/>
        <w:rPr>
          <w:rFonts w:ascii="Arial" w:eastAsia="Arial" w:hAnsi="Arial" w:cs="Arial"/>
          <w:sz w:val="24"/>
          <w:szCs w:val="24"/>
        </w:rPr>
      </w:pP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5F793D95" w14:textId="77777777" w:rsidR="00BA1C97" w:rsidRPr="00BA1C97" w:rsidRDefault="00BA1C97" w:rsidP="00BA1C97">
      <w:pPr>
        <w:spacing w:line="360" w:lineRule="auto"/>
        <w:rPr>
          <w:rFonts w:ascii="Arial" w:eastAsia="Arial" w:hAnsi="Arial" w:cs="Arial"/>
          <w:sz w:val="24"/>
          <w:szCs w:val="24"/>
        </w:rPr>
      </w:pPr>
    </w:p>
    <w:p w14:paraId="493C70D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2.1.3. El factor cuantitativo. Precisión aritmética y problema probatorio</w:t>
      </w:r>
    </w:p>
    <w:p w14:paraId="2EC0ED26" w14:textId="77777777" w:rsidR="00BA1C97" w:rsidRPr="00BA1C97" w:rsidRDefault="00BA1C97" w:rsidP="00BA1C97">
      <w:pPr>
        <w:spacing w:line="360" w:lineRule="auto"/>
        <w:rPr>
          <w:rFonts w:ascii="Arial" w:eastAsia="Arial" w:hAnsi="Arial" w:cs="Arial"/>
          <w:sz w:val="24"/>
          <w:szCs w:val="24"/>
        </w:rPr>
      </w:pP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2076C353" w14:textId="77777777" w:rsidR="00BA1C97" w:rsidRPr="00BA1C97" w:rsidRDefault="00BA1C97" w:rsidP="00BA1C97">
      <w:pPr>
        <w:spacing w:line="360" w:lineRule="auto"/>
        <w:rPr>
          <w:rFonts w:ascii="Arial" w:eastAsia="Arial" w:hAnsi="Arial" w:cs="Arial"/>
          <w:sz w:val="24"/>
          <w:szCs w:val="24"/>
        </w:rPr>
      </w:pPr>
    </w:p>
    <w:p w14:paraId="072FFBC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2.1.4. El factor cualitativo. Gravedad de la violación y suficiencia probatoria encubierta</w:t>
      </w:r>
    </w:p>
    <w:p w14:paraId="56D9E238" w14:textId="77777777" w:rsidR="00BA1C97" w:rsidRPr="00BA1C97" w:rsidRDefault="00BA1C97" w:rsidP="00BA1C97">
      <w:pPr>
        <w:spacing w:line="360" w:lineRule="auto"/>
        <w:rPr>
          <w:rFonts w:ascii="Arial" w:eastAsia="Arial" w:hAnsi="Arial" w:cs="Arial"/>
          <w:sz w:val="24"/>
          <w:szCs w:val="24"/>
        </w:rPr>
      </w:pP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39440386" w14:textId="77777777" w:rsidR="00BA1C97" w:rsidRPr="00BA1C97" w:rsidRDefault="00BA1C97" w:rsidP="00BA1C97">
      <w:pPr>
        <w:spacing w:line="360" w:lineRule="auto"/>
        <w:rPr>
          <w:rFonts w:ascii="Arial" w:eastAsia="Arial" w:hAnsi="Arial" w:cs="Arial"/>
          <w:sz w:val="24"/>
          <w:szCs w:val="24"/>
        </w:rPr>
      </w:pPr>
    </w:p>
    <w:p w14:paraId="0147FE5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2.1.5. El factor constitucional. La presunción del cinco por ciento y su alcance</w:t>
      </w:r>
    </w:p>
    <w:p w14:paraId="41F49D67" w14:textId="77777777" w:rsidR="00BA1C97" w:rsidRPr="00BA1C97" w:rsidRDefault="00BA1C97" w:rsidP="00BA1C97">
      <w:pPr>
        <w:spacing w:line="360" w:lineRule="auto"/>
        <w:rPr>
          <w:rFonts w:ascii="Arial" w:eastAsia="Arial" w:hAnsi="Arial" w:cs="Arial"/>
          <w:sz w:val="24"/>
          <w:szCs w:val="24"/>
        </w:rPr>
      </w:pP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3838EF63" w14:textId="77777777" w:rsidR="00BA1C97" w:rsidRPr="00BA1C97" w:rsidRDefault="00BA1C97" w:rsidP="00BA1C97">
      <w:pPr>
        <w:spacing w:line="360" w:lineRule="auto"/>
        <w:rPr>
          <w:rFonts w:ascii="Arial" w:eastAsia="Arial" w:hAnsi="Arial" w:cs="Arial"/>
          <w:sz w:val="24"/>
          <w:szCs w:val="24"/>
        </w:rPr>
      </w:pPr>
    </w:p>
    <w:p w14:paraId="7B44826D"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2.1.6. El error de categoría proyectado sobre los tres factores</w:t>
      </w:r>
    </w:p>
    <w:p w14:paraId="0E4C8B28" w14:textId="77777777" w:rsidR="00BA1C97" w:rsidRPr="00BA1C97" w:rsidRDefault="00BA1C97" w:rsidP="00BA1C97">
      <w:pPr>
        <w:spacing w:line="360" w:lineRule="auto"/>
        <w:rPr>
          <w:rFonts w:ascii="Arial" w:eastAsia="Arial" w:hAnsi="Arial" w:cs="Arial"/>
          <w:sz w:val="24"/>
          <w:szCs w:val="24"/>
        </w:rPr>
      </w:pP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937C2ED" w14:textId="77777777" w:rsidR="00BA1C97" w:rsidRPr="00BA1C97" w:rsidRDefault="00BA1C97" w:rsidP="00BA1C97">
      <w:pPr>
        <w:spacing w:line="360" w:lineRule="auto"/>
        <w:rPr>
          <w:rFonts w:ascii="Arial" w:eastAsia="Arial" w:hAnsi="Arial" w:cs="Arial"/>
          <w:sz w:val="24"/>
          <w:szCs w:val="24"/>
        </w:rPr>
      </w:pPr>
    </w:p>
    <w:p w14:paraId="1B3DE307"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2.1.7. Consecuencias prácticas. La variación del umbral en los casos</w:t>
      </w:r>
    </w:p>
    <w:p w14:paraId="303B50B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421A045D" w14:textId="77777777" w:rsidR="00BA1C97" w:rsidRPr="00BA1C97" w:rsidRDefault="00BA1C97" w:rsidP="00BA1C97">
      <w:pPr>
        <w:spacing w:line="360" w:lineRule="auto"/>
        <w:rPr>
          <w:rFonts w:ascii="Arial" w:eastAsia="Arial" w:hAnsi="Arial" w:cs="Arial"/>
          <w:sz w:val="24"/>
          <w:szCs w:val="24"/>
        </w:rPr>
      </w:pPr>
    </w:p>
    <w:p w14:paraId="7B2643C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2.1.8. El paralelismo con el artículo 16 de la ley de medios</w:t>
      </w:r>
    </w:p>
    <w:p w14:paraId="0602AA32" w14:textId="77777777" w:rsidR="00BA1C97" w:rsidRPr="00BA1C97" w:rsidRDefault="00BA1C97" w:rsidP="00BA1C97">
      <w:pPr>
        <w:spacing w:line="360" w:lineRule="auto"/>
        <w:rPr>
          <w:rFonts w:ascii="Arial" w:eastAsia="Arial" w:hAnsi="Arial" w:cs="Arial"/>
          <w:sz w:val="24"/>
          <w:szCs w:val="24"/>
        </w:rPr>
      </w:pP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4B556AB2" w14:textId="77777777" w:rsidR="00BA1C97" w:rsidRPr="00BA1C97" w:rsidRDefault="00BA1C97" w:rsidP="00BA1C97">
      <w:pPr>
        <w:spacing w:line="360" w:lineRule="auto"/>
        <w:rPr>
          <w:rFonts w:ascii="Arial" w:eastAsia="Arial" w:hAnsi="Arial" w:cs="Arial"/>
          <w:sz w:val="24"/>
          <w:szCs w:val="24"/>
        </w:rPr>
      </w:pPr>
    </w:p>
    <w:p w14:paraId="26EB01C3" w14:textId="42E2873C"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2.1.9. Recapitulación y tránsito al apartado</w:t>
      </w:r>
    </w:p>
    <w:p w14:paraId="20AF5A2D"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5BF8DC14" w14:textId="77777777" w:rsidR="000A1322" w:rsidRPr="000A1322" w:rsidRDefault="000A1322" w:rsidP="000A1322">
      <w:pPr>
        <w:spacing w:line="360" w:lineRule="auto"/>
        <w:rPr>
          <w:rFonts w:ascii="Arial" w:eastAsia="Arial" w:hAnsi="Arial" w:cs="Arial"/>
          <w:sz w:val="24"/>
          <w:szCs w:val="24"/>
        </w:rPr>
      </w:pPr>
    </w:p>
    <w:p w14:paraId="751FD3A3"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 La estructura de la cláusula híbrida</w:t>
      </w:r>
    </w:p>
    <w:p w14:paraId="61071564" w14:textId="77777777" w:rsidR="000A1322" w:rsidRPr="000A1322" w:rsidRDefault="000A1322" w:rsidP="000A1322">
      <w:pPr>
        <w:spacing w:line="360" w:lineRule="auto"/>
        <w:rPr>
          <w:rFonts w:ascii="Arial" w:eastAsia="Arial" w:hAnsi="Arial" w:cs="Arial"/>
          <w:sz w:val="24"/>
          <w:szCs w:val="24"/>
        </w:rPr>
      </w:pP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42FA59AC" w14:textId="77777777" w:rsidR="000A1322" w:rsidRPr="000A1322" w:rsidRDefault="000A1322" w:rsidP="000A1322">
      <w:pPr>
        <w:spacing w:line="360" w:lineRule="auto"/>
        <w:rPr>
          <w:rFonts w:ascii="Arial" w:eastAsia="Arial" w:hAnsi="Arial" w:cs="Arial"/>
          <w:sz w:val="24"/>
          <w:szCs w:val="24"/>
        </w:rPr>
      </w:pPr>
    </w:p>
    <w:p w14:paraId="194EF0AE"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2.2.2. El contexto normativo. La reforma de 1996</w:t>
      </w:r>
    </w:p>
    <w:p w14:paraId="04740AD9"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0F6AD3BC" w14:textId="77777777" w:rsidR="000A1322" w:rsidRPr="000A1322" w:rsidRDefault="000A1322" w:rsidP="000A1322">
      <w:pPr>
        <w:spacing w:line="360" w:lineRule="auto"/>
        <w:rPr>
          <w:rFonts w:ascii="Arial" w:eastAsia="Arial" w:hAnsi="Arial" w:cs="Arial"/>
          <w:sz w:val="24"/>
          <w:szCs w:val="24"/>
        </w:rPr>
      </w:pPr>
    </w:p>
    <w:p w14:paraId="10499264"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2.2.3. Genealogía de la fórmula de la sana crítica</w:t>
      </w:r>
    </w:p>
    <w:p w14:paraId="7181B78E" w14:textId="77777777" w:rsidR="000A1322" w:rsidRPr="000A1322" w:rsidRDefault="000A1322" w:rsidP="000A1322">
      <w:pPr>
        <w:spacing w:line="360" w:lineRule="auto"/>
        <w:rPr>
          <w:rFonts w:ascii="Arial" w:eastAsia="Arial" w:hAnsi="Arial" w:cs="Arial"/>
          <w:sz w:val="24"/>
          <w:szCs w:val="24"/>
        </w:rPr>
      </w:pP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fórmula de la sana crítica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5824D90A" w14:textId="77777777" w:rsidR="000A1322" w:rsidRPr="000A1322" w:rsidRDefault="000A1322" w:rsidP="000A1322">
      <w:pPr>
        <w:spacing w:line="360" w:lineRule="auto"/>
        <w:rPr>
          <w:rFonts w:ascii="Arial" w:eastAsia="Arial" w:hAnsi="Arial" w:cs="Arial"/>
          <w:sz w:val="24"/>
          <w:szCs w:val="24"/>
        </w:rPr>
      </w:pPr>
    </w:p>
    <w:p w14:paraId="18A74780"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2.2.4. El caso Tabasco. Marco fáctico y procesal</w:t>
      </w:r>
    </w:p>
    <w:p w14:paraId="646EBE6F"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DFCEBBB"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2.2.5. La cláusula híbrida aplicada en el caso Tabasco</w:t>
      </w:r>
    </w:p>
    <w:p w14:paraId="3AEC21C7" w14:textId="77777777" w:rsidR="000A1322" w:rsidRPr="000A1322" w:rsidRDefault="000A1322" w:rsidP="000A1322">
      <w:pPr>
        <w:spacing w:line="360" w:lineRule="auto"/>
        <w:rPr>
          <w:rFonts w:ascii="Arial" w:eastAsia="Arial" w:hAnsi="Arial" w:cs="Arial"/>
          <w:sz w:val="24"/>
          <w:szCs w:val="24"/>
        </w:rPr>
      </w:pP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0F0FA48D" w14:textId="77777777" w:rsidR="000A1322" w:rsidRPr="000A1322" w:rsidRDefault="000A1322" w:rsidP="000A1322">
      <w:pPr>
        <w:spacing w:line="360" w:lineRule="auto"/>
        <w:rPr>
          <w:rFonts w:ascii="Arial" w:eastAsia="Arial" w:hAnsi="Arial" w:cs="Arial"/>
          <w:sz w:val="24"/>
          <w:szCs w:val="24"/>
        </w:rPr>
      </w:pPr>
    </w:p>
    <w:p w14:paraId="66286C85"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2.2.6. La conclusión de la sentencia. Concurrencia de irregularidades y determinancia</w:t>
      </w:r>
    </w:p>
    <w:p w14:paraId="37D8061B" w14:textId="77777777" w:rsidR="000A1322" w:rsidRPr="000A1322" w:rsidRDefault="000A1322" w:rsidP="000A1322">
      <w:pPr>
        <w:spacing w:line="360" w:lineRule="auto"/>
        <w:rPr>
          <w:rFonts w:ascii="Arial" w:eastAsia="Arial" w:hAnsi="Arial" w:cs="Arial"/>
          <w:sz w:val="24"/>
          <w:szCs w:val="24"/>
        </w:rPr>
      </w:pP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535CB5BA" w14:textId="77777777" w:rsidR="000A1322" w:rsidRPr="000A1322" w:rsidRDefault="000A1322" w:rsidP="000A1322">
      <w:pPr>
        <w:spacing w:line="360" w:lineRule="auto"/>
        <w:rPr>
          <w:rFonts w:ascii="Arial" w:eastAsia="Arial" w:hAnsi="Arial" w:cs="Arial"/>
          <w:sz w:val="24"/>
          <w:szCs w:val="24"/>
        </w:rPr>
      </w:pPr>
    </w:p>
    <w:p w14:paraId="26B48AD2"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2.2.7. La jurisprudencia 38/2002 y sus precedentes</w:t>
      </w:r>
    </w:p>
    <w:p w14:paraId="773E637E" w14:textId="77777777" w:rsidR="000A1322" w:rsidRPr="000A1322" w:rsidRDefault="000A1322" w:rsidP="000A1322">
      <w:pPr>
        <w:spacing w:line="360" w:lineRule="auto"/>
        <w:rPr>
          <w:rFonts w:ascii="Arial" w:eastAsia="Arial" w:hAnsi="Arial" w:cs="Arial"/>
          <w:sz w:val="24"/>
          <w:szCs w:val="24"/>
        </w:rPr>
      </w:pP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jurisprudencia 38/2002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0AF3E735" w14:textId="77777777" w:rsidR="000A1322" w:rsidRPr="000A1322" w:rsidRDefault="000A1322" w:rsidP="000A1322">
      <w:pPr>
        <w:spacing w:line="360" w:lineRule="auto"/>
        <w:rPr>
          <w:rFonts w:ascii="Arial" w:eastAsia="Arial" w:hAnsi="Arial" w:cs="Arial"/>
          <w:sz w:val="24"/>
          <w:szCs w:val="24"/>
        </w:rPr>
      </w:pPr>
    </w:p>
    <w:p w14:paraId="49F9A29C"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2.2.8. El lenguaje de la convicción en la jurisprudencia 38/2002</w:t>
      </w:r>
    </w:p>
    <w:p w14:paraId="08E02A05" w14:textId="77777777" w:rsidR="000A1322" w:rsidRPr="000A1322" w:rsidRDefault="000A1322" w:rsidP="000A1322">
      <w:pPr>
        <w:spacing w:line="360" w:lineRule="auto"/>
        <w:rPr>
          <w:rFonts w:ascii="Arial" w:eastAsia="Arial" w:hAnsi="Arial" w:cs="Arial"/>
          <w:sz w:val="24"/>
          <w:szCs w:val="24"/>
        </w:rPr>
      </w:pP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511AE45A" w14:textId="77777777" w:rsidR="000A1322" w:rsidRPr="000A1322" w:rsidRDefault="000A1322" w:rsidP="000A1322">
      <w:pPr>
        <w:spacing w:line="360" w:lineRule="auto"/>
        <w:rPr>
          <w:rFonts w:ascii="Arial" w:eastAsia="Arial" w:hAnsi="Arial" w:cs="Arial"/>
          <w:sz w:val="24"/>
          <w:szCs w:val="24"/>
        </w:rPr>
      </w:pPr>
    </w:p>
    <w:p w14:paraId="0FB7358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2.2.9. La persistencia de la cláusula híbrida en la jurisprudencia reciente</w:t>
      </w:r>
    </w:p>
    <w:p w14:paraId="028E286F" w14:textId="77777777" w:rsidR="000A1322" w:rsidRPr="000A1322" w:rsidRDefault="000A1322" w:rsidP="000A1322">
      <w:pPr>
        <w:spacing w:line="360" w:lineRule="auto"/>
        <w:rPr>
          <w:rFonts w:ascii="Arial" w:eastAsia="Arial" w:hAnsi="Arial" w:cs="Arial"/>
          <w:sz w:val="24"/>
          <w:szCs w:val="24"/>
        </w:rPr>
      </w:pP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7C0BB0AA" w14:textId="77777777" w:rsidR="000A1322" w:rsidRPr="000A1322" w:rsidRDefault="000A1322" w:rsidP="000A1322">
      <w:pPr>
        <w:spacing w:line="360" w:lineRule="auto"/>
        <w:rPr>
          <w:rFonts w:ascii="Arial" w:eastAsia="Arial" w:hAnsi="Arial" w:cs="Arial"/>
          <w:sz w:val="24"/>
          <w:szCs w:val="24"/>
        </w:rPr>
      </w:pPr>
    </w:p>
    <w:p w14:paraId="6785641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2.2.10. Recapitulación y tránsito al apartado 2.3</w:t>
      </w:r>
    </w:p>
    <w:p w14:paraId="035E9E3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6A872526" w14:textId="77777777" w:rsidR="0062405A" w:rsidRPr="0062405A" w:rsidRDefault="0062405A" w:rsidP="0062405A">
      <w:pPr>
        <w:spacing w:line="360" w:lineRule="auto"/>
        <w:rPr>
          <w:rFonts w:ascii="Arial" w:eastAsia="Arial" w:hAnsi="Arial" w:cs="Arial"/>
          <w:sz w:val="24"/>
          <w:szCs w:val="24"/>
        </w:rPr>
      </w:pPr>
    </w:p>
    <w:p w14:paraId="5DA901AA"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2.3.1. El voto particular. Autores, alcance y estructura</w:t>
      </w:r>
    </w:p>
    <w:p w14:paraId="37B1AEF3" w14:textId="77777777" w:rsidR="0062405A" w:rsidRPr="0062405A" w:rsidRDefault="0062405A" w:rsidP="0062405A">
      <w:pPr>
        <w:spacing w:line="360" w:lineRule="auto"/>
        <w:rPr>
          <w:rFonts w:ascii="Arial" w:eastAsia="Arial" w:hAnsi="Arial" w:cs="Arial"/>
          <w:sz w:val="24"/>
          <w:szCs w:val="24"/>
        </w:rPr>
      </w:pP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04D31069" w14:textId="77777777" w:rsidR="0062405A" w:rsidRPr="0062405A" w:rsidRDefault="0062405A" w:rsidP="0062405A">
      <w:pPr>
        <w:spacing w:line="360" w:lineRule="auto"/>
        <w:rPr>
          <w:rFonts w:ascii="Arial" w:eastAsia="Arial" w:hAnsi="Arial" w:cs="Arial"/>
          <w:sz w:val="24"/>
          <w:szCs w:val="24"/>
        </w:rPr>
      </w:pPr>
    </w:p>
    <w:p w14:paraId="30295221"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2.3.2. El argumento de legalidad. La jornada electoral y la definitividad de las etapas</w:t>
      </w:r>
    </w:p>
    <w:p w14:paraId="3C40887E" w14:textId="77777777" w:rsidR="0062405A" w:rsidRPr="0062405A" w:rsidRDefault="0062405A" w:rsidP="0062405A">
      <w:pPr>
        <w:spacing w:line="360" w:lineRule="auto"/>
        <w:rPr>
          <w:rFonts w:ascii="Arial" w:eastAsia="Arial" w:hAnsi="Arial" w:cs="Arial"/>
          <w:sz w:val="24"/>
          <w:szCs w:val="24"/>
        </w:rPr>
      </w:pP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135E13CB" w14:textId="77777777" w:rsidR="0062405A" w:rsidRPr="0062405A" w:rsidRDefault="0062405A" w:rsidP="0062405A">
      <w:pPr>
        <w:spacing w:line="360" w:lineRule="auto"/>
        <w:rPr>
          <w:rFonts w:ascii="Arial" w:eastAsia="Arial" w:hAnsi="Arial" w:cs="Arial"/>
          <w:sz w:val="24"/>
          <w:szCs w:val="24"/>
        </w:rPr>
      </w:pPr>
    </w:p>
    <w:p w14:paraId="1B2A04A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2.3.3. El argumento probatorio. La crítica a las inferencias de la mayoría</w:t>
      </w:r>
    </w:p>
    <w:p w14:paraId="36012D18" w14:textId="77777777" w:rsidR="0062405A" w:rsidRPr="0062405A" w:rsidRDefault="0062405A" w:rsidP="0062405A">
      <w:pPr>
        <w:spacing w:line="360" w:lineRule="auto"/>
        <w:rPr>
          <w:rFonts w:ascii="Arial" w:eastAsia="Arial" w:hAnsi="Arial" w:cs="Arial"/>
          <w:sz w:val="24"/>
          <w:szCs w:val="24"/>
        </w:rPr>
      </w:pP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25F9DF32" w14:textId="77777777" w:rsidR="0062405A" w:rsidRPr="0062405A" w:rsidRDefault="0062405A" w:rsidP="0062405A">
      <w:pPr>
        <w:spacing w:line="360" w:lineRule="auto"/>
        <w:rPr>
          <w:rFonts w:ascii="Arial" w:eastAsia="Arial" w:hAnsi="Arial" w:cs="Arial"/>
          <w:sz w:val="24"/>
          <w:szCs w:val="24"/>
        </w:rPr>
      </w:pPr>
    </w:p>
    <w:p w14:paraId="7DF4590D"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2.3.4. El par cuantitativo y cualitativo en el voto. ¿Antecedente de la tesis XXXI/2004?</w:t>
      </w:r>
    </w:p>
    <w:p w14:paraId="22094A66" w14:textId="77777777" w:rsidR="0062405A" w:rsidRPr="0062405A" w:rsidRDefault="0062405A" w:rsidP="0062405A">
      <w:pPr>
        <w:spacing w:line="360" w:lineRule="auto"/>
        <w:rPr>
          <w:rFonts w:ascii="Arial" w:eastAsia="Arial" w:hAnsi="Arial" w:cs="Arial"/>
          <w:sz w:val="24"/>
          <w:szCs w:val="24"/>
        </w:rPr>
      </w:pP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35FE62AE" w14:textId="77777777" w:rsidR="0062405A" w:rsidRPr="0062405A" w:rsidRDefault="0062405A" w:rsidP="0062405A">
      <w:pPr>
        <w:spacing w:line="360" w:lineRule="auto"/>
        <w:rPr>
          <w:rFonts w:ascii="Arial" w:eastAsia="Arial" w:hAnsi="Arial" w:cs="Arial"/>
          <w:sz w:val="24"/>
          <w:szCs w:val="24"/>
        </w:rPr>
      </w:pPr>
    </w:p>
    <w:p w14:paraId="7B1C808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2.3.5. La ceguera compartida. El vocabulario común de la convicción</w:t>
      </w:r>
    </w:p>
    <w:p w14:paraId="0F7BBAA6"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6AB20419" w14:textId="77777777" w:rsidR="0062405A" w:rsidRPr="0062405A" w:rsidRDefault="0062405A" w:rsidP="0062405A">
      <w:pPr>
        <w:spacing w:line="360" w:lineRule="auto"/>
        <w:rPr>
          <w:rFonts w:ascii="Arial" w:eastAsia="Arial" w:hAnsi="Arial" w:cs="Arial"/>
          <w:sz w:val="24"/>
          <w:szCs w:val="24"/>
        </w:rPr>
      </w:pPr>
    </w:p>
    <w:p w14:paraId="4A541B62"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2.3.6. La continuidad del disenso en el caso Colima</w:t>
      </w:r>
    </w:p>
    <w:p w14:paraId="17AB5273" w14:textId="77777777" w:rsidR="0062405A" w:rsidRPr="0062405A" w:rsidRDefault="0062405A" w:rsidP="0062405A">
      <w:pPr>
        <w:spacing w:line="360" w:lineRule="auto"/>
        <w:rPr>
          <w:rFonts w:ascii="Arial" w:eastAsia="Arial" w:hAnsi="Arial" w:cs="Arial"/>
          <w:sz w:val="24"/>
          <w:szCs w:val="24"/>
        </w:rPr>
      </w:pP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4649B1C2" w14:textId="77777777" w:rsidR="0062405A" w:rsidRPr="0062405A" w:rsidRDefault="0062405A" w:rsidP="0062405A">
      <w:pPr>
        <w:spacing w:line="360" w:lineRule="auto"/>
        <w:rPr>
          <w:rFonts w:ascii="Arial" w:eastAsia="Arial" w:hAnsi="Arial" w:cs="Arial"/>
          <w:sz w:val="24"/>
          <w:szCs w:val="24"/>
        </w:rPr>
      </w:pPr>
    </w:p>
    <w:p w14:paraId="14354648" w14:textId="24F46A76" w:rsidR="0062405A" w:rsidRPr="0062405A" w:rsidRDefault="006E43DD"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Conclusiones del capitulo</w:t>
      </w:r>
    </w:p>
    <w:p w14:paraId="5AD5F3B9"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w:t>
      </w:r>
    </w:p>
    <w:p w14:paraId="1474A492" w14:textId="77777777" w:rsidR="00A019C7" w:rsidRPr="00A019C7" w:rsidRDefault="00A019C7" w:rsidP="00A019C7">
      <w:pPr>
        <w:spacing w:line="360" w:lineRule="auto"/>
        <w:rPr>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3.1.1. Marco normativo, fáctico y procesal</w:t>
      </w:r>
    </w:p>
    <w:p w14:paraId="2073CB96" w14:textId="77777777" w:rsidR="00A019C7" w:rsidRPr="00A019C7" w:rsidRDefault="00A019C7" w:rsidP="00A019C7">
      <w:pPr>
        <w:spacing w:line="360" w:lineRule="auto"/>
        <w:rPr>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en el apartado 3.1.5.</w:t>
      </w:r>
    </w:p>
    <w:p w14:paraId="75DBB70C" w14:textId="77777777" w:rsidR="00A019C7" w:rsidRPr="00A019C7" w:rsidRDefault="00A019C7" w:rsidP="00A019C7">
      <w:pPr>
        <w:spacing w:line="360" w:lineRule="auto"/>
        <w:rPr>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3.1.2. La doctrina probatoria de la mayoría</w:t>
      </w:r>
    </w:p>
    <w:p w14:paraId="6A627151" w14:textId="77777777" w:rsidR="00A019C7" w:rsidRPr="00A019C7" w:rsidRDefault="00A019C7" w:rsidP="00A019C7">
      <w:pPr>
        <w:spacing w:line="360" w:lineRule="auto"/>
        <w:rPr>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3.1.3. La aplicación de la doctrina al caudal probatorio</w:t>
      </w:r>
    </w:p>
    <w:p w14:paraId="0A51CE76" w14:textId="77777777" w:rsidR="00A019C7" w:rsidRPr="00A019C7" w:rsidRDefault="00A019C7" w:rsidP="00A019C7">
      <w:pPr>
        <w:spacing w:line="360" w:lineRule="auto"/>
        <w:rPr>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caudal probatorio fue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3.1.4. El umbral de suficiencia. Convicción, certeza e irrefutabilidad</w:t>
      </w:r>
    </w:p>
    <w:p w14:paraId="3E918DD9" w14:textId="77777777" w:rsidR="00A019C7" w:rsidRPr="00A019C7" w:rsidRDefault="00A019C7" w:rsidP="00A019C7">
      <w:pPr>
        <w:spacing w:line="360" w:lineRule="auto"/>
        <w:rPr>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3.1.5. Cotejo con el caso Tabasco</w:t>
      </w:r>
    </w:p>
    <w:p w14:paraId="2A874E77" w14:textId="77777777" w:rsidR="00A019C7" w:rsidRPr="00A019C7" w:rsidRDefault="00A019C7" w:rsidP="00A019C7">
      <w:pPr>
        <w:spacing w:line="360" w:lineRule="auto"/>
        <w:rPr>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3.1.6. La estabilidad del artículo 16 frente a las reformas de 2008 a 2025</w:t>
      </w:r>
    </w:p>
    <w:p w14:paraId="0953C732" w14:textId="77777777" w:rsidR="00A019C7" w:rsidRPr="00A019C7" w:rsidRDefault="00A019C7" w:rsidP="00A019C7">
      <w:pPr>
        <w:spacing w:line="360" w:lineRule="auto"/>
        <w:rPr>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3.1.7. Recapitulación y tránsito al apartado 3.2</w:t>
      </w:r>
    </w:p>
    <w:p w14:paraId="296E0652" w14:textId="77777777" w:rsidR="00A019C7" w:rsidRPr="00A019C7" w:rsidRDefault="00A019C7" w:rsidP="00A019C7">
      <w:pPr>
        <w:spacing w:line="360" w:lineRule="auto"/>
        <w:rPr>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 Los votos particulares del SUP-JIN-194/2025. Autoría, estructura y alcance</w:t>
      </w:r>
    </w:p>
    <w:p w14:paraId="1417A26D" w14:textId="77777777" w:rsidR="00224E50" w:rsidRPr="00224E50" w:rsidRDefault="00224E50" w:rsidP="00224E50">
      <w:pPr>
        <w:spacing w:line="360" w:lineRule="auto"/>
        <w:rPr>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3.2.2. La denuncia de la ausencia de un estándar de prueba</w:t>
      </w:r>
    </w:p>
    <w:p w14:paraId="42B3FD77" w14:textId="77777777" w:rsidR="00224E50" w:rsidRPr="00224E50" w:rsidRDefault="00224E50" w:rsidP="00224E50">
      <w:pPr>
        <w:spacing w:line="360" w:lineRule="auto"/>
        <w:rPr>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punto dedicado a los estándares probatorios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3.2.3. La teoría de los estándares en el proyecto incorporado al voto</w:t>
      </w:r>
    </w:p>
    <w:p w14:paraId="32BE13DF" w14:textId="77777777" w:rsidR="00224E50" w:rsidRPr="00224E50" w:rsidRDefault="00224E50" w:rsidP="00224E50">
      <w:pPr>
        <w:spacing w:line="360" w:lineRule="auto"/>
        <w:rPr>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3.2.4. El estándar elevado para la autoría</w:t>
      </w:r>
    </w:p>
    <w:p w14:paraId="000E0289" w14:textId="77777777" w:rsidR="00224E50" w:rsidRPr="00224E50" w:rsidRDefault="00224E50" w:rsidP="00224E50">
      <w:pPr>
        <w:spacing w:line="360" w:lineRule="auto"/>
        <w:rPr>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3.2.5. La fuente del estándar. Modulación judicial y previsibilidad</w:t>
      </w:r>
    </w:p>
    <w:p w14:paraId="4F455E2E"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3.2.6. La crítica a la fragmentación del acervo probatorio</w:t>
      </w:r>
    </w:p>
    <w:p w14:paraId="770868B7" w14:textId="77777777" w:rsidR="00224E50" w:rsidRPr="00224E50" w:rsidRDefault="00224E50" w:rsidP="00224E50">
      <w:pPr>
        <w:spacing w:line="360" w:lineRule="auto"/>
        <w:rPr>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3.2.7. La determinancia y el uso de la estadística</w:t>
      </w:r>
    </w:p>
    <w:p w14:paraId="4A3BC90C" w14:textId="77777777" w:rsidR="00224E50" w:rsidRPr="00224E50" w:rsidRDefault="00224E50" w:rsidP="00224E50">
      <w:pPr>
        <w:spacing w:line="360" w:lineRule="auto"/>
        <w:rPr>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3.2.8. El voto de 2025 frente a los requisitos metodológicos</w:t>
      </w:r>
    </w:p>
    <w:p w14:paraId="22003E77" w14:textId="77777777" w:rsidR="00224E50" w:rsidRPr="00224E50" w:rsidRDefault="00224E50" w:rsidP="00224E50">
      <w:pPr>
        <w:spacing w:line="360" w:lineRule="auto"/>
        <w:rPr>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analizaremos más adelante.</w:t>
      </w:r>
    </w:p>
    <w:p w14:paraId="616644C9" w14:textId="77777777" w:rsidR="00224E50" w:rsidRPr="00224E50" w:rsidRDefault="00224E50" w:rsidP="00224E50">
      <w:pPr>
        <w:spacing w:line="360" w:lineRule="auto"/>
        <w:rPr>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3.2.9. Cotejo con el voto particular del caso Tabasco</w:t>
      </w:r>
    </w:p>
    <w:p w14:paraId="1021E535" w14:textId="77777777" w:rsidR="00224E50" w:rsidRPr="00224E50" w:rsidRDefault="00224E50" w:rsidP="00224E50">
      <w:pPr>
        <w:spacing w:line="360" w:lineRule="auto"/>
        <w:rPr>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3.2.10. Un antecedente del mismo disidente. El voto razonado en el SUP-REC-1388/2018</w:t>
      </w:r>
    </w:p>
    <w:p w14:paraId="3F44C7E6"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3.2.11. El alcance de una crítica sin efectos vinculantes</w:t>
      </w:r>
    </w:p>
    <w:p w14:paraId="569A71B4" w14:textId="77777777" w:rsidR="00224E50" w:rsidRPr="00224E50" w:rsidRDefault="00224E50" w:rsidP="00224E50">
      <w:pPr>
        <w:spacing w:line="360" w:lineRule="auto"/>
        <w:rPr>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4715C652" w14:textId="77777777" w:rsidR="005D4DF8" w:rsidRPr="00224E50" w:rsidRDefault="005D4DF8" w:rsidP="00647260">
      <w:pPr>
        <w:spacing w:line="360" w:lineRule="auto"/>
        <w:jc w:val="both"/>
        <w:rPr>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Conclusiones del capitulo </w:t>
      </w:r>
    </w:p>
    <w:p w14:paraId="73075E5F" w14:textId="77777777" w:rsidR="00224E50" w:rsidRPr="00224E50" w:rsidRDefault="00224E50" w:rsidP="00224E50">
      <w:pPr>
        <w:spacing w:line="360" w:lineRule="auto"/>
        <w:rPr>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3.3. La cláusula mixta. Expresión normativa del error de categoría y su inercia en el sistema probatorio</w:t>
      </w:r>
    </w:p>
    <w:p w14:paraId="42851895" w14:textId="77777777" w:rsidR="00FB3B55" w:rsidRPr="00FB3B55" w:rsidRDefault="00FB3B55" w:rsidP="00FB3B55">
      <w:pPr>
        <w:spacing w:line="360" w:lineRule="auto"/>
        <w:rPr>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Al final se examina su relación con el error de categoría y se traza el tránsito al capítulo cuarto.</w:t>
      </w:r>
    </w:p>
    <w:p w14:paraId="11FF4DE0" w14:textId="77777777" w:rsidR="00FB3B55" w:rsidRPr="00FB3B55" w:rsidRDefault="00FB3B55" w:rsidP="00FB3B55">
      <w:pPr>
        <w:spacing w:line="360" w:lineRule="auto"/>
        <w:rPr>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 Los sistemas de valoración y la noción clásica de sistema mixto</w:t>
      </w:r>
    </w:p>
    <w:p w14:paraId="6C2F4589" w14:textId="77777777" w:rsidR="00FB3B55" w:rsidRPr="00FB3B55" w:rsidRDefault="00FB3B55" w:rsidP="00FB3B55">
      <w:pPr>
        <w:spacing w:line="360" w:lineRule="auto"/>
        <w:rPr>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3.3.2. Definición de la cláusula mixta</w:t>
      </w:r>
    </w:p>
    <w:p w14:paraId="4F15933E" w14:textId="77777777" w:rsidR="00FB3B55" w:rsidRPr="00FB3B55" w:rsidRDefault="00FB3B55" w:rsidP="00FB3B55">
      <w:pPr>
        <w:spacing w:line="360" w:lineRule="auto"/>
        <w:rPr>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3.3.3. Deslinde frente a la textura abierta y la ambigüedad</w:t>
      </w:r>
    </w:p>
    <w:p w14:paraId="08688524" w14:textId="77777777" w:rsidR="00FB3B55" w:rsidRPr="00FB3B55" w:rsidRDefault="00FB3B55" w:rsidP="00FB3B55">
      <w:pPr>
        <w:spacing w:line="360" w:lineRule="auto"/>
        <w:rPr>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3.3.4. Anatomía del artículo 16 de la ley de medios</w:t>
      </w:r>
    </w:p>
    <w:p w14:paraId="4CE77188" w14:textId="77777777" w:rsidR="00FB3B55" w:rsidRPr="00FB3B55" w:rsidRDefault="00FB3B55" w:rsidP="00FB3B55">
      <w:pPr>
        <w:spacing w:line="360" w:lineRule="auto"/>
        <w:rPr>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El párrafo 1 del artículo 16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3.3.5. El funcionamiento inerte del componente racional</w:t>
      </w:r>
    </w:p>
    <w:p w14:paraId="5C6AAD14" w14:textId="77777777" w:rsidR="00FB3B55" w:rsidRPr="00FB3B55" w:rsidRDefault="00FB3B55" w:rsidP="00FB3B55">
      <w:pPr>
        <w:spacing w:line="360" w:lineRule="auto"/>
        <w:rPr>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3.3.6. Las reglas jurisprudenciales de peso y el desplazamiento del problema</w:t>
      </w:r>
    </w:p>
    <w:p w14:paraId="0B042A0E" w14:textId="77777777" w:rsidR="00FB3B55" w:rsidRPr="00FB3B55" w:rsidRDefault="00FB3B55" w:rsidP="00FB3B55">
      <w:pPr>
        <w:spacing w:line="360" w:lineRule="auto"/>
        <w:rPr>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3.3.7. Cláusulas mixtas análogas en el derecho procesal mexicano</w:t>
      </w:r>
    </w:p>
    <w:p w14:paraId="748E571A" w14:textId="77777777" w:rsidR="00FB3B55" w:rsidRPr="00FB3B55" w:rsidRDefault="00FB3B55" w:rsidP="00FB3B55">
      <w:pPr>
        <w:spacing w:line="360" w:lineRule="auto"/>
        <w:rPr>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3.3.8. Consecuencias dogmáticas de la calificación</w:t>
      </w:r>
    </w:p>
    <w:p w14:paraId="5CD6DB28" w14:textId="77777777" w:rsidR="00FB3B55" w:rsidRPr="00FB3B55" w:rsidRDefault="00FB3B55" w:rsidP="00FB3B55">
      <w:pPr>
        <w:spacing w:line="360" w:lineRule="auto"/>
        <w:rPr>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3.3.9. La cláusula mixta como expresión normativa del error de categoría</w:t>
      </w:r>
    </w:p>
    <w:p w14:paraId="2B2932D1" w14:textId="77777777" w:rsidR="00FB3B55" w:rsidRPr="00FB3B55" w:rsidRDefault="00FB3B55" w:rsidP="00FB3B55">
      <w:pPr>
        <w:spacing w:line="360" w:lineRule="auto"/>
        <w:rPr>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La noción de error de categoría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3.3.10. Síntesis capitular y tránsito al capítulo cuarto</w:t>
      </w:r>
    </w:p>
    <w:p w14:paraId="11DB4FA1" w14:textId="77777777" w:rsidR="00FB3B55" w:rsidRPr="00FB3B55" w:rsidRDefault="00FB3B55" w:rsidP="00FB3B55">
      <w:pPr>
        <w:spacing w:line="360" w:lineRule="auto"/>
        <w:rPr>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