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Ese código definió el indicio, lo dividió en categorías y fijó condiciones severas para su eficacia. Aun así, excluyó la pena de muerte cuando la condena descansaba en indicios. Frente a este panorama, Mittermaier propuso una tesis más audaz.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importancia. El indicio adquiere relevancia en el momento en que el juez advierte su conexión con otro hecho.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El autor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Esa diferencia depende del número de inferencias y de la evidencia de las máximas empleadas. Igartua matiza esta tesis. El autor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El autor distingue indicios equiprobables, indicios de probabilidad prevalente, indicios cualificados e indicios necesarios. Esta escala tiene una ventaja metodológica. Esa escala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autor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Esa valoración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si se confirmaron sus hipótesis derivadas y si se eliminaron las hipótesis alternativas. El último criterio atiende 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González Lagier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gravedad, la precisión y la concordancia de los indicios. La convergencia solo tiene sentido si los indicios son varios.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y de su íntimo enlace. El 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El autor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Se trata del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por su parte, 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El colegiado citó, en el mismo sentido, la sentencia 229/1988 del Tribunal Constitucional español,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La adminiculación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La pregunta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y critica la convicción del juzgador como criterio de suficiencia. El apartado cierra con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La confusión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La norma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La libre convicción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El precepto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Esos estándares resultarían, según el autor,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misma distinción debe trazarse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El que niega está obligado a probar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carga no puede entenderse sin un criterio de suficiencia. Donde Nieva ve redundancia, Ferrer ve dependencia lógica. Para esta investigación, la segunda lectura resulta más útil. Esa lectura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doctrina nacional reciente refleja esa misma ambivalencia.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fijar un umbral a partir del cual una hipótesis se considera probada y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las decisiones concretas de los tribunales. Esa conclusión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Esa distinción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y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Esa duda debe entenderse, más bien,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El autor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pero advierte que sacrifica la previsibilidad, la igualdad y el control de las decisiones. El autor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La autora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Haack sostiene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Ambas coinciden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El legislador debe considerar la relativa gravedad de los errores de cada decisión, pues no cuesta lo mismo una condena errónea que una prisión preventiva, una suspensión de derechos o un embargo preventivo. El autor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decisiones individuales, por exigencias de igualdad y de irretroactividad. El autor advierte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El mismo autor informa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El juez debe verificar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El autor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en cambio, frente a estándares que remiten a resultados probatorios verificables, como la refutación de la hipótesis de la defensa. La crítica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Haack reconoce que ninguno de los estándares vigentes está definido con precisión, y sugiere que una definición precisa podría no ser deseable. Esta posición coincide con Ferrer Beltrán en el carácter político de la decisión y en el rechazo del probabilismo matemático. Esa posición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junto a los criterios aritméticos,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La Sala distinguió cuatro situaciones. Hay irregularidades generalizadas que no son cualitativamente determinantes, violaciones graves pero aisladas que carecen del elemento cuantitativo, violaciones graves y extendidas que se traducen en una cantidad calculable de votos 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Esas expresiones constituyen, por tanto, un estándar de prueba formulado en el interior del factor cualitativo, aunque sin identificarlo como tal.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Esa segunda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se extendió el control de constitucionalidad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La jurisprudencia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Los disidentes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y reclamaron información fehaciente sobre su composición actual.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Ambos disidentes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Los magistrados disidentes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Los actores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al lenguaje del artículo 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La sentencia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La mayoría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La mayoría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apoyó esta construcción en un criterio de la Primera Sala de la Suprema Corte, según el cual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se localizan en los requisitos segundo y cuarto. La sentencia no identifica qué resultado probatorio mínimo debía alcanzarse para tener por probado cada uno de los siete hechos. La sentencia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La mayoría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la inferencia estadística propuesta por la parte actora. 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La magistrada afirma que los acordeones evidencian una operación estructural con probable participación de partidos políticos y personas servidoras públicas, aunque sin pruebas plenas de su responsabilidad directa. La magistrada sostiene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El disidente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El voto explica que esa expresión se refiere al nivel que debe alcanzarse una vez aplicado el estándar correspondiente, de modo que no constituye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El proyecto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Esa formulación remite a una relación entre el acervo y las hipótesis en conflicto, y no a un estado mental. La formulación satisface, por tanto, el primer requisito metodológico. La formulación satisface el segundo requisito,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El proyecto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Esa diferenciación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El disidente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A ese acervo se sumaban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El voto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El voto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Esa conclusión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Esa experiencia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El autor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mismo autor recoge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 El párrafo 3 regula el resto de los medios, desde las documentales privadas y las técnicas hasta las periciales. Ese párrafo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El autor concluyó que, en la mayoría de los casos, los juzgadores solo señalan que tienen por demostrada una afirmación conforme a las reglas de la lógica, sin indicar a qué lógica ni a qué regla se refieren.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Esas jurisprudencias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Esa lectura encuentra apoyo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y decidir si el estándar debe fijarse en la ley, como sugiere el diagnóstico de este capítulo. El capítulo quinto retomará esa cuestión al 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El autor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sino que esa sea su única o principal razón de ser. Un estándar diseñado solo para obtener cierta proporción global de errores podría aceptar cualquier fórmula que produzca esa proporción, aunque no permita controlar la decisión de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las encuentra entre las diversas decisiones sobre los hechos que se adoptan a lo largo de un mismo proceso. El autor añade una segunda objeción, que afecta a ambas corrientes, porque presuponen el concepto clásico de conocimiento, mientras que la actitud del juzgador al declarar probado un hecho no es la creencia ni el conocimiento, sino la aceptación. El autor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El autor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El proyecto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El proyecto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y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En el proceso civil, a diferencia de la materia electoral, los costes recaen 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El autor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autor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La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La adminiculación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La sentencia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La sentencia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El voto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El estándar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