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su División de Estudios de Posgrado la formación que recibí, pues en sus aulas surgieron muchas preguntas de este trabajo. Mi director de tesis, el doctor Manuel Alejandro Sánchez Vega, leyó cada avance con atención y orientó la investigación desde su inicio. Sus observaciones mejoraron el planteamiento y la redacción, y por ello le estoy particularmente agradecido. A las profesoras y los profesores de la maestría les debo varias preguntas aquí examinadas, sobre todo en las clases de justicia electoral, argumentación y prueba. A mis compañeras y compañeros de generación les agradezco las conversaciones y la compañía durante el programa. Agradezco de antemano sus observaciones a quienes integren el comité revisor. Mi familia tuvo paciencia durante todo el tiempo que exigió esta tesis, y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The same provision makes the sufficiency of evidence depend on the conviction of the judge. Conviction is a psychologistic criterion detached from any objective threshold. This hybrid clause has remained largely unchanged in Mexican electoral case law for twenty-five years. The clause therefore undermines the rationality of fact-finding in electoral litigation. The thesis examines the extent to which the absence of an objective standard compromises rational adjudication of the facts. The thesis then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A comparative approach to Spanish, Italian and Anglo-American procedural doctrine complements this methodology, together with a case analysis of ruling SUP-JIN-194/2025. The analysis traced the hybrid clause to its earliest documented judicial application in SUP-JRC-487/2000. The formula persisted virtually unchanged for a quarter of a century. Judicial awareness of the underlying problem emerged only recently in a single dissenting opinion. The study identified a category mistake between sound criticism and standard of proof in the doctrine on the determinative effect of electoral irregularities. On this basis, the thesis confirms its hypothesis. The thesis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1.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40</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2.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85</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3.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92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92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4.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130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130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140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5.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noProof/>
                <w:sz w:val="24"/>
                <w:szCs w:val="24"/>
              </w:rPr>
              <w:t xml:space="preserve">Referencias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179</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CMO</w:t>
            </w:r>
          </w:p>
          <w:p>
            <w:pPr>
              <w:spacing w:before="0" w:after="0" w:line="360" w:lineRule="auto"/>
              <w:jc w:val="left"/>
            </w:pPr>
            <w:r>
              <w:rPr>
                <w:rFonts w:ascii="Arial" w:eastAsia="Arial" w:hAnsi="Arial" w:cs="Arial"/>
                <w:color w:val="000000"/>
                <w:sz w:val="24"/>
                <w:szCs w:val="24"/>
              </w:rPr>
              <w:t xml:space="preserve">Congreso de Michoacán de Ocampo</w:t>
            </w:r>
          </w:p>
          <w:p>
            <w:pPr>
              <w:spacing w:before="0" w:after="0" w:line="360" w:lineRule="auto"/>
              <w:jc w:val="left"/>
            </w:pPr>
            <w:r>
              <w:rPr>
                <w:rFonts w:ascii="Arial" w:eastAsia="Arial" w:hAnsi="Arial" w:cs="Arial"/>
                <w:color w:val="000000"/>
                <w:sz w:val="24"/>
                <w:szCs w:val="24"/>
              </w:rPr>
              <w:t xml:space="preserve">CU</w:t>
            </w:r>
          </w:p>
          <w:p>
            <w:pPr>
              <w:spacing w:before="0" w:after="0" w:line="360" w:lineRule="auto"/>
              <w:jc w:val="left"/>
            </w:pPr>
            <w:r>
              <w:rPr>
                <w:rFonts w:ascii="Arial" w:eastAsia="Arial" w:hAnsi="Arial" w:cs="Arial"/>
                <w:color w:val="000000"/>
                <w:sz w:val="24"/>
                <w:szCs w:val="24"/>
              </w:rPr>
              <w:t xml:space="preserve">Congreso de la Unión</w:t>
            </w:r>
          </w:p>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p>
            <w:pPr>
              <w:spacing w:before="0" w:after="0" w:line="360" w:lineRule="auto"/>
              <w:jc w:val="left"/>
            </w:pPr>
            <w:r>
              <w:rPr>
                <w:rFonts w:ascii="Arial" w:eastAsia="Arial" w:hAnsi="Arial" w:cs="Arial"/>
                <w:color w:val="000000"/>
                <w:sz w:val="24"/>
                <w:szCs w:val="24"/>
              </w:rPr>
              <w:t xml:space="preserve">SCJN</w:t>
            </w:r>
          </w:p>
          <w:p>
            <w:pPr>
              <w:spacing w:before="0" w:after="0" w:line="360" w:lineRule="auto"/>
              <w:jc w:val="left"/>
            </w:pPr>
            <w:r>
              <w:rPr>
                <w:rFonts w:ascii="Arial" w:eastAsia="Arial" w:hAnsi="Arial" w:cs="Arial"/>
                <w:color w:val="000000"/>
                <w:sz w:val="24"/>
                <w:szCs w:val="24"/>
              </w:rPr>
              <w:t xml:space="preserve">Suprema Corte de Justicia de la Nación</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Esa disciplina distingue el apoyo empírico de una hipótesis del umbral normativo para darla por probada. La tradición analítica hispanoamericana e italiana desarrolló principalmente esta distinción. La distinción importa más donde la prueba es indiciaria, como en el contencioso electoral mexicano. En esta materia, las irregularidades determinantes suelen acreditarse con indicios y no con prueba directa. El artículo 16 fija el criterio de valoración mediante una fórmula que combina un vocabulario racionalista, compuesto por la lógica, la sana crítica y la experiencia, con un vocabulario psicologista, que es la convicción del juzgador. Esa combinación de vocabularios oculta la ausencia de una regla de suficiencia.</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El precepto apela, en su lugar, a la convicción del juzgador, una condición mental que no admite control intersubjetivo. Esta sustitución constituye el problema que motiva la investigación. La sustitución compromete la racionalidad del juicio sobre los hechos, porque remite la suficiencia a un estado subjetivo y no a un criterio verificable. De esta constatación deriva la pregunta general del trabajo. La pregunta indaga en qué medida esa ausencia y la cláusula psicologista de la convicción comprometen dicha racionalidad. La pregunta indaga qué diseño legislativo corregiría la carencia sin sacrificar la naturaleza indiciaria de la prueba.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la investigación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 En consecuencia, el problema estudiado trasciende la técnica procesal y alcanza la confianza pública en la justicia electoral.</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del trabajo. La primera parte afirma que la falta de un estándar objetivo en el artículo 16 y su sustitución por la convicción comprometen la racionalidad del juicio sobre los hechos. Esa primera parte es diagnóstica y se contrasta con la doctrina y con la jurisprudencia electoral. La segunda parte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 Esa segunda parte es propositiva. Por tanto, la hipótesis une un diagnóstico sobre el derecho vigente con una propuesta de reforma. Esa doble estructura orienta la formulación de los objetivos de la investigación.</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y debe ser compatible con la prueba indiciaria. Este objetivo se despliega en cinco objetivos específicos. El primer objetivo específico es sistematizar el marco teórico de la prueba indiciaria y del estándar de prueba, y el segundo es identificar el error de categoría que sirve de puente conceptual entre esa teoría y la doctrina mexicana de la determinancia electoral. El tercer objetivo específico es demostrar la persistencia de la cláusula híbrida a lo largo de veinticinco años de jurisprudencia electoral. El cuarto es exponer el fundamento metodológico de la relatividad del estándar según los bienes en juego. El quinto es formular una propuesta de diseño legislativo compatible con la prueba indiciaria. El cumplimiento de estos objetivos requiere un marco teórico definido.</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que fija el umbral de suficiencia. El marco se apoya sobre todo en la obra de Jordi Ferrer Beltrán sobre los requisitos de un estándar válido y su relatividad según los bienes en juego. El marco recoge la tradición racionalista de la prueba representada, entre otros, por Michele Taruffo. La investigación contrasta ese marco con la doctrina mexicana de la determinancia, que ha tratado su problema de suficiencia sin ese aparato conceptual. La investigación no asume que la literatura existente agote este diálogo. Por ello, el desarrollo del trabajo advierte cuándo un planteamiento corresponde a una fuente verificada y cuándo constituye una propuesta original. Ese marco teórico se aplica mediante una estrategia metodológica precisa.</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El método comparado contrasta la sana crítica, la íntima convicción y los estándares de prueba de las tradiciones española, italiana y angloamericana con el derecho electoral mexicano. El método se complementa con el análisis de caso de la sentencia SUP-JIN-194/2025 y con su comparación frente a la sentencia SUP-JRC-487/2000. Esta última sentencia se seleccionó porque constituye el primer registro documentado de la aplicación judicial de la cláusula híbrida. El análisis documental y jurisprudencial sistematizó las sentencias y la jurisprudencia electoral relevantes. El análisis conceptual permitió descomponer las categorías de sana crítica, convicción, adminiculación y determinancia para evidenciar la falta de correspondencia entre ellas. En consecuencia, la metodología combina la teoría, la comparación y el estudio de casos. Esa combinación se refleja en la organización del trabajo.</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1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2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3 documenta la persistencia de esa cláusula veinticinco años después en la sentencia SUP-JIN-194/2025. Ese capítulo contrasta los votos particulares emitidos en ambos extremos temporales y caracteriza teóricamente la cláusula como una cláusula mixta. Los tres primeros capítulos integran, por tanto, la fase de diagnóstico de la investigación.</w:t>
      </w:r>
    </w:p>
    <w:p>
      <w:pPr>
        <w:spacing w:before="0" w:after="0" w:line="360" w:lineRule="auto"/>
        <w:ind w:firstLine="709"/>
        <w:jc w:val="both"/>
      </w:pPr>
      <w:r>
        <w:rPr>
          <w:rFonts w:ascii="Arial" w:eastAsia="Arial" w:hAnsi="Arial" w:cs="Arial"/>
          <w:color w:val="000000"/>
          <w:sz w:val="24"/>
          <w:szCs w:val="24"/>
        </w:rPr>
        <w:t xml:space="preserve">La fase propositiva comprende los dos capítulos restantes. El Capítulo 4 expone el fundamento metodológico que permite sostener un estándar de prueba propio para la materia electoral. Ese fundamento parte de la función distributiva del riesgo del error y de los bienes en juego específicos de esta materia. El Capítulo 5 traduce el fundamento en una propuesta concreta de diseño legislativo para el artículo 16 de la LGSMIME. Ese capítulo examina la compatibilidad de la propuesta con la naturaleza indiciaria de la prueba electoral. Las conclusiones generales cierran el trabajo y verifican la hipótesis planteada en esta introducción. Las conclusiones sintetizan la aportación de la investigación al estado del arte de la epistemología jurídica de la prueba y del derecho electoral mexicano. En consecuencia, el recorrido completo avanza del diagnóstico del derecho vigente a una propuesta de reforma fundada en la teoría del estándar de prueba.</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1</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(1857)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 (p. 358).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(1857) relata que las leyes alemanas de su tiempo resolvieron ese problema mediante la pena extraordinaria (pp. 358-359).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 (Mittermaier, 1857, pp. 382-383).</w:t>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 (Mittermaier, 1857, p. 360).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 (Mittermaier, 1857, p. 361).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 (Mittermaier, 1857, pp. 361-362). La relación que el juez cree ver entre dos hechos puede ser del todo nula, y la coincidencia temporal que atrae su atención puede obedecer a la pura casualidad. Por ello el autor exigió examinar los indicios de inocencia y los contraindicios (Mittermaier, 1857, pp. 365-366).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 (Mittermaier, 1857, p. 382).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(2018) sostuvo que un hecho no es indicio en sí mismo (p. 219).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 (Carnelutti, 2018, p. 127).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(2013) demostró que la expresión reglas de la sana crítica apareció en el Reglamento del Consejo Real español de 1846 (pp. 571, 572, 577).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(s.f.) precisó que la apreciación razonada no equivale a una libertad arbitraria (p. 57).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(1857) afirmó que indicio y presunción eran expresiones sinónimas en el fondo y que prácticos y legisladores las empleaban de manera indiferente (p. 360, nota 1). La doctrina posterior se dividió frente a esa sinonimia, y Cortés Coto (2010) sistematizó las dos posiciones principales (pp. 271-272).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(2005) reconstruye la inferencia probatoria con tres elementos (pp. 55-59). Los hechos probatorios funcionan como razones, el hecho a probar funciona como pretensión o hipótesis y el enlace entre ambos funciona como garantía. Esa garantía puede consistir en máximas de experiencia, en presunciones o en definiciones (González Lagier, 2005, pp. 61-62).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(2005), las presunciones son enunciados revestidos de autoridad (p. 62). Las máximas de experiencia carecen de esa autoridad y valen solo por su fundamento empírico. Las presunciones pueden verse como máximas de experiencia que el derecho ha institucionalizado (González Lagier, 2005, p. 87).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 (Igartua Salaverría, 2021, pp. 42-43).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(2018), quien consideró el indicio a la vez como tema y como fuente de prueba (p. 220).</w:t>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(2010) advierte que todas las pruebas de hechos pasados son indirectas si se atiende al carácter mediato del conocimiento (p. 79). Solo la observación inmediata del juez sería prueba directa en sentido estricto. González Lagier (2005) llega a una conclusión semejante porque incluso el testimonio exige inferir la credibilidad del testigo y descartar errores de percepción e interpretación (pp. 93-94). La diferencia entre prueba directa e indirecta resulta de grado y depende del número de inferencias y de la evidencia de las máximas empleadas. Igartua (2021) matiza esta tesis y sostiene que la diferencia no radica en el número de inferencias sino en el tipo de enlace (pp. 44-46).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(2010), Framarino dei Malatesta definió los necesarios como aquellos que revelan una causa determinada mediante una relación constante de causalidad (pp. 285-286). Los indicios contingentes revelan de modo más o menos probable cierta causa o cierto efecto (Cortés Coto, 2010, p. 284).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 (Carnelutti, 2018, p. 219).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(2021) recoge una tipología más fina, construida por la doctrina italiana a partir de la eficacia probatoria (p. 48, nota 77).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(1857) ya consideraba indispensable el concurso de varios indicios (p. 377). El autor refirió que la ley austriaca de 1833 exigía, en principio, la reunión de tres indicios. Mittermaier (1857) advirtió sin embargo un límite fundamental, pues solo cuentan como indicios distintos los que se apoyan en circunstancias distintas e independientes (p. 378). Un mismo hecho no puede computarse más de una vez, aunque presente diversos aspectos. Gorphe formuló la misma advertencia respecto de las huellas similares, cuya multiplicación aparente no añade información nueva (citado en Cortés Coto, 2010, p. 280).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(2005) sostiene que un solo hecho probatorio muy fiable puede pesar más que varios hechos de escasa fiabilidad (p. 82). El mismo autor añade que la variedad de los datos refuerza la confirmación y explica, siguiendo a Cohen, que la diversidad permite eliminar hipótesis alternativas (González Lagier, 2005, pp. 83-84). Ferrer Beltrán adopta la misma regla, tomada de Hempel. Para Ferrer Beltrán (2007), la confirmación de una hipótesis depende de la cantidad de datos favorables y de su variedad (p. 76).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(1857) distinguió dos clases de hechos favorables al acusado que el juez debe examinar junto con los datos de cargo (pp. 365-366). Los primeros hechos impiden atribuirle el hecho delictivo, y los segundos ofrecen una explicación inocente de los datos incriminatorios. Devis Echandía, según la exposición de Cortés Coto (2010), precisó el efecto de los contraindicios no desvirtuados (pp. 286-287).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(2005) sintetiza ese punto de partida al afirmar que la valoración no puede ser una operación libre de criterio y cargada de subjetividad (p. 79).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(2005) examina con ese fin la deducción, la inducción generalizadora, la inducción probabilística y la abducción (pp. 64-71). La deducción garantiza la conclusión si las premisas son verdaderas, pero no amplía el conocimiento. La inducción amplía el conocimiento, pero su conclusión solo es probable. La abducción infiere un hecho particular a partir de un resultado y de una regla (González Lagier, 2005, p. 70).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(2005) organiza esos criterios en tres grupos (pp. 80-91).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 (González Lagier, 2005, p. 80).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(2005) demuestra que los requisitos jurisprudenciales de la prueba indiciaria coinciden con sus criterios de solidez (pp. 92-93).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 (González Lagier, 2005, pp. 86-87).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 (González Lagier, 2005, p. 86, nota 35, y p. 87).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 (Igartua Salaverría, 2021, pp. 49-50).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 (Igartua Salaverría, 2021, pp. 38-39).</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(2021), advierte que un conjunto de evidencias puede garantizar una conclusión en grado superior al de cada componente (p. 51, nota 85).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 (Mittermaier, 1857, p. 383).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(1857)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 (p. 324, nota 4).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 (Mittermaier, 1857, p. 395).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 (Congreso de la Unión [CU], 1996/2025, art. 16, párrs. 1-3).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 (Primera Sala de la SCJN, 2013, tesis 1a. CCLXXXIII/2013 [10a.]).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 (Cossío Díaz, 2013).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 (Primer Tribunal Colegiado en Materia Penal del Segundo Circuito, 2022, tesis II.1o.P.1 P [11a.]).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 (Sala Superior del TEPJF, 2000, SUP-JRC-487/2000, pp. 470-510 del expediente digitalizado).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 (TEPJF, 2002, jurisprudencia 38/2002).</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 (TEPJF, 2014, jurisprudencia 4/2014).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 (TEPJF, 2004, tesis XXXI/2004).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 (TEPJF, 1998, jurisprudencia 9/98). La jurisprudencia 44/2024 reiteró esa exigencia de plena acreditación para la nulidad por violación a principios constitucionales, sin precisar el grado de prueba que la satisface (TEPJF, 2024, jurisprudencia 44/2024).</w:t>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 (Sala Superior del TEPJF, 2025, SUP-JIN-194/2025, párrs. 50-60, pp. 11-13).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 (Sala Superior del TEPJF, 2025, SUP-JIN-194/2025, párrs. 90-92).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(2021) advierte que el calificativo conjunta parece eximir de toda glosa y que esa dejación convierte la valoración conjunta en el baluarte de la valoración más subjetiva e incontrolable (p. 37). El autor describe dos imágenes opuestas. La imagen correcta es la de un ramillete, cuyos elementos siguen siendo distinguibles (Igartua Salaverría, 2021, p. 38).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(1857) ya denunció este riesgo al exigir que cada indicio descansara en una circunstancia independiente (p. 378). El mismo peligro aparece cuando varias notas periodísticas reproducen una única fuente, aunque se publiquen en medios diferentes. En tal caso la coincidencia entre las notas expresa repetición y no corroboración. Ferrer Beltrán (2007) explica que las pruebas redundantes aportan un rendimiento decreciente (pp. 75-77).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(2005) recuerda que las máximas de experiencia solo son probables en sentido inferencial (pp. 86-88).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 (Primer Tribunal Colegiado en Materia Penal del Segundo Circuito, 2022, tesis II.1o.P.1 P [11a.]).</w:t>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(2005) advierte que fijar criterios de valoración por vía jurisprudencial puede instaurar un nuevo sistema de prueba tasada (p. 94, nota 44). Ese riesgo aparece si los criterios se aplican como requisitos mecánicos y no como pautas graduales. La historia confirma la advertencia, pues la ley austriaca de 1833 exigía un número mínimo de indicios (Mittermaier, 1857, p. 377). El propio Mittermaier (1857) consideró que exigir de manera absoluta indicios anteriores, concomitantes y posteriores obligaría a absolver aun ante una culpabilidad cierta (p. 396).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(2021) expresa esta carencia con claridad al cerrar su análisis de la valoración conjunta (p. 39).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(2007) distingue la conformación del conjunto de elementos de juicio, la valoración de esos elementos y la adopción de la decisión sobre los hechos probados (pp. 41-49).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(2007) afirma que el resultado de la valoración no implica por sí solo nada respecto de la decisión (p. 48).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 (Ferrer Beltrán, 2007, pp. 47-48). Esa elección responde a los valores en juego en cada tipo de proceso y a la distribución de errores que el derecho considera tolerable. Igartua (2021) coincide en que compete al legislador fijar la cantidad de prueba exigida (p. 51).</w:t>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(2021) advierte que la necesidad de reglas que fijen el grado de probabilidad suficiente ha sido un tema generalmente olvidado en la cultura jurídica continental (p. 18).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 (Ferrer Beltrán, 2021, p. 19).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 (CU, 1996/2025, art. 16, párrs. 1-3).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pPr>
        <w:spacing w:before="0" w:after="0" w:line="360" w:lineRule="auto"/>
        <w:jc w:val="left"/>
      </w:pP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jc w:val="left"/>
      </w:pP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(2020) explica que ese sistema conocía dos niveles de convicción (p. 130).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(2010) sostiene que ese principio tenía un sentido epistemológico preciso (p. 32).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 (Gascón Abellán, 2010, p. 34). Ferrajoli calificó esa evolución como una de las páginas más amargas de la historia de las instituciones penales. Gascón (2010) concluye que la libre convicción debe entenderse solo como un principio metodológico negativo (pp. 141-142).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 (González Lagier, 2005, pp. 75-76).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(2006) explica que el estándar de más allá de toda duda razonable surgió de la noción filosófica de certeza moral (p. 33).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 (Laudan, 2006, p. 34). Nieva Fenoll (2020) añade que el estándar se utilizó hacia 1780 en el Old Bailey de Londres, según el relato de Whitman (p. 131, nota 56).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(2020)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 (p. 132).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 (Nieva-Fenoll, 2020, p. 133).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(2021) sostiene que tres factores empujan a los sistemas angloamericanos hacia la subjetividad continental (p. 172).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 (Ferrer Beltrán, 2021, p. 173).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(2021) reúne diversos ejemplos legislativos para mostrar ese patrón común (p. 30).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 (Ferrer Beltrán, 2021, pp. 20-21).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(2013) distingue tres momentos lógicamente sucesivos, aunque en la práctica puedan entrelazarse (p. 24).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 (Ferrer Beltrán, 2013, pp. 24-26).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 (Ferrer Beltrán, 2021, p. 23). La valoración individual analiza la fiabilidad de cada prueba, y la valoración conjunta relaciona las pruebas con las hipótesis y determina qué grado de corroboración aporta a cada una. Ferrer (2013) precisa que ese resultado es siempre contextual (p. 26).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(2021) sostiene que la valoración nunca basta para tomar una decisión sobre los hechos (p. 23).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 (Ferrer Beltrán, 2007, p. 48).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(2021) recuerda que Tuzet ha mostrado la confusión habitual entre criterios de valoración y estándares de prueba (p. 23, nota 15). Esa confusión aparece incluso en la jurisprudencia del Tribunal Europeo de Derechos Humanos, que ha tratado repetidamente el más allá de toda duda razonable como criterio de valoración. En el ámbito penal mexicano, un tribunal colegiado ha trazado correctamente la separación (Primer Tribunal Colegiado en Materia Penal del Segundo Circuito, 2022, tesis II.1o.P.1 P [11a.]).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(2013) formula esa tesis con precisión (p. 14).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 (Ferrer Beltrán, 2021, pp. 23-24).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 (Ferrer Beltrán, 2021, p. 149).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(2021) distingue dos errores materiales posibles (p. 115). El falso positivo ocurre cuando se declara probada una hipótesis falsa, y el falso negativo ocurre cuando se declara no probada una hipótesis verdadera. Ambos errores pueden producirse aunque el razonamiento del juez sea correcto a la luz de las pruebas disponibles. Laudan (2006) denomina doctrina de distribución del error al conjunto de figuras que protegen al acusado (pp. 29-30).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(2021) identifica tres equívocos frecuentes (pp. 116-122).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(2021) distingue dos estrategias distintas frente a ese equívoco (pp. 121-122).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(2013) rechaza esa posibilidad (pp. 121-122).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 (Laudan, 2013, pp. 122-123).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(2021) les atribuye tres funciones (p. 109).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 (Ferrer Beltrán, 2021, p. 115).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 (Ferrer Beltrán, 2021, pp. 109-110).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 (Ferrer Beltrán, 2021, pp. 112-114).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(2020) sostiene esa tesis de manera explícita (p. 118).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 (Nieva-Fenoll, 2020, p. 133). Nieva Fenoll (2020) advierte que los estándares se pensaron sobre todo para jurados que no motivan (p. 134).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 (Ferrer Beltrán, 2021, p. 26). Si no es posible alcanzar certezas racionales, es imprescindible determinar qué grado de probabilidad basta, y esa labor no puede realizarla la valoración, que solo mide el grado de corroboración. La prueba tasada y los estándares son modos de regulación incompatibles (Ferrer Beltrán, 2021, p. 110). La prueba tasada impone un resultado probatorio a partir de la presencia de ciertos medios y evita todo razonamiento del juez. El estándar presupone ese razonamiento. Vázquez (2013) coincide en que el estándar no fija de antemano el valor de pruebas concretas, sino que opera sobre el conjunto para la decisión final (p. 14).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 (Ferrer Beltrán, 2021, pp. 110-111).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 (CU, 1996/2025, art. 15, párr. 2).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(2021) explica que la carga de la prueba determina quién pierde si no hay prueba suficiente de ninguna hipótesis (p. 19).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(2021) advierte que el riesgo de error nunca es del todo simétrico por efecto de la carga de la prueba (p. 142, nota 95). Si ninguna hipótesis alcanza el umbral, el caso se resuelve a favor de una de las partes. La parte que tiene la carga soporta por ello un mayor riesgo de error. Laudan (2006) incluye la carga de la prueba entre los mecanismos de distribución del error (p. 30).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 (Nieva-Fenoll, 2020, p. 128).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 (Sala Superior del TEPJF, 2018, SUP-REC-1388/2018, pp. 48-49). Esa presunción es una regla de carga, pues exige prueba en contrario para desvirtuarla. La misma sentencia afirmó que el estándar probatorio para analizar la determinancia en casos de violencia política debía ser mínimo (Sala Superior del TEPJF, 2018, SUP-REC-1388/2018, p. 46). Sin embargo, la Sala concluyó que no había forma de conocer la trascendencia de los hechos y que debía regir la presunción de validez (Sala Superior del TEPJF, 2018, SUP-REC-1388/2018, p. 41). En su voto razonado, el magistrado Reyes Rodríguez Mondragón (2018) sostuvo que exigir al denunciante la carga de acreditar la trascendencia fijaba un estándar prácticamente imposible (p. 75).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 (CU, 2014/2025, arts. 259, 265).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(2005) advierte que las referencias legales a la lógica, a la sana crítica y a la experiencia son sumamente vagas (p. 79).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(2021) expresa esa diferencia al señalar que el estándar presupone el razonamiento probatorio del juez (p. 110).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(2021), que un sistema indiferente a la distribución del error podría tener por probada la hipótesis más confirmada (pp. 24-25).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(2021) ofrece tres razones independientes para rechazar ese criterio (pp. 176-179).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 (Ferrer Beltrán, 2021, p. 192). Por ello la concepción subjetivista de la prueba nunca ha requerido la motivación de las decisiones probatorias. Esa concepción es incompatible con el derecho al debido proceso, que incluye el deber de motivar (Ferrer Beltrán, 2021, p. 193).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 (CU, 1917/2026, art. 16, párr. primero).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 (Laudan, 2006, p. 51). Firme convicción, certeza moral o conciencia satisfecha son las fórmulas habituales. Laudan (2006) compara esa práctica con la de un matemático que diera por demostrado un teorema porque lo cree sin vacilar (p. 52). Lo que establece un teorema es la solidez de la prueba y no la confianza de su descubridor. Por ello el autor sostiene que la pregunta relevante no es si los jurados están convencidos, sino si la prueba debería convencer por el nivel de apoyo que ofrece a la hipótesis (Laudan, 2006, p. 53).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 (Laudan, 2006, p. 80). En el derecho penal la confianza precede, certifica e incluso constituye la prueba. Un estándar genuino no depende de la confianza subjetiva, sino que indica si esa confianza está justificada. Laudan (2006) califica el modelo vigente como un pretexto para condenar o absolver, más que como un estándar (p. 81). A modo de ejemplo, el autor propone fórmulas que atienden a las propiedades del caso, y una de ellas exige prueba inculpatoria difícil de explicar si el acusado fuera inocente y la ausencia de prueba exculpatoria difícil de explicar si fuera culpable (Laudan, 2006, p. 82).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 (González Lagier, 2005, pp. 76-78).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(2021), resume la objeción al señalar que la intensidad del convencimiento no garantiza la verdad de su objeto (p. 177, nota 18).</w:t>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 (CU, 1917/2026, art. 20, apartado A, fr. VIII, y apartado B, fr. I).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 (CU, 2014/2025, arts. 359, 402). Esta doble referencia a la convicción y a la duda merece un examen cuidadoso. La transcripción del segundo precepto permite apreciar su estructura. El artículo 402 del código dispone lo siguiente en su tercer párrafo.</w:t>
      </w:r>
    </w:p>
    <w:p>
      <w:pPr>
        <w:spacing w:before="0" w:after="0" w:line="360" w:lineRule="auto"/>
        <w:jc w:val="left"/>
      </w:pP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jc w:val="left"/>
      </w:pP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(2021) incluye expresamente el artículo 20 constitucional y el artículo 402 del código nacional entre los ejemplos de estándares subjetivos (p. 30). Nieva Fenoll (2020) cita por su parte el artículo 359 como muestra de la difusión del estándar en América Latina (p. 131, nota 54).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(2025) reporta que la Suprema Corte ha sostenido que la duda razonable opera como estándar objetivo de valoración probatoria (p. 97).</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 (p. 98). El autor enumera a la vez entre sus características una naturaleza objetiva, ajena a las percepciones personales del juez (Martínez-Garza, 2025, p. 98).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 (CU, 1917/2026, art. 41, base VI).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 (CU, 1996/2025, arts. 75, párr. 1, inc. k), 77 Ter, párr. 2, 78, párr. 1, y 78 bis, párr. 2).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 (TEPJF, 2024, jurisprudencia 44/2024). En la sentencia SUP-JIN-194/2025, la parte actora solicitó que sus pruebas se valoraran bajo un estándar flexible (Sala Superior del TEPJF, 2025, SUP-JIN-194/2025, párr. 39, p. 8). La parte actora adujo que era imposible demostrar de manera directa las irregularidades denunciadas en la elección. La Sala Superior respondió que la nulidad es la consecuencia más extrema y lesiva, pues desconoce la voluntad popular (Sala Superior del TEPJF, 2025, SUP-JIN-194/2025, párr. 45, p. 9).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(Sala Superior del TEPJF, 2025, SUP-JIN-194/2025, párr. 50, p. 11).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 (Sala Superior del TEPJF, 2018, SUP-REC-1388/2018, p. 46). Ambos pronunciamientos pueden ser razonables en su contexto, pero muestran que el nivel de exigencia se determina caso por caso. Ferrer (2021) advierte que ese particularismo no es epistémico, sino una decisión político-moral adoptada sin reglas previas (p. 28).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(2021), siguiendo a Nance, advierte que sin estándares predeterminados se afectan la predecibilidad y la seguridad jurídica (p. 28).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(2021) explica que los estándares permiten a las partes argumentar errores en la identificación o en la aplicación del umbral (p. 114). Sin un umbral conocido ese tipo de alegaciones no es posible. La revisión en segunda instancia se reduce a detectar arbitrariedades evidentes, porque el tribunal revisor no puede verificar si el acervo superaba una exigencia predeterminada. Ferrer (2021) recuerda que, bajo la concepción subjetivista, un tribunal superior solo podría afirmar que su creencia es otra y manda más (p. 192, nota 66).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 (TEPJF, 1998, jurisprudencia 9/98). Ese principio funciona como una presunción que solo se derrota con prueba suficiente de la irregularidad alegada. Ferrer (2021) advierte que toda presunción que admite prueba en contrario presupone un umbral conocido de derrota (p. 114).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 (2021) (p. 29).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 (Ferrer Beltrán, 2021, pp. 29-30).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(2021) ha sistematizado esas propiedades bajo la denominación de requisitos metodológicos (p. 29).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(2021) sostiene que una regla solo puede denominarse con propiedad estándar de prueba si cumple tres requisitos, a los que añade un cuarto relativo a la relación entre los diversos estándares de un mismo proceso (p. 29).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 (Ferrer Beltrán, 2021, p. 29, nota 1).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 (Ferrer Beltrán, 2021, p. 29). Ferrer Beltrán (2021) documenta que numerosas legislaciones incumplen esta exigencia básica al emplear fórmulas como la íntima convicción o la convicción del tribunal (pp. 29-30).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 (CU, 1917/2026, art. 20, apartado A, fr. VIII). La segunda disposición combina la convicción del tribunal con la fórmula de la duda razonable (CU, 2014/2025, art. 402).</w:t>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(2021) afirma que del convencimiento psicológico del juzgador respecto de una proposición no se infiere nada acerca de su verdad ni acerca del grado de corroboración que las pruebas le aportan (p. 32).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 (Ferrer Beltrán, 2021, p. 33).</w:t>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 (Laudan, 2006, pp. 51-53).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 (Ferrer Beltrán, 2021, p. 31, nota 4).</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 (CU, 1996/2025, art. 16, párr. 3).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(2021) precisa que no satisfacen este requisito las remisiones a la sana crítica, a la inducción o al respeto de las leyes de la lógica y de la ciencia (pp. 33-34).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 (Ferrer Beltrán, 2021, p. 34).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 (Ferrer Beltrán, 2021, p. 35).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 (Ferrer Beltrán, 2021, p. 35).</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 (Ferrer Beltrán (2021), 2021, p. 34, nota 15).</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 (p. 35).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 (Ferrer Beltrán, 2021, pp. 35-43). González Lagier enumeró una docena de criterios de solidez inferencial y observó que ninguno de ellos permite fijar un punto de corte preciso (Ferrer Beltrán, 2021, pp. 38-39).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 (Ferrer Beltrán, 2021, p. 40).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 (Ferrer Beltrán, 2021, pp. 40-43). El propio González Lagier terminó por admitir que los estándares tienen, al menos, un contenido mínimamente informativo (Ferrer Beltrán, 2021, p. 43). Ferrer Beltrán (2021) concluye que, sin razones que apelen a los resultados exigidos por el estándar, no es posible justificar las decisiones sobre los hechos (p. 44).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(2021) examina esta posición a partir del debate entre particularismo y universalismo en la teoría de las decisiones (pp. 44-53).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 (Ferrer Beltrán, 2021, p. 53).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 (Ferrer Beltrán, 2021, p. 65).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 (Ferrer Beltrán, 2021, p. 65, nota 113).</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 (Ferrer Beltrán, 2021, p. 29). Ferrer Beltrán (2021) advierte que el estándar debe adecuarse al sistema de valoración con el que opera y no puede expresarse en un lenguaje ajeno a los criterios con que se valoran las pruebas (p. 65).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 (Ferrer Beltrán, 2021, pp. 71-73).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(2021) replica que la justificación de una decisión sobre los hechos tiene una cara material y otra procedimental (p. 73).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 (Ferrer Beltrán, 2021, pp. 74-75).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 (Haack, 2013, p. 66).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 (Haack, 2013, p. 78).</w:t>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 (Ferrer Beltrán, 2021, pp. 89-90).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 (Ferrer Beltrán, 2021, p. 91).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(2013) ofrece un ejemplo equivalente y advierte que tres elementos independientes establecidos cada uno con una probabilidad de 0.51 tendrían una probabilidad conjunta de apenas 0.13 (pp. 81-82).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 (Haack, 2013, pp. 78, 82). Esta tesis no coincide exactamente con la regla de Cohen, pues admite que la combinación de pruebas incremente el aval de la conclusión. La propia autora matiza que esa combinación no siempre es más fuerte que sus componentes, sino que a veces lo es (Haack, 2013, p. 82).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 (Ferrer Beltrán, 2021, pp. 92-99).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 (Ferrer Beltrán, 2021, p. 100).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(2021) gradúa la eficacia de los indicios según las hipótesis alternativas que dejan abiertas (p. 48, nota 77).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(2021) parte de que en todo proceso deben adoptarse múltiples decisiones sobre los hechos, y no solo la decisión final (pp. 100-102).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 (Ferrer Beltrán, 2021, p. 102).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 (Ferrer Beltrán, 2021, p. 103).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(2021) advierte que las decisiones intermedias pueden generar un sesgo favorable a reiterar el mismo resultado probatorio en decisiones posteriores (p. 102, nota 233).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 (CU, 1996/2025, art. 16, párr. 4).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(2021) sostiene que Ferrua se equivoca al postular un único concepto de prueba para todas las decisiones (pp. 103-105).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(2021) precisa que las dos primeras funciones, servir de criterio de justificación y de garantía para las partes, no dependen del nivel concreto de exigencia (p. 115).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 (Ferrer Beltrán, 2021, pp. 153-154). Esa relación inversa convierte la fijación del umbral en una elección entre dos clases de error. La pregunta sobre qué parte debe soportar en mayor medida ese riesgo es, según Ferrer Beltrán, la decisión política que debe expresarse en los estándares de prueba. Laudan (2013) había planteado la misma cuestión en términos de la ratio de errores que una sociedad está dispuesta a tolerar (pp. 121-123). El énfasis exclusivo en esta tercera función encierra, sin embargo, un riesgo teórico. La doctrina mayoritaria, especialmente la anglosajona, ha focalizado su atención en la función distributiva de los estándares (Ferrer Beltrán, 2021, p. 115, nota 15).</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(2021) añade que la única política capaz de reducir simultáneamente ambos tipos de error es mejorar el peso de los acervos probatorios y la formación en razonamiento probatorio de los operadores (p. 138).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(2021) sostiene, siguiendo a Dworkin, que esa decisión debe tratar a todos los ciudadanos como iguales y respetar los compromisos asumidos (p. 150). La igualdad y la irretroactividad obligan a expresar los estándares en reglas generales. El autor advierte que la decisión se adopta en un contexto de incertidumbre en el sentido de Knight, en el que no es posible medir probabilísticamente el impacto de la decisión (Ferrer Beltrán, 2021, p. 151). Ningún mecanismo permite cuantificar globalmente los errores judiciales ni desagregarlos entre falsas absoluciones y falsas condenas (Ferrer Beltrán, 2021, p. 152).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 (Ferrer Beltrán, 2021, pp. 154-170).</w:t>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 (Ferrer Beltrán, 2021, pp. 154-156).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 (Ferrer Beltrán, 2021, p. 164).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 (Ferrer Beltrán, 2021, p. 166).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 (Ferrer Beltrán, 2021, pp. 168-169).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 (CU, 1917/2026, art. 41, base VI, incs. a)-d); CU, 1996/2025, art. 78 bis, párr. 2).</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 (Sala Superior del TEPJF, 2018, SUP-REC-1388/2018, p. 46).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(2021) propone siete formulaciones de exigencia decreciente (pp. 209-210). Las tres primeras formulaciones se inspiran en la filosofía de la ciencia de Hempel y en la probabilidad baconiana de Cohen, y giran en torno a la refutación de hipótesis alternativas (Ferrer Beltrán, 2021, p. 210).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 (Ferrer Beltrán, 2021, p. 215).</w:t>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 (Ferrer Beltrán, 2021, p. 211). La Primera Sala de la Suprema Corte mexicana adoptó la exigencia de la segunda como requisito para derrotar la presunción de inocencia (Ferrer Beltrán, 2021, pp. 214-215).</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(2013) sostiene que la exigencia de confirmar predicciones y de refutar hipótesis alternativas, con la excepción de las hipótesis construidas para el caso, permite descalificar de ese modo cualquier alegación de la defensa que no pueda refutarse (pp. 55-56).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(2013) advierte que su planteamiento no es normativo, sino descriptivo, pues pretende dar cuenta de cómo razonan de hecho los juzgadores (pp. 56-57). Esa confesión limita el alcance de la objeción. Una teoría descriptiva del razonamiento del jurado no refuta una teoría normativa sobre cómo deben formularse las reglas de decisión. Ferrer Beltrán (2021) responde que la estructura del razonamiento empírico es unitaria en la ciencia y en el derecho, por lo que la exigencia de contrastar predicciones no es ajena a la prueba judicial (p. 211).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(2013) sostiene que el derecho difiere de la ciencia porque no puede elegir sus controversias ni aplazar la decisión hasta disponer de mejor información (pp. 53-54). El autor añade que un solo testimonio encierra innumerables variables que no pueden controlarse como en un experimento. Esta observación no invalida los requisitos metodológicos, pero advierte contra la ilusión de una aplicación mecánica. El propio Ferrer Beltrán (2021) reconoce que el cumplimiento del estándar solo puede comprobarse en el caso concreto, aplicando el conjunto de criterios epistémicos de valoración (p. 44).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 (Nieva-Fenoll, 2020, p. 135). El autor cree que el juez, aun sujeto a ellos, solo argumentará una decisión basada en una sensación subjetiva. A su juicio, la lógica de los estándares reproduce la aritmética del sistema de valoración legal, que sumaba y pesaba pruebas (Nieva-Fenoll, 2020, p. 136).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(2013) sostiene que la justificación de las cargas y los estándares de prueba se funda en consideraciones políticas (pp. 69-70).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 (CU, 1996/2025, art. 16, párrs. 2, 3).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 (CU, 1996/2025, arts. 75, párr. 1, inc. k), 77 Ter, párr. 2, y 78, párr. 1). La jurisprudencia 44/2024 reiteró esa exigencia de plena acreditación para la nulidad por violación a principios constitucionales (TEPJF, 2024, jurisprudencia 44/2024).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 (2020) (p. 130).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(2018) advirtió que exigir al denunciante acreditar la trascendencia fijaba un estándar prácticamente imposible (p. 75).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2</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 (TEPJF, 1998, jurisprudencia 9/98).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 (CU, 1996/2025, art. 75, párr. 1, incs. f), g), i), j) y k)). En otras causales, como la instalación de la casilla en lugar distinto, la ley no menciona ese requisito. Rodarte Nava (2011) y sus coautores recuerdan que la doctrina clasifica por ello las causales en explícitas e implícitas, siguiendo a Galván Rivera (p. 317).</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 (p. 318).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 (CU, 1917/2026, art. 41, base VI). El mismo precepto presume que las violaciones son determinantes cuando la diferencia entre el primero y el segundo lugar sea menor al cinco por ciento. El artículo 78 bis de la ley de medios reproduce esa regla (CU, 1996/2025, art. 78 bis, párrs. 1, 2).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 (TEPJF, 2002, jurisprudencia 39/2002).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 (Sala Superior del TEPJF, 2003, SUP-JRC-221/2003, p. 524). Ese razonamiento dio lugar a la tesis XXXI/2004, aprobada en agosto de 2004 con base en ese precedente y en el SUP-JRC-488/2003 (TEPJF, 2004, tesis XXXI/2004). El SUP-JRC-165/2008 articuló después un test de invalidez por violación a principios constitucionales, que Olaiz González (2018) considera el inicio de una doctrina sobre la invalidez por determinancia (pp. 58-61).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(2018) explica que la reforma respondió al defecto de fiscalización que marcó la elección presidencial de 2012, en la que el tribunal careció oportunamente del dictamen consolidado de gastos (pp. 72-73). La Sala Superior fijó la naturaleza de la presunción en la contradicción de criterios SUP-CDC-2/2017. En ella sostuvo que la presunción es relativa y constituye un parámetro mínimo, pero no el único supuesto para acreditar la determinancia (Sala Superior del TEPJF, 2018, SUP-CDC-2/2017, p. 40). La jurisprudencia 44/2024 consolidó los cuatro elementos de la nulidad por violación a principios constitucionales, que son la existencia de hechos violatorios, su acreditación plena, el grado de afectación y su carácter cualitativa o cuantitativamente determinante (TEPJF, 2024, jurisprudencia 44/2024).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 (TEPJF, 2004, tesis XXXI/2004).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 (Sala Superior del TEPJF, 2006, SUP-JIN-212/2006, pp. 61-66).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 (Sala Superior del TEPJF, 2006, SUP-JIN-212/2006, p. 66). En las casillas en que la discrepancia era menor que esa diferencia, se tuvo por no satisfecho el requisito de la determinancia (Sala Superior del TEPJF, 2006, SUP-JIN-212/2006, pp. 62, 65).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(2011) y sus coautores, integrantes del tribunal electoral de Zacatecas, advierten que resulta altamente problemático conocer cuántas personas votaron durante el tiempo en que se presentó la situación irregular (p. 313).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 (Rodarte Nava et al., 2011, pp. 313, 320, 321).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 (Rodarte Nava et al., 2011, p. 322).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 (TEPJF, 2004, tesis XXXI/2004).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 (Sala Superior del TEPJF, 2003, SUP-JRC-221/2003, p. 525).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 (Sala Superior del TEPJF, 2003, SUP-JRC-221/2003, pp. 525-529).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 (Sala Superior del TEPJF, 2003, SUP-JRC-221/2003, p. 523). La Sala añadió, como alternativa, que las irregularidades generen una duda fundada y razonable sobre el resultado electoral. Más adelante la Sala habló de la probabilidad seria, fundada o razonable de que se afectó decisivamente el resultado (Sala Superior del TEPJF, 2003, SUP-JRC-221/2003, p. 528).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 (Rodarte Nava et al., 2011, p. 313).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 (Sala Superior del TEPJF, 2018, SUP-CDC-2/2017, p. 40). La previsión es un parámetro mínimo a partir del cual se puede estimar, salvo prueba en contrario, que la violación es determinante. La Sala argumentó que el Constituyente habría evitado el verbo presumir si hubiese querido una regla absoluta (Sala Superior del TEPJF, 2018, SUP-CDC-2/2017, p. 43).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 (Sala Superior del TEPJF, 2018, SUP-CDC-2/2017, p. 44).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 (Sala Superior del TEPJF, 2018, SUP-CDC-2/2017, p. 47).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 (Sala Superior del TEPJF, 2018, SUP-CDC-2/2017, pp. 44, 47).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 (Sala Superior del TEPJF, 2018, SUP-REC-1388/2018, p. 1). La Sala afirmó que el estándar para analizar la determinancia debía ser mínimo para quien pretende demostrar ese tipo de violencia (Sala Superior del TEPJF, 2018, SUP-REC-1388/2018, p. 46). Al examinar unos videos difundidos en redes sociales, la Sala sostuvo que no bastaba conocer cuántas veces fueron vistos. Según la Sala, era necesario conocer la influencia que esos videos tuvieron en la definición del voto (Sala Superior del TEPJF, 2018, SUP-REC-1388/2018, p. 47). Con una diferencia de 11.11 por ciento, la Sala concluyó que la determinancia no quedaba razonablemente acreditada y que correspondía a la parte actora demostrar la trascendencia (Sala Superior del TEPJF, 2018, SUP-REC-1388/2018, p. 48).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(2018) advirtió en su voto razonado que la exigencia de probar la influencia sobre el voto fijaba un estándar prácticamente imposible (p. 75).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 (Ferrer Beltrán, 2021, p. 29).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 (Sala Superior del TEPJF, 2003, SUP-JRC-221/2003, p. 530). Para valorar el impacto de las notas periodísticas, la mayoría invocó como hecho notorio el tiraje de los diarios locales y lo empleó como indicio de su difusión (Sala Superior del TEPJF, 2003, SUP-JRC-221/2003, pp. 580-581). Con una diferencia de 7.34 por ciento entre los dos primeros lugares, la mayoría concluyó que existía una probabilidad seria, fundada y razonable de que las irregularidades hubieran alterado el resultado (Sala Superior del TEPJF, 2003, SUP-JRC-221/2003, p. 581). La elección se anuló por mayoría de cuatro votos contra tres (Sala Superior del TEPJF, 2003, SUP-JRC-221/2003, pp. 589-590).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 (Navarro Hidalgo et al., 2003, pp. 596-597).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 (Sala Superior del TEPJF, 2007, SUP-JRC-604/2007, pp. 118, 135). Las pruebas eran principalmente técnicas y privadas, y el tribunal local les había conferido valor indiciario (Sala Superior del TEPJF, 2007, SUP-JRC-604/2007, p. 96). La Sala sostuvo que esas pruebas, adminiculadas entre sí y sin elemento que las desvirtuara, permitían tener por evidenciadas las irregularidades (Sala Superior del TEPJF, 2007, SUP-JRC-604/2007, pp. 133-134). En el SUP-JIN-359/2012, en cambio, la demanda de invalidez de la elección presidencial por rebase de topes de gasto fue desestimada. Olaiz González (2018) explica que la Sala careció del dictamen consolidado de la autoridad fiscalizadora, que era el elemento necesario para establecer el grado de determinancia (pp. 65-66). El autor describe la opción adoptada como una calificación con evidencia limitada, bajo una suerte de principio según el cual la duda favorece la validez de la elección (Olaiz González, 2018, pp. 69-70).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 (Olaiz González, 2018, pp. 56, 73).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 (CU, 1996/2025, art. 16, párrs. 1, 3).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(2021) sostiene que la ausencia de estándares legalmente previstos vulnera el derecho al debido proceso y el derecho a la prueba (p. 65).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 (CU, 1996/2025, art. 16, párrs. 1-3).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 (CU, 1996/2025).</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(2012) explica que la reforma modificó la designación de los magistrados, que en adelante serían votados por el Senado a propuesta de la Suprema Corte de Justicia (cap. «Construyendo la equidad», secc. «La reforma más ambiciosa», punto 2, «El contencioso electoral»).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 (CU, 1917/2026, art. 99, párr. primero).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 (CU, 1996/2025).</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(2013) ha reconstruido ese origen normativo con base en fuentes de la época (pp. 569-585). La expresión apareció por primera vez en el artículo 148 del Reglamento sobre el modo de proceder del Consejo Real en los negocios contenciosos de la administración, de 1846 (Benfeld, 2013, p. 571).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 (Benfeld, 2013, p. 572).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(2013) advierte que la fórmula nació indeterminada y que la práctica judicial española la aproximó progresivamente a la íntima convicción francesa (pp. 575-577). El presidente del Tribunal Supremo celebró en 1856 que la nueva ley hubiera emancipado la conciencia del juez. Entre 1860 y 1880, ese tribunal rechazó los recursos de casación fundados en la infracción de las reglas de la sana crítica (Benfeld, 2013, pp. 575-576). La comisión redactora de 1881 intentó fijar esas reglas de manera taxativa, pero concluyó que no era posible hacerlo (Benfeld, 2013, p. 579).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 (Sala Superior del TEPJF, 2000, SUP-JRC-487/2000, t. I, pp. 1-2). El Tribunal Electoral de Tabasco confirmó la validez de la elección al sostener que, conforme al principio de estricta observancia, no existía causa legal para anular la elección de gobernador (Sala Superior del TEPJF, 2000, SUP-JRC-487/2000, t. I, p. 483). El Partido de la Revolución Democrática y el Partido Acción Nacional promovieron juicios de revisión constitucional, que se acumularon. El magistrado ponente fue Mauro Miguel Reyes Zapata (Sala Superior del TEPJF, 2000, SUP-JRC-487/2000, t. I, p. 1). La Sala Superior revocó la sentencia local y declaró la nulidad de la elección el 29 de diciembre de 2000 (Sala Superior del TEPJF, 2000, SUP-JRC-487/2000, t. I, p. 506).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 (Zamacona Madrigal y García Rodríguez, 2011, pp. 268-271). Los mismos autores recuerdan que la figura quedó superada por la reforma constitucional de 2007 al artículo 99 (Zamacona Madrigal y García Rodríguez, 2011, p. 272).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 (Sala Superior del TEPJF, 2000, SUP-JRC-487/2000, t. I, p. 451).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 (Sala Superior del TEPJF, 2000, SUP-JRC-487/2000, t. I, p. 431). La cláusula híbrida operaba, por tanto, en la ley local y en la ley federal. La Sala declaró un método de valoración en dos etapas (Sala Superior del TEPJF, 2000, SUP-JRC-487/2000, t. I, p. 424).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 (Sala Superior del TEPJF, 2000, SUP-JRC-487/2000, t. I, pp. 429-430). La Sala sostuvo que las denuncias penales no prueban plenamente los hechos narrados, pero constituyen un indicio que puede robustecerse con otras pruebas (Sala Superior del TEPJF, 2000, SUP-JRC-487/2000, t. I, p. 430). Al examinar unos recibos de entrega de materiales, la Sala advirtió que su expedición pudo obedecer a causas distintas de la compra de votos, como su comercialización o un programa social (Sala Superior del TEPJF, 2000, SUP-JRC-487/2000, t. I, p. 432). Este razonamiento considera hipótesis alternativas. La Sala restó fuerza a un acta levantada doce días después de los hechos, por falta de inmediatez, y la calificó como un leve indicio (Sala Superior del TEPJF, 2000, SUP-JRC-487/2000, t. I, p. 433). Respecto de las copias de notas periodísticas y sondeos, la Sala concluyó que no eran idóneas para acreditar fehacientemente las violaciones aducidas (Sala Superior del TEPJF, 2000, SUP-JRC-487/2000, t. I, p. 451).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 (Sala Superior del TEPJF, 2000, SUP-JRC-487/2000, t. I, p. 431). La Sala sostuvo que otras pruebas no producían convicción alguna en el órgano jurisdiccional (Sala Superior del TEPJF, 2000, SUP-JRC-487/2000, t. I, p. 430). Para la quema de papelería electoral, el estudio conjunto de las pruebas le permitió llegar al convencimiento de que se destruyó documentación en forma dolosa o por negligencia injustificada (Sala Superior del TEPJF, 2000, SUP-JRC-487/2000, t. I, p. 480).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 (Sala Superior del TEPJF, 2000, SUP-JRC-487/2000, t. I, p. 499).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 (Sala Superior del TEPJF, 2000, SUP-JRC-487/2000, t. I, p. 500). La Sala razonó que no se trataba de una simple coincidencia, sino del acatamiento de una instrucción general (Sala Superior del TEPJF, 2000, SUP-JRC-487/2000, t. I, p. 501).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 (Sala Superior del TEPJF, 2000, SUP-JRC-487/2000, t. I, pp. 502-503). La Sala subrayó que su conclusión no derivaba de una sola circunstancia, sino de la concurrencia de todas (Sala Superior del TEPJF, 2000, SUP-JRC-487/2000, t. I, p. 504).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 (Sala Superior del TEPJF, 2000, SUP-JRC-487/2000, t. I, p. 505).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 (Fuentes Cerda y Navarro Hidalgo, 2000, t. II, p. 1).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 (TEPJF, 2002, jurisprudencia 38/2002).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 (Sala Superior del TEPJF, 2001, SUP-JRC-170/2001, pp. 1, 58, 63). La Sala sostuvo que los recibos de servicios no generaban la convicción indubitable del domicilio, sino solo indicios, y empleó las notas periodísticas para robustecer la conclusión contraria. El SUP-JRC-349/2001 se refirió a la elección municipal de Tuxtla Gutiérrez, Chiapas (Sala Superior del TEPJF, 2001, SUP-JRC-349/2001, pp. 318-320). En ese asunto las notas aportadas solo generaron leves indicios, porque no existía otro elemento con el cual adminicularlas. El SUP-JRC-024/2002 versó sobre el registro de una planilla municipal en Othón P. Blanco, Quintana Roo (Sala Superior del TEPJF, 2002, SUP-JRC-024/2002, pp. 22-24).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 (Sala Superior del TEPJF, 2001, SUP-JRC-170/2001, p. 58; Sala Superior del TEPJF, 2001, SUP-JRC-349/2001, p. 320; Sala Superior del TEPJF, 2002, SUP-JRC-024/2002, pp. 22, 29).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 (Sala Superior del TEPJF, 2025, SUP-JIN-194/2025, párr. 50, p. 11).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(2025a) advirtió en su voto particular que la mayoría confundía el requisito de que las irregularidades estén plenamente acreditadas con un estándar probatorio específico (p. 18).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 (Rodríguez Mondragón, 2025a, p. 20).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 (Fuentes Cerda y Navarro Hidalgo, 2000, t. II, p. 1).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 (Fuentes Cerda y Navarro Hidalgo, 2000, t. II, p. 1).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 (Fuentes Cerda y Navarro Hidalgo, 2000, t. II, pp. 1-7). En ella los disidentes enumeran los nueve elementos que la mayoría tomó en cuenta y responden a cada uno. A continuación, los disidentes examinaron los restantes agravios de los partidos actores, como si se tratara de un proyecto alternativo de sentencia (Fuentes Cerda y Navarro Hidalgo, 2000, t. II, p. 7).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 (Fuentes Cerda y Navarro Hidalgo, 2000, t. II, p. 1).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 (Fuentes Cerda y Navarro Hidalgo, 2000, t. II, pp. 1-2).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 (Fuentes Cerda y Navarro Hidalgo, 2000, t. II, p. 4).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 (Fuentes Cerda y Navarro Hidalgo, 2000, t. II, pp. 4-5).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 (Fuentes Cerda y Navarro Hidalgo, 2000, t. II, p. 5).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 (Fuentes Cerda y Navarro Hidalgo, 2000, t. II, pp. 5-6).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 (Fuentes Cerda y Navarro Hidalgo, 2000, t. II, pp. 6-7). Los disidentes invocaron la congruencia con otros asuntos resueltos ese mismo día, como la elección de diputado en Nacajuca, validada con una diferencia de 0.47 por ciento (Fuentes Cerda y Navarro Hidalgo, 2000, t. II, p. 7).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 (Fuentes Cerda y Navarro Hidalgo, 2000, t. II, pp. 4, 7).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 (Fuentes Cerda y Navarro Hidalgo, 2000, t. II, p. 3).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 (Fuentes Cerda y Navarro Hidalgo, 2000, t. II, p. 269).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 (Fuentes Cerda y Navarro Hidalgo, 2000, t. II, p. 238).</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 (Sala Superior del TEPJF, 2000, SUP-JRC-487/2000, t. I, p. 487). La tesis XXXI/2004 no se construyó a partir del disenso de Tabasco. Sus precedentes fueron el SUP-JRC-221/2003, relativo a Colima, y el SUP-JRC-488/2003 (TEPJF, 2004, tesis XXXI/2004). En el caso Colima, los magistrados Fuentes Cerda y Navarro Hidalgo volvieron a quedar en minoría, junto con el magistrado José Luis de la Peza (Sala Superior del TEPJF, 2003, SUP-JRC-221/2003, p. 590).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 (Sala Superior del TEPJF, 2000, SUP-JRC-487/2000, t. I, pp. 430-431). La minoría abrió su voto señalando que su conclusión era una convicción sustentada en las circunstancias del caso (Fuentes Cerda y Navarro Hidalgo, 2000, t. II, p. 1). La minoría reprochó a la mayoría carecer del sostén necesario para lograr una fuerza convictiva, y en su propio análisis de las casillas concluyó que de las probanzas se llegaba a la convicción de determinados hechos (Fuentes Cerda y Navarro Hidalgo, 2000, t. II, pp. 4, 332).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 (Sala Superior del TEPJF, 2000, SUP-JRC-487/2000, t. I, p. 499). La minoría invocó la misma experiencia para afirmar que el abuso de los medios televisivos no siempre asegura el triunfo electoral (Fuentes Cerda y Navarro Hidalgo, 2000, t. II, p. 4).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 (Sala Superior del TEPJF, 2003, SUP-JRC-221/2003, pp. 591-593). Los disidentes negaron, sin embargo, que esa intervención hubiera trascendido en la orientación del voto. Según los disidentes, la ciudadanía estaba mayormente politizada y era menos vulnerable a la influencia de los funcionarios (Sala Superior del TEPJF, 2003, SUP-JRC-221/2003, p. 594). Esa afirmación es una máxima de experiencia opuesta a la de la mayoría. Los disidentes apoyaron su conclusión en la comparación con los resultados de las elecciones concurrentes y la presentaron como su convicción (Sala Superior del TEPJF, 2003, SUP-JRC-221/2003, pp. 595-597). Los disidentes concluyeron que la suma de indicios no demostrados no podía sustentar la existencia de irregularidades determinantes, más aún con una diferencia de aproximadamente siete puntos (Sala Superior del TEPJF, 2003, SUP-JRC-221/2003, p. 647).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3</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 (Sala Superior del TEPJF, 2025, SUP-JIN-194/2025, p. 1).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 (CU, 1917/2026, art. 96, párr. primero).</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 (CU, 1996/2025, art. 77 Ter).</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 (Sala Superior del TEPJF, 2025, SUP-JIN-194/2025, párrs. 1, 2).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 (Sala Superior del TEPJF, 2025, SUP-JIN-194/2025, párrs. 3, 37-40).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 (Sala Superior del TEPJF, 2025, SUP-JIN-194/2025, párr. 39, p. 8). La sentencia se dictó el 20 de agosto de 2025. El proyecto original correspondió al magistrado Reyes Rodríguez Mondragón (2025a) y proponía declarar la nulidad de la elección (p. 2). El proyecto fue rechazado por los magistrados Felipe de la Mata Pizaña y Felipe Alfredo Fuentes Barrera y por la magistrada Mónica Aralí Soto Fregoso, y el engrose se encargó al segundo (Rodríguez Mondragón, 2025a, p. 2; Sala Superior del TEPJF, 2025, SUP-JIN-194/2025, p. 1).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 (Sala Superior del TEPJF, 2025, SUP-JIN-194/2025, p. 1). La magistrada Janine M. Otálora Malassis y el magistrado Rodríguez Mondragón formularon votos particulares (Sala Superior del TEPJF, 2025, SUP-JIN-194/2025, p. 34). La magistrada Otálora Malassis sostuvo que la elección debió anularse y declaró compartir los razonamientos del proyecto rechazado (Otálora Malassis, 2025, pp. 35-36).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 (Sala Superior del TEPJF, 2025, SUP-JIN-194/2025, párr. 45, p. 9). Por ello la mayoría exigió la plena acreditación de los hechos y conductas que configuran el tipo normativo. A continuación enumeró siete hechos que debían comprobarse plenamente, desde la producción masiva de acordeones hasta su financiamiento (Sala Superior del TEPJF, 2025, SUP-JIN-194/2025, párr. 46, pp. 9-10).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 (Sala Superior del TEPJF, 2025, SUP-JIN-194/2025, párr. 48, p. 10). La sentencia afirmó que la verdad en el proceso no deriva de la coherencia de las narraciones, sino de su correspondencia con la realidad (Sala Superior del TEPJF, 2025, SUP-JIN-194/2025, párr. 49, p. 11).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 (Sala Superior del TEPJF, 2025, SUP-JIN-194/2025, párr. 50, p. 11). La mayoría reconoció que es poco probable que la parte actora disponga de pruebas directas de cada hecho. Por ello admitió que los elementos de convicción indirectos y los ejercicios inferenciales pueden arrojar certeza sobre lo que se pretende probar (Sala Superior del TEPJF, 2025, SUP-JIN-194/2025, párr. 51, p. 11).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 (Sala Superior del TEPJF, 2025, SUP-JIN-194/2025, párr. 52, p. 11). La mayoría exigió que los indicios estuvieran acreditados mediante prueba directa, fueran plurales, concomitantes al hecho por probar e interrelacionados entre sí (Sala Superior del TEPJF, 2025, SUP-JIN-194/2025, párr. 55, pp. 11-12). La mayoría exigió que las inferencias fueran razonables y que la conclusión fluyera de forma natural de los hechos base, sin inferencias débiles o forzadas (Sala Superior del TEPJF, 2025, SUP-JIN-194/2025, párr. 56, pp. 12-13). La mayoría se apoyó en un criterio de la Primera Sala. Según ese criterio, la prueba circunstancial no debe confundirse con sospechas y sus conclusiones deben contrastarse con otras hipótesis probables (Sala Superior del TEPJF, 2025, SUP-JIN-194/2025, párr. 57, p. 13). La mayoría añadió que el razonamiento debe expresarse de modo que pueda replicarse y reconstruirse en la sentencia (Sala Superior del TEPJF, 2025, SUP-JIN-194/2025, párr. 58, p. 13).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 (Sala Superior del TEPJF, 2025, SUP-JIN-194/2025, párr. 59, p. 13). Estos requisitos son criterios de valoración controlables intersubjetivamente. La exigencia de refutar hipótesis alternativas se aproxima a las formulaciones de estándar que Ferrer Beltrán (2021) construye a partir de la refutación de hipótesis (p. 210).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 (Rodríguez Mondragón, 2025a, p. 18).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 (Sala Superior del TEPJF, 2025, SUP-JIN-194/2025, párr. 61, pp. 13-14). El acervo incluyó expedientes de procedimientos sancionadores, de fiscalización y carpetas de investigación (Sala Superior del TEPJF, 2025, SUP-JIN-194/2025, párr. 62, p. 14). La mayoría asignó a las documentales privadas, ligas electrónicas y notas periodísticas un valor indiciario que debía adminicularse con otros elementos para arrojar convicción de un hecho (Sala Superior del TEPJF, 2025, SUP-JIN-194/2025, párr. 64, p. 14). Los procedimientos sancionadores y las denuncias penales no eran prueba directa. Ninguno tenía resolución firme sobre la distribución masiva (Sala Superior del TEPJF, 2025, SUP-JIN-194/2025, párr. 66, pp. 14-15). En apoyo la mayoría invocó la tesis III/2010, según la cual las conductas sancionadas en procedimientos administrativos son insuficientes, por sí mismas, para actualizar la nulidad (TEPJF, 2010, tesis III/2010).</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 (Sala Superior del TEPJF, 2025, SUP-JIN-194/2025, párr. 74, p. 16).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 (Sala Superior del TEPJF, 2025, SUP-JIN-194/2025, párr. 87, p. 19). La mayoría sostuvo que no existía indicio alguno sobre la distribución efectiva y nacional, ni sobre la autoría y el financiamiento (Sala Superior del TEPJF, 2025, SUP-JIN-194/2025, párrs. 88, 89, pp. 19-20). En consecuencia, la mayoría declaró incumplidos los requisitos de prueba directa de los hechos indiciarios, pluralidad y concomitancia (Sala Superior del TEPJF, 2025, SUP-JIN-194/2025, párr. 90, p. 20).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 (Sala Superior del TEPJF, 2025, SUP-JIN-194/2025, párr. 92, pp. 20-21). La mayoría calificó esas probanzas como ejemplos de lo que pudo aportarse y contrastó con ellas los elementos mínimos que acompañaban el expediente (Sala Superior del TEPJF, 2025, SUP-JIN-194/2025, párr. 93, p. 21). Esta enumeración se aproxima a la identificación de resultados probatorios mínimos que Ferrer Beltrán (2021) propone como vía para formular estándares (p. 40).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 (Sala Superior del TEPJF, 2025, SUP-JIN-194/2025, párrs. 94, 95, p. 21).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 (Sala Superior del TEPJF, 2025, SUP-JIN-194/2025, párr. 97, pp. 21-22). La sentencia añadió que un ejercicio estadístico solo aporta conclusiones sobre fenómenos sociales complejos cuando la variable se presenta de manera reiterada y sistemática a través del tiempo (Sala Superior del TEPJF, 2025, SUP-JIN-194/2025, párr. 104, p. 23). La sentencia mencionó las pruebas de White, de Breusch-Pagan y de Shapiro-Wilk. Ninguna podía aplicarse, según la sentencia, a un modelo construido a partir de sospechas sin soporte probatorio (Sala Superior del TEPJF, 2025, SUP-JIN-194/2025, párrs. 106, 107, p. 23). La sentencia reiteró, con apoyo en precedentes de la misma elección, que la coincidencia entre las personas ganadoras y las que figuraban en los acordeones era una apreciación subjetiva (Sala Superior del TEPJF, 2025, SUP-JIN-194/2025, párr. 108, pp. 23-24, nota 21).</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(2025a) calificó esa operación como una fragmentación artificial del análisis probatorio (p. 20). Las consideraciones conclusivas de la mayoría permiten identificar el umbral que efectivamente aplicó. Según la sentencia, las pruebas eran a lo sumo una presunción abstracta, lejos de los medios de convicción irrefutables que denominó presunción concreta (Sala Superior del TEPJF, 2025, SUP-JIN-194/2025, párr. 109, pp. 24-25).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 (Sala Superior del TEPJF, 2025, SUP-JIN-194/2025, párrs. 110-112, p. 25). La mayoría concluyó que el acervo, aunque extenso, no aportaba elementos fiables, pertinentes, creíbles ni suficientes para justificar racionalmente la verdad del hecho afirmado (Sala Superior del TEPJF, 2025, SUP-JIN-194/2025, párr. 113, p. 25).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(2021) subraya (p. 215).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 (Rodríguez Mondragón, 2025a, p. 18).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 (Rodríguez Mondragón, 2025a, pp. 18, 21).</w:t>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 (Sala Superior del TEPJF, 2000, SUP-JRC-487/2000, t. I, p. 424).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 (Sala Superior del TEPJF, 2000, SUP-JRC-487/2000, t. I, pp. 430-431). En 2025 la mayoría afirmó que únicamente tenía convicción sobre la existencia de algunos acordeones y que la prueba indiciaria no producía convicción (Sala Superior del TEPJF, 2025, SUP-JIN-194/2025, párrs. 74, 109, pp. 16, 25).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 (Sala Superior del TEPJF, 2000, SUP-JRC-487/2000, t. I, p. 505; Sala Superior del TEPJF, 2025, SUP-JIN-194/2025, párr. 46, p. 10).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 (CU, 1996/2025).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 (CU, 1917/2026, art. 41, base VI).</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 (CU, 1996/2025, art. 78 bis, párrs. 1-2).</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 (CU, 1996/2025, arts. 77 Ter, párr. 2, y 78, párr. 1).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 (Sala Superior del TEPJF, 2025, SUP-JIN-194/2025, párr. 51, p. 11).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 (Sala Superior del TEPJF, 2025, SUP-JIN-194/2025, p. 34; Rodríguez Mondragón, 2025a, p. 2). Ambos disidentes habían presentado proyectos que proponían la nulidad de la elección. El de Rodríguez Mondragón (2025a) correspondía al SUP-JIN-194/2025 y acumulados, y el de Otálora Malassis al SUP-JIN-250/2025 y al SUP-JIN-255/2025, y ambos se rechazaron el 20 de agosto de 2025 (p. 2). El voto de la magistrada Otálora Malassis es breve y sostiene que la elección debió anularse por la vulneración de los principios de libertad y autenticidad del sufragio (Otálora Malassis, 2025, pp. 35-36).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 (Rodríguez Mondragón, 2025a, p. 1, nota 1). El autor examina en conjunto las sentencias de la mayoría, porque difieren en su redacción pero convergen en el sentido y en la explicación (Rodríguez Mondragón, 2025a, p. 3). El magistrado organiza su disenso en siete puntos, entre los que figuran los estándares probatorios, la valoración de las pruebas, el impacto determinante y la omisión legislativa en la regulación de la elección judicial (Rodríguez Mondragón, 2025a, p. 12). La segunda parte reproduce íntegramente las consideraciones del proyecto que sometió al Pleno (Rodríguez Mondragón, 2025a, p. 50). Ese proyecto dedica una sección específica al estándar de valoración probatoria (Rodríguez Mondragón, 2025b, pp. 89-111).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 (Rodríguez Mondragón, 2025a, p. 1). A juicio del disidente, esa operación actualizó la causal de financiamiento no permitido y la de violación de principios constitucionales. Esa misma operación no actualizó, según el voto, la causal de intervención de partidos políticos o personas servidoras públicas (Rodríguez Mondragón, 2025b, párrs. 513-527, pp. 249-252).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 (Rodríguez Mondragón, 2025a, p. 17).</w:t>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 (Rodríguez Mondragón, 2025a, pp. 17-18).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 (Rodríguez Mondragón, 2025a, pp. 18, 21).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 (CU, 1996/2025, arts. 77 Ter, párr. 2, y 78, párr. 1). El proyecto incorporado al voto expresa esa idea con mayor precisión. Según el proyecto, las causales plenamente acreditadas son las que superan sin excepción el estándar de prueba previamente fijado (Rodríguez Mondragón, 2025b, párr. 96, p. 92).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 (Rodríguez Mondragón, 2025a, p. 18). El mismo cuerpo del voto exige que el conjunto probatorio genere convicción suficiente según el estándar aplicable (Rodríguez Mondragón, 2025a, p. 20). Ambas formulaciones reintroducen el elemento psicológico que el primer requisito metodológico excluye (Ferrer Beltrán, 2021, p. 29).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 (Rodríguez Mondragón, 2025b, párr. 87, p. 91). El proyecto les atribuye tres funciones, que son justificar la decisión, garantizar a las partes y distribuir el riesgo de error (Rodríguez Mondragón (2025b), 2025b, párr. 88, pp. 90-91, nota 75).</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 (párr. 91, p. 90). El proyecto distingue, con apoyo expreso en Ferrer Beltrán, entre la justificación material y la justificación procedimental de la decisión sobre los hechos (Rodríguez Mondragón (2025b), 2025b, párrs. 130-131, p. 102, nota 82).</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 (párr. 132 y nota 83, p. 102). Estas tesis coinciden con las que Ferrer Beltrán (2021) sostiene en la obra que el proyecto cita (pp. 29, 73).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 (Rodríguez Mondragón, 2025b, párr. 82, p. 89).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 (Rodríguez Mondragón, 2025b, párr. 83, pp. 89-91). El proyecto precisa que basta que el conjunto de elementos probatorios haga más probable la existencia de la propaganda irregular que su inexistencia, sin requerir certeza absoluta (Rodríguez Mondragón, 2025b, párr. 110, p. 96).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 (Rodríguez Mondragón, 2025b, párrs. 107-113, pp. 96-97). Esta formulación coincide con el menos exigente de los estándares que propone Ferrer Beltrán (2021), según el cual la hipótesis debe ser más probable que la de la parte contraria (pp. 209-210).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 (Rodríguez Mondragón, 2025b, párr. 114, p. 97). El proyecto justifica el estándar por la gravedad de atribuir responsabilidad a actores institucionales y por las consecuencias jurídicas y políticas de esa atribución (Rodríguez Mondragón, 2025b, párrs. 115-118, pp. 97-98). A diferencia de lo que ocurre con las fórmulas legales examinadas, el proyecto enuncia los elementos que deben acreditarse para satisfacerlo (Rodríguez Mondragón, 2025b, párrs. 119-123, pp. 99, 101).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 (Rodríguez Mondragón, 2025b, párr. 124, p. 101). Esta exigencia corresponde a la lógica de los estándares más exigentes que propone Ferrer Beltrán (2021), construidos en torno a la refutación de hipótesis alternativas (p. 210).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 (Rodríguez Mondragón, 2025b, párrs. 304, 521-527, pp. 174, 250-252). La evidencia no descartaba actuaciones individuales sin respaldo institucional, y el proyecto ordenó dar vista al Instituto Nacional Electoral (Rodríguez Mondragón, 2025b, párrs. 317, 525, pp. 181, 252).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 (Rodríguez Mondragón, 2025b, párr. 119, p. 99). El proyecto requiere que la cadena de inferencias conduzca de manera inexorable a la conclusión y que la valoración integral genere la certeza requerida (Rodríguez Mondragón, 2025b, párr. 125, p. 101).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 (Ferrer Beltrán, 2021, p. 29).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 (Rodríguez Mondragón, 2025b, párrs. 93, 94, pp. 90, 92). El cuerpo del voto reitera esa tesis (Rodríguez Mondragón, 2025a, p. 21). El proyecto matiza, no obstante, que la decisión sobre la suficiencia no puede ser particularista ni libérrima, porque es una decisión político-moral que debe preservar la previsibilidad y la seguridad jurídica (Rodríguez Mondragón, 2025b, párr. 95, p. 92). El proyecto añade que los estándares aplicables deben ser los mismos que la Sala ha usado en casos anteriores, por congruencia con la línea jurisprudencial (Rodríguez Mondragón, 2025b, párr. 97, pp. 92-93). Esta precisión es coherente con la tesis de Ferrer Beltrán (2021) de que el estándar es una regla general y abstracta (p. 29, nota 1).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 (Rodríguez Mondragón, 2025b, párr. 97, nota 76, p. 93). La mayoría invocó, por su parte, la escuela de libre convencimiento que atribuye a la ley de medios para fundar su propia exigencia (Sala Superior del TEPJF, 2025, SUP-JIN-194/2025, párr. 50, p. 11).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 (Rodríguez Mondragón, 2025b, párr. 99, p. 93).</w:t>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 (Rodríguez Mondragón, 2025b, párr. 127, pp. 100-101).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 (Rodríguez Mondragón, 2025a, p. 20).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 (Rodríguez Mondragón, 2025a, pp. 20, 23).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 (Rodríguez Mondragón, 2025b, párr. 139 y nota 85, p. 104).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 (Rodríguez Mondragón, 2025a, p. 30). El voto subraya que el Instituto Nacional Electoral certificó páginas electrónicas dedicadas a distribuir acordeones, y que esas certificaciones son documentales públicas con valor probatorio pleno (Rodríguez Mondragón, 2025a, pp. 32-33). El voto invoca la jurisprudencia 38/2002 para sostener que 231 notas periodísticas de 112 medios y 168 autores trascienden la fuerza indiciaria leve (Rodríguez Mondragón, 2025a, p. 33). El voto interpreta los deslindes de las candidaturas beneficiadas como reconocimientos de la existencia del fenómeno. El voto califica como prueba diabólica la exigencia de demostrar que una persona identificable fue presionada o votó conforme a un acordeón (Rodríguez Mondragón, 2025a, pp. 33-34).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 (Sala Superior del TEPJF, 2025, SUP-JIN-194/2025, párr. 92, pp. 20-21).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 (Rodríguez Mondragón, 2025a, p. 38).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 (Rodríguez Mondragón, 2025a, pp. 38-39).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 (Rodríguez Mondragón, 2025a, pp. 39-42 y 44). El voto invoca una correlación del 92.4 por ciento entre acordeones y resultados. El voto invoca un índice Herfindahl-Hirschman de 0.20 y un coeficiente de Pearson de 0.924 entre los resultados de la Suprema Corte y los del Tribunal de Disciplina Judicial (Rodríguez Mondragón, 2025a, pp. 44-45). El proyecto aclara que la estadística no sustituye las inferencias obtenidas del resto de la evidencia, sino que opera como herramienta adicional de comprobación de hipótesis (Rodríguez Mondragón, 2025b, párrs. 86, 152, pp. 91, 109).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 (Rodríguez Mondragón, 2025b, párrs. 155, 156, pp. 109, 111). El proyecto recuerda que la Sala Superior ha considerado desmedido exigir prueba fehaciente de la trascendencia de los hechos, por fijar un estándar casi imposible de alcanzar (Rodríguez Mondragón (2025a), 2025b, párr. 321, p. 183, nota 142).</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 (p. 42).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 (Rodríguez Mondragón, 2025b, párr. 83, pp. 89-91).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 (Rodríguez Mondragón, 2025b, párrs. 471, 472, pp. 237-238). La imposibilidad de descartar una hipótesis no equivale a que esta sea más probable que su negación. El proyecto afirma que, sin la influencia de los acordeones, los resultados no podrían explicarse, lo que se aproxima a la refutación de hipótesis alternativas (Rodríguez Mondragón, 2025b, párr. 472, p. 237).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 (Sala Superior del TEPJF, 2025, SUP-JIN-194/2025, párrs. 104-107, p. 23). El disidente replicó que un análisis de corte transversal era válido (Rodríguez Mondragón, 2025a, p. 45).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 (Rodríguez Mondragón, 2025b, párr. 321, pp. 180-183).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 (Fuentes Cerda y Navarro Hidalgo, 2000, t. II, p. 1).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 (Fuentes Cerda y Navarro Hidalgo, 2000, t. II, pp. 4, 7).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 (Sala Superior del TEPJF, 2018, SUP-REC-1388/2018, p. 48). El magistrado Rodríguez Mondragón (2018) compartió el sentido del fallo, pero formuló un voto razonado para precisar su postura (pp. 68-69).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 (Rodríguez Mondragón, 2018, p. 69). El magistrado sostuvo que, por su carácter ilícito, esas conductas suelen realizarse de manera encubierta, de modo que no sería viable exigir una prueba directa (Rodríguez Mondragón, 2018, p. 70). Respecto de la violencia política de género, el magistrado afirmó que exigir prueba fehaciente de la trascendencia fijaba un estándar probatorio muy alto, prácticamente imposible de alcanzar (Rodríguez Mondragón, 2018, p. 75). El magistrado consideró excesivo exigir pruebas irrefutables y sostuvo que la atribución de responsabilidad no era condición necesaria para declarar la nulidad (Rodríguez Mondragón, 2018, p. 76).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 (Sala Superior del TEPJF, 2025, SUP-JIN-194/2025, párrs. 39, 109, pp. 8, 24; Rodríguez Mondragón, 2025b, párr. 83, pp. 89-91).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 (Zeferín Hernández, 2016, p. 115).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 (Zeferín Hernández, 2016, p. 118). Esa falta de justificación impedía el control de la decisión. Zeferín Hernández (2016) recuerda que Ferrajoli lo calificó como una de las páginas políticamente más amargas de las instituciones penales (p. 119). La sana crítica surgió en la legislación española del siglo XIX y concede libertad sujeta a la experiencia, la lógica y la ciencia (Zeferín Hernández, 2016, p. 124). Ferrer Beltrán (2007) precisa que la libre valoración es libre solo en el sentido de que no está sujeta a normas jurídicas que predeterminen su resultado (p. 45). Esa libertad está limitada por las reglas generales de la epistemología (Ferrer Beltrán, 2007, p. 66). La concepción persuasiva identifica, en cambio, la libre valoración con la íntima convicción del juez como único criterio de decisión (Ferrer Beltrán, 2007, p. 62).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(2016)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(pp. 122-123). Esa combinación constituye el punto central del sistema mixto. El proceso penal mexicano posterior a 1931 adoptó ese esquema, con valor tasado para los documentos públicos y libre para las periciales y testimoniales (Zeferín Hernández, 2016, pp. 123-124). Montoya Zamora (2011) sostiene que la ley de medios combina un sistema tasado con uno de libre valoración (p. 27). El autor recoge la opinión de Devis Echandía, para quien solo existe un sistema legal atenuado, porque la tasa subsiste aunque sea parcial (Montoya Zamora, 2011, p. 29). Montoya Zamora (2011) refiere que la mayoría de los ordenamientos procesales mexicanos adoptó un sistema mixto con cierto predominio de la prueba tasada (p. 29).</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 (Ferrer Beltrán, 2007, p. 62, nota 1).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 (CU, 1996/2025, art. 16, párr. 2).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(s.f.) explica que toda regla presenta casos centrales claros y casos dudosos, lo que produce un núcleo de certeza y una penumbra de duda (p. 153). El autor denomina textura abierta a esa indeterminación, que atribuye a una característica general del lenguaje humano (Hart, s.f., p. 159). Su ejemplo es la regla que prohíbe los vehículos en un parque, cuya aplicación resulta clara en unos casos y dudosa en otros (Hart, s.f., p. 158).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(2011) sostiene que la expresión reglas de la lógica es ambigua, porque la ley no indica a qué tipo de lógica se refiere (pp. 31-32).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(s.f.) sostiene que la textura abierta obliga al intérprete a elegir entre alternativas en el momento de aplicar la regla (p. 159).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 (CU, 1996/2025, art. 16, párrs. 1-4).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(2021) incluye las fórmulas que remiten a la convicción del tribunal entre las que incumplen el primer requisito metodológico de un estándar de prueba (pp. 29-30).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 (Sala Regional Especializada del TEPJF, 2024, SRE-PSC-236/2024, párr. 93, p. 33).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(2011) estudió el uso de la expresión reglas de la lógica en sentencias de la Sala Superior (p. 30).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 (Montoya Zamora, 2011, p. 28). En el SUP-RAP-33/2010, la Sala Superior valoró notas periodísticas y fotografías conforme a una sana lógica y un justo juicio. Adminiculadas con las manifestaciones de los involucrados, esas pruebas acreditaban a plenitud los hechos (Sala Superior del TEPJF, 2010, SUP-RAP-33/2010, pp. 94, 96, 98).</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(2011) observa que la sentencia no señala a qué se refiere con esa expresión ni qué reglas utiliza como premisas (p. 36).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 (Montoya Zamora, 2011, p. 38).</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(2011) documenta el mismo uso en los precedentes de las jurisprudencias 11/2002 y 38/2002 (p. 43).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 (Sala Superior del TEPJF, 2000, SUP-JRC-487/2000, t. I, p. 432).</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 (TEPJF, 2002, jurisprudencia 38/2002).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 (TEPJF, 2014, jurisprudencia 4/2014). La jurisprudencia 11/2002 establece que la prueba testimonial en materia electoral solo puede aportar indicios. La razón es que los testimonios se hacen constar en actas ante fedatario público, sin intervención del juzgador ni del contrario del oferente (TEPJF, 2002, jurisprudencia 11/2002).</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(2007) observa que las reglas de prueba legal se refieren siempre a tipos de casos, porque el legislador no puede decidir sobre el caso individual (p. 62).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 (CU, 2014/2025, arts. 259, 265). Su artículo 359 dispone que solo podrá condenarse si se llega a la convicción de la culpabilidad más allá de toda duda razonable (CU, 2014/2025, art. 359).</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 (CU, 2014/2025, art. 402). En consecuencia, el código nacional combina un método racional y un criterio de suficiencia formulado en términos de convicción, aunque sin reglas de tasación. Ferrer Beltrán (2021) cita el artículo 402 entre las disposiciones que remiten a la convicción del tribunal (pp. 29-30).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 (Congreso de Michoacán de Ocampo [CMO], 2008/2022, art. 547). Su artículo 545 ordena determinar el valor de la pericial atendiendo a la convicción que genere, y en el mismo artículo dispone que los avalúos harán prueba plena (CMO, 2008/2022, art. 545). El mismo código concede valor probatorio pleno a los instrumentos públicos y remite a la justicia del juez la apreciación de las presunciones humanas (CMO, 2008/2022, arts. 530, 553).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(2011) atribuye a la mayoría de los ordenamientos procesales mexicanos un sistema mixto con predominio de la prueba tasada (p. 29). Ferrer Beltrán (2007) interpreta la prueba legal como expresión de la desconfianza del legislador hacia el juez (pp. 61-62).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 (Primera Sala de la SCJN, 2015, tesis 1a. CCXVIII/2015 [10a.]).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 (Rodríguez Mondragón, 2025b, párr. 96, p. 92).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(1949/1968) definió ese error como la presentación de los hechos de un ámbito como si pertenecieran a un tipo lógico o categoría, cuando en realidad pertenecen a otro (p. 17). Su ejemplo más conocido es el del visitante que, después de conocer los colegios, las bibliotecas y los laboratorios de Oxford, pregunta dónde está la Universidad (Ryle, 1949/1968, pp. 17-18).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(1949/1968) advierte que los errores de categoría teóricamente relevantes los cometen personas competentes para aplicar los conceptos en situaciones familiares (p. 19).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 (Montoya Zamora, 2011, pp. 27-28).</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4</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(2021) define el estándar como la regla que determina el nivel de suficiencia probatoria para que una hipótesis pueda considerarse probada a los efectos de una decisión sobre los hechos (p. 109). El autor sostiene que, para la concepción racional de la prueba, la convicción del juzgador es irrelevante desde el punto de vista justificativo (Ferrer Beltrán, 2021, p. 112, nota 10).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 (CU, 1996/2025, art. 16, párr. 3).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(2021) atribuye a los estándares de prueba tres funciones (p. 109).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(2021), siguiendo a Gascón Abellán, distingue una dimensión heurística, que orienta al juez en la valoración, y una dimensión justificativa, que le proporciona los criterios del umbral de suficiencia (pp. 109-110).</w:t>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 (Ferrer Beltrán, 2021, p. 111).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 (Ferrer Beltrán, 2021, pp. 111-112).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 (Laudan, 2005, p. 95). Si cada juez utiliza sus propios criterios, no puede esperarse uniformidad ni justicia. Laudan (2005) llega a afirmar que una regla así no es un estándar de prueba, sino una excusa para condenar o absolver (p. 106).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 (Primera Sala de la SCJN, 2015, tesis 1a. CCXVIII/2015 [10a.]).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(2021) sostiene que la predeterminación del umbral mediante reglas que cumplan los requisitos metodológicos es una de las condiciones del debido proceso y del Estado de derecho (p. 112). Solo si las partes conocen el umbral pueden tomar decisiones racionales antes y durante el proceso. En el proceso civil, ese conocimiento permite decidir si conviene plantear una cuestión de hecho y calibrar la posibilidad de un acuerdo (Ferrer Beltrán, 2021, pp. 112-113).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 (Ferrer Beltrán, 2021, p. 114).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 (CU, 1996/2025, art. 8, párr. 1). La demanda debe ofrecer y aportar las pruebas, y no se toman en cuenta las ofrecidas fuera de los plazos legales, salvo las supervenientes (CU, 1996/2025, arts. 9, párr. 1, inc. f), y 16, párr. 4). Las periciales y las inspecciones solo pueden ordenarse cuando los plazos permitan su desahogo (CU, 1996/2025, art. 14, párr. 3). Buena parte del acervo está constituido por documentales públicas preexistentes, como las actas de las mesas directivas de casilla y las de los cómputos (CU, 1996/2025, art. 14, párr. 4, inc. a)).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(2021) sostiene que determinar cuánto riesgo de error es asumible que soporte cada parte es una cuestión política y no epistemológica (p. 24).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 (Laudan, 2005, p. 112). Ferrer Beltrán (2021) examina las propuestas que defienden fórmulas extremadamente vagas para que cada juzgador decida en el caso concreto la distribución del riesgo que estime adecuada (p. 26).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 (Ferrer Beltrán, 2021, p. 27). Ferrer Beltrán añade que, si la distribución se decide caso por caso, ese particularismo no es epistémico sino político-moral. Ese particularismo entrega la decisión a la arbitrariedad judicial o a una supuesta respuesta moral objetiva en cada caso (Ferrer Beltrán, 2021, p. 28).</w:t>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(2006) sostiene que el estándar de prueba se concibe mejor como un mecanismo para distribuir errores (p. 68).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(2006) denomina doctrina de distribución del error al conjunto formado por el estándar de prueba, la presunción de inocencia, el beneficio de la duda y la carga de la prueba de la acusación (p. 29). El autor sostiene que ninguno de esos principios está diseñado para reducir la probabilidad de error. Esos principios buscan que los errores que se produzcan sean predominantemente absoluciones falsas. En su artículo de 2005, Laudan (2005) distingue el núcleo duro de la epistemología jurídica, dedicado a reducir errores, del núcleo débil, dedicado a distribuirlos conforme a una decisión política (p. 97).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(2021) advierte que la doctrina mayoritaria, especialmente la anglosajona, ha puesto el acento únicamente en la función distributiva (p. 115, nota 15).</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(2021)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 (p. 112 y nota 10).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(2021) muestra que las cargas de la prueba y las presunciones, que distribuyen igualmente el riesgo, presuponen un umbral de suficiencia determinado (p. 114).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 (Ferrer Beltrán, 2021, pp. 29-35).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(2021) define el falso positivo como la declaración de probada de una hipótesis falsa y el falso negativo como la declaración de no probada de una hipótesis verdadera (p. 115). El autor distingue esos errores materiales de los errores inferenciales, que se producen cuando la decisión no está justificada por las pruebas disponibles. Laudan (2006) emplea para el proceso penal las expresiones hallazgo inculpatorio falso y hallazgo exculpatorio falso (p. 10).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(2006) ilustra esa preferencia con la razón atribuida a Blackstone, según la cual es preferible que diez culpables escapen a que sufra un inocente, y la traduce en una proporción socialmente aceptable entre ambos errores (pp. 68, 74). Ninguna elección del umbral es neutral respecto de esa proporción. Ferrer Beltrán (2021) advierte que ni siquiera la preponderancia de la prueba distribuye el riesgo de modo perfectamente simétrico, porque la carga de la prueba hace que pierda quien la soporta cuando ninguna hipótesis alcanza el umbral (pp. 142-143, nota 95).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(2021) sostiene que la epistemología puede ayudar a delinear un estándar que refleje el nivel de suficiencia decidido, pero no dice nada sobre cuál es el nivel adecuado (p. 24). Laudan (2005) coincide en que el epistemólogo no puede decir al sistema jurídico cómo distribuir los errores (p. 97). Según Ferrer Beltrán (2021), la farmacología exige más que la historia por el coste del error y no por razones epistemológicas (p. 24, nota 17).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(2021) muestra que elevar el umbral disminuye el número de condenas falsas, pero aumenta el de absoluciones falsas, y que el número total de errores puede incluso crecer (p. 117). Por ello aumentar la exigencia del estándar no es un mecanismo adecuado para reducir el número total de errores. El autor sostiene que el diseño procesal debe distinguir dos estrategias con instrumentos distintos (Ferrer Beltrán, 2021, pp. 121-122).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 (Ferrer Beltrán, 2021, p. 138). El peso probatorio es la riqueza del conjunto de elementos de juicio. Ese peso separa las hipótesis verdaderas de las falsas y reduce la zona en que ambas se confunden (Ferrer Beltrán, 2021, pp. 122-123).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 (Sala Superior del TEPJF, 2025, SUP-JIN-194/2025, párr. 51, p. 11).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 (CU, 1996/2025, art. 21, párr. 1).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 (CU, 1996/2025, art. 12, párr. 1).</w:t>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 (CU, 1996/2025, art. 15, párr. 2).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(2021) concluye que el debido proceso exige que el legislador determine, para cada tipo de casos, el umbral de suficiencia probatoria (p. 149).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(2021) sostiene que la epistemología puede ayudar a formular un estándar que refleje el nivel de suficiencia decidido, pero no indica cuál es el nivel adecuado (p. 24). En otras disciplinas ocurre lo mismo, pues la farmacología exige más que la historia por el coste del error (Ferrer Beltrán, 2021, p. 24, nota 17). En otro lugar el autor precisa que el umbral para considerar probada una hipótesis difiere entre la farmacología y la paleontología. La razón es que cada disciplina usa estándares diversos en función de la gravedad de los errores que se puedan producir (Ferrer Beltrán, 2021, p. 139). Antes había sostenido que las comunidades científicas fijan sus estándares según la proporción aceptable de errores positivos y negativos (Ferrer Beltrán, 2013, p. 34).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 (Laudan, 2005, p. 97). Si la altura del umbral depende de los costes del error, y esos costes varían según la decisión, el umbral debe variar. Una explicación posible de la relatividad es el contextualismo epistémico. Según Ferrer Beltrán (2021), esa teoría sostiene que la justificación de una creencia en la que basamos una decisión práctica depende de la importancia de lo que esté en juego (p. 140).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 (Ferrer Beltrán, 2021, pp. 141-142).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 (Ferrer Beltrán, 2021, p. 142).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 (Ferrer Beltrán, 2021, pp. 142-143).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 (Ferrer Beltrán, 2021, p. 139). El proyecto incorporado al voto particular del magistrado Rodríguez Mondragón (2025b) en el SUP-JIN-194/2025 reprodujo esta idea y la extendió expresamente al derecho electoral mexicano (párr. 91, p. 90).</w:t>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(2021) propone atender, en primer lugar, a la gravedad del error de la condena falsa (pp. 154-155).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 (Ferrer Beltrán, 2021, p. 156).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 (Ferrer Beltrán, 2021, p. 156, nota 132).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 (Ferrer Beltrán, 2021, p. 156).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 (Ferrer Beltrán (2021), 2021, p. 157).</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 (p. 158).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 (Ferrer Beltrán, 2021, pp. 158-159).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 (Ferrer Beltrán, 2021, p. 159).</w:t>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 (Ferrer Beltrán, 2021, p. 159, nota 139).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(2021) propone una lista abierta de seis razones y advierte que no ofrece resultados objetivos porque expresa preferencias políticas (p. 154). La segunda es el coste de las absoluciones falsas, como la minera absuelta por error de contaminar un acuífero (Ferrer Beltrán, 2021, pp. 160-161). La tercera son las dificultades probatorias, que pueden justificar un umbral menor para que la norma no sea inaplicable, como en la corrupción (Ferrer Beltrán, 2021, pp. 163-164). La cuarta es la incidencia de otras reglas que distribuyen el riesgo, como las cargas de la prueba y las presunciones (Ferrer Beltrán, 2021, pp. 166-167). La quinta es la distribución de poder entre las partes, que ya no coincide con la dicotomía entre proceso penal y civil (Ferrer Beltrán, 2021, pp. 168-169). La sexta es la etapa del proceso, pues el umbral debe ser más bajo cuanto más cerca se esté del inicio (Ferrer Beltrán, 2021, pp. 169-170).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 (Ferrer Beltrán, 2021, p. 166).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 (CU, 2014/2025, arts. 141, 316, fr. III). Para la sentencia condenatoria, el código exige la convicción de la culpabilidad más allá de toda duda razonable (CU, 2014/2025, arts. 359, 402).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 (CU, 1996/2025, art. 16, párr. 3).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 (Allen, 2013, p. 49). Según Pardo, la preponderancia reparte el riesgo de modo casi equitativo. Ese reparto resulta aceptable en la mayoría de los casos civiles, donde la igualdad entre las partes es una consideración procesal importante, pero no para los acusados en un caso penal (Pardo, 2013, p. 103).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 (Ferrer Beltrán, 2021, p. 163).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 (Sala Superior del TEPJF, 2025, SUP-JIN-194/2025, párr. 45, p. 9).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(2021) sostiene que la decisión sobre el reparto del riesgo responde al interés público y no puede quedar a disposición de las partes del caso concreto (p. 64).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 (Rodríguez Mondragón, 2025b, párr. 99, p. 93).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(2021) sostiene que el debido proceso exige que el legislador determine, para cada tipo de casos, el umbral de suficiencia probatoria, aunque no exige ninguno en particular (p. 149).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 (Laudan, 2006, p. 1). En el proceso civil, la consecuencia recae principalmente sobre el patrimonio o los derechos de las partes. Ferrer Beltrán (2021) advierte que incluso en ese proceso el reparto del riesgo responde a garantías de interés público y no puede quedar a disposición de las partes (p. 64).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 (Sala Superior del TEPJF, 2025, SUP-JIN-194/2025, párr. 45, p. 9).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 (CU, 1917/2026, art. 41, base V, apartado A).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 (Rodríguez Mondragón, 2025b, párr. 493, pp. 243-244). El proyecto recordó la contradicción SUP-CDC-2/2013, según la cual el proceso electoral renueva periódicamente los poderes y respeta la certeza y la definitividad (Rodríguez Mondragón, 2025b, párr. 478, p. 239).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 (CU, 1917/2026, art. 41, base VI, párr. primero). La ley de medios expresa esa segunda dimensión al disponer que las elecciones no impugnadas en tiempo y forma se consideran válidas, definitivas e inatacables (CU, 1996/2025, art. 72, párr. 1).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 (CU, 1917/2026, art. 35, fr. I). El artículo 41 dispone que la renovación de los poderes Legislativo y Ejecutivo se realice mediante elecciones libres, auténticas y periódicas (CU, 1917/2026, art. 41, párr. tercero).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 (Rodríguez Mondragón, 2025b, párrs. 481, 482 y nota 146, p. 241).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 (TEPJF, 1998, jurisprudencia 9/98).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 (CU, 1917/2026, art. 99, párr. cuarto, fr. IV).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 (CU, 1917/2026, art. 83). En caso de nulidad, la Constitución ordena convocar a una elección extraordinaria, en la que no podrá participar la persona sancionada (CU, 1917/2026, art. 41, base VI, último párr).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(2025a) sostuvo que, al validar la elección, la mayoría eligió priorizar una estabilidad institucional artificial sobre la integridad democrática (pp. 50-51).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(2006) llama doctrina de distribución del error al estándar, la presunción de inocencia, el beneficio de la duda y la carga de la acusación (p. 29).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 (CU, 2014/2025, arts. 359, 402). Ferrer Beltrán (2021) advierte que ese enfoque suele atender solo a las condenas falsas y desconocer que las absoluciones falsas son igualmente errores (p. 116).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 (CU, 1996/2025, art. 15, párr. 2). La Constitución exige que las violaciones graves, dolosas y determinantes se acrediten de manera objetiva y material (CU, 1917/2026, art. 41, base VI, párr. cuarto).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 (CU, 1996/2025, art. 16, párr. 3).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(2021) sostiene que el debido proceso exige que el legislador determine, para cada tipo de casos, el umbral de suficiencia probatoria, aunque no exige ninguno en particular (p. 149).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5</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 (CU, 1996/2025, art. 16, párrs. 1-3).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(2021) identifica cuatro requisitos metodológicos, que se presuponen aplicables a una regla general y abstracta (p. 29 y nota 1).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 (Ferrer Beltrán, 2021, p. 29).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 (Ferrer Beltrán, 2021, p. 30).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 (Ferrer Beltrán, 2021, p. 33).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 (Primera Sala de la SCJN, 2015, tesis 1a. CCXVIII/2015 [10a.]).</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 (Ferrer Beltrán, 2021, p. 33). Según Ferrer Beltrán (2021), la sana crítica no cumple el requisito, porque a lo sumo es un método y no un umbral (p. 34).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 (Ferrer Beltrán, 2021, p. 35).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 (Ferrer Beltrán, 2021, p. 29). Su fundamento no es una característica particular de la materia electoral, sino la naturaleza del razonamiento probatorio en general. Para Ferrer Beltrán (2021), en una concepción racional el umbral debe reflejar el carácter probabilístico y epistémico del razonamiento (p. 66).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 (Ferrer Beltrán, 2021, p. 66, nota 118). El autor descarta la probabilidad matemática, porque fuera de la estadística es arbitrario asignar números a hipótesis, testigos o documentos (Ferrer Beltrán, 2021, p. 88).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(2021) precisa que su teoría no depende de adoptar un modelo concreto de razonamiento, sino solo de reconocer su carácter probabilístico no matemático (p. 89). En el modelo que el autor expone, el grado de corroboración de una hipótesis depende de las predicciones verdaderas que permite formular. Ese grado depende igualmente de la improbabilidad de que otra hipótesis explique los mismos datos (Ferrer Beltrán, 2021, p. 99).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 (Sala Superior del TEPJF, 2025, SUP-JIN-194/2025, párr. 51, p. 11).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 (Ferrer Beltrán, 2021, p. 100). La sentencia no es la única decisión probatoria, pues antes se decide sobre medidas cautelares o la apertura del juicio. El grado de exigencia de esos estándares debe seguir una tendencia ascendente, de modo que las decisiones intermedias exijan menos que la final (Ferrer Beltrán, 2021, p. 102). El autor propone que el legislador determine primero la exigencia adecuada para la decisión final y ordene después, en progresiva disminución, los estándares de las decisiones intermedias (Ferrer Beltrán, 2021, p. 103).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 (CU, 1996/2025, art. 21 Bis, párrs. 1, 2).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(2021), los costes de la condena falsa dependen del tipo de condena y no de la jurisdicción (p. 156).</w:t>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 (CU, 1996/2025, arts. 71, párr. 1, y 75).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(2021) sostiene que los estándares distribuyen el riesgo del error entre las partes y que la concreta distribución depende del umbral que se establezca (p. 109). El debido proceso exige, según el autor, que el legislador fije el umbral y asigne el riesgo entre las partes (Ferrer Beltrán, 2021, p. 149).</w:t>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 (CU, 1996/2025, art. 15, párr. 2). La Constitución exige que las violaciones graves, dolosas y determinantes se acrediten de manera objetiva y material, y presume su carácter determinante cuando la diferencia entre el primero y el segundo lugar es menor al cinco por ciento (CU, 1917/2026, art. 41, base VI, párr. cuarto). Ferrer Beltrán (2021) advierte que, al fijar el umbral, deben considerarse simultáneamente la carga de la prueba, las presunciones y las demás reglas que distribuyen el riesgo (pp. 166-167).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(2005) advierte que un estándar intrínsecamente subjetivo no ofrece protección contra las decisiones arbitrarias, porque las pruebas que convencen a un juzgador pueden no persuadir a otro (p. 95). Tampoco bastaría sustituir la convicción por expresiones sin contenido psicológico, pero incapaces de fijar un umbral. Ferrer Beltrán (2021) muestra que fórmulas legales como motivos bastantes para creer o indicios racionales no cumplen los requisitos metodológicos, porque no establecen un umbral intersubjetivamente controlable (pp. 101-102).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(2021) sostiene que la ausencia de estándares legalmente previstos que determinen el umbral de suficiencia vulnera tanto el derecho al debido proceso como el derecho a la prueba (p. 65).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 (Ferrer Beltrán, 2021, pp. 208-209).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jc w:val="left"/>
      </w:pP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jc w:val="left"/>
      </w:pP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(2021) ordena de mayor a menor exigencia (pp. 209-210).</w:t>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 (Ferrer Beltrán, 2021, p. 225, nota).</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 (Ferrer Beltrán, 2021, p. 229).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 (Ferrer Beltrán, 2021, pp. 230-231). El peso probatorio debe distinguirse del valor probatorio, porque este último indica el grado de confirmación que las pruebas aportan a una hipótesis. La completitud es tendencial y se refiere a las pruebas relevantes accesibles, salvo inaccesibilidad imputable a las partes (Ferrer Beltrán, 2021, pp. 233-234).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 (Sala Superior del TEPJF, 2025, SUP-JIN-194/2025, párr. 55, pp. 11-12).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 (Sala Superior del TEPJF, 2025, SUP-JIN-194/2025, párr. 56, p. 12).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 (Ferrer Beltrán, 2021, p. 213).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(2021) precisa que una hipótesis alternativa solo puede tomarse en consideración si es ella misma contrastable, lo que excluye las hipótesis construidas para el caso (p. 225).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 (Ferrer Beltrán, 2021, p. 233). En la materia electoral, esta operación se vincula con la facultad del órgano de requerir a autoridades, partidos y particulares los elementos que puedan servir para resolver (CU, 1996/2025, art. 21, párr. 1).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(2021), una laguna probatoria causada por la parte beneficiada no debe impedir tener por satisfecho el estándar (p. 234).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 (Ferrer Beltrán, 2021, p. 103).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(2021) muestra que esas variaciones producen estándares distintos, porque modifican el umbral de suficiencia (pp. 229, 232).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(2021) explica que, cuando no se satisface la cláusula del peso probatorio, el caso se resuelve conforme a la carga de la prueba (pp. 231, 235). En el juicio de nulidad, la carga corresponde a quien afirma la irregularidad (CU, 1996/2025, art. 15, párr. 2).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 (CU, 1917/2026, art. 41, base VI, párr. cuarto). El estándar se aplicaría a la acreditación de la irregularidad y, fuera de ese supuesto, a su carácter determinante. Ferrer Beltrán (2021) advierte que las cargas y las presunciones deben considerarse simultáneamente al fijar el umbral, porque todas inciden en la distribución del riesgo (p. 167).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 (Sala Superior del TEPJF, 2025, SUP-JIN-194/2025, párr. 51, p. 11).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 (Rodríguez Mondragón (2025a), 2025b, párr. 129, nota 80, p. 100).</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 (p. 34).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 (CU, 1996/2025, art. 16, párr. 3). La jurisprudencia 38/2002 dispone, en el mismo sentido, que las notas periodísticas solo pueden arrojar indicios sobre los hechos a que se refieren (TEPJF, 2002, jurisprudencia 38/2002).</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 (Gascón Abellán, 2010, p. 139).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 (Sala Superior del TEPJF, 2025, SUP-JIN-194/2025, párr. 55, pp. 11-12).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 (Sala Superior del TEPJF, 2025, SUP-JIN-194/2025, párr. 56, p. 12). Gascón Abellán (2010) explica que el juicio de aceptabilidad de una hipótesis es un juicio sobre su confirmación y su no refutación (pp. 164-165). La autora añade que hipótesis rivales pueden resultar suficientemente fundadas. En esos casos es necesario justificar por qué una de ellas es más aceptable que la otra (Gascón Abellán, 2010, pp. 196-197).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(2021) sostiene que cualquier hipótesis debe integrar coherentemente los datos de partida, porque una hipótesis incoherente es siempre falsa (p. 213).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(2021) distingue el peso probatorio, que mide la completitud, del valor probatorio, que mide la confirmación (p. 231).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 (CU, 1996/2025, arts. 8, párr. 1, y 14, párr. 3). La objeción es seria, pero confunde la completitud exigida con una completitud ideal. Ferrer Beltrán (2021) precisa que la completitud es tendencial y se refiere a las pruebas relevantes accesibles, no a todas las pruebas imaginables (pp. 233-234). Las lagunas imputables a la parte beneficiada no impiden satisfacer el estándar. El órgano electoral dispone de la facultad de requerir documentación a autoridades, partidos y particulares, lo que permite reducir las lagunas sin cargar al actor con pruebas que no controla (CU, 1996/2025, art. 21, párr. 1).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(2021) reconoce ese problema en los estándares que solo exigen una mayor probabilidad relativa entre hipótesis (p. 229).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 (Rodríguez Mondragón, 2025b, párr. 127, pp. 100-101).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 (CU, 1996/2025, art. 14, párrs. 1, 2).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 (CU, 1996/2025).</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(2021) expresa esa diferencia al comparar los estándares con la nota mínima para aprobar un examen, que no afecta la libertad del profesor para valorar las respuestas (pp. 110-111).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color w:val="000000"/>
          <w:sz w:val="24"/>
          <w:szCs w:val="24"/>
        </w:rPr>
        <w:t xml:space="preserve">Referencias</w:t>
      </w:r>
      <w:bookmarkEnd w:id="826"/>
    </w:p>
    <w:p>
      <w:pPr>
        <w:spacing w:before="0" w:after="0" w:line="360" w:lineRule="auto"/>
        <w:jc w:val="left"/>
      </w:pPr>
    </w:p>
    <w:p>
      <w:pPr>
        <w:spacing w:before="0" w:after="0" w:line="360" w:lineRule="auto"/>
        <w:ind w:left="425" w:hanging="425"/>
        <w:jc w:val="left"/>
      </w:pPr>
      <w:r>
        <w:rPr>
          <w:rFonts w:ascii="Arial" w:eastAsia="Arial" w:hAnsi="Arial" w:cs="Arial"/>
          <w:color w:val="000000"/>
          <w:sz w:val="24"/>
          <w:szCs w:val="24"/>
        </w:rPr>
        <w:t xml:space="preserve">Allen, R. J. (2013). Los estándares de prueba y los límites del análisis jurídico. En C. Vázquez (Ed.), </w:t>
      </w:r>
      <w:r>
        <w:rPr>
          <w:rFonts w:ascii="Arial" w:eastAsia="Arial" w:hAnsi="Arial" w:cs="Arial"/>
          <w:i/>
          <w:iCs/>
          <w:color w:val="000000"/>
          <w:sz w:val="24"/>
          <w:szCs w:val="24"/>
        </w:rPr>
        <w:t xml:space="preserve">Estándares de prueba y prueba científica. Ensayos de epistemología jurídica</w:t>
      </w:r>
      <w:r>
        <w:rPr>
          <w:rFonts w:ascii="Arial" w:eastAsia="Arial" w:hAnsi="Arial" w:cs="Arial"/>
          <w:color w:val="000000"/>
          <w:sz w:val="24"/>
          <w:szCs w:val="24"/>
        </w:rPr>
        <w:t xml:space="preserve"> (pp. 41-64). Marcial Pons.</w:t>
      </w:r>
    </w:p>
    <w:p>
      <w:pPr>
        <w:spacing w:before="0" w:after="0" w:line="360" w:lineRule="auto"/>
        <w:ind w:left="425" w:hanging="425"/>
        <w:jc w:val="left"/>
      </w:pPr>
      <w:r>
        <w:rPr>
          <w:rFonts w:ascii="Arial" w:eastAsia="Arial" w:hAnsi="Arial" w:cs="Arial"/>
          <w:color w:val="000000"/>
          <w:sz w:val="24"/>
          <w:szCs w:val="24"/>
        </w:rPr>
        <w:t xml:space="preserve">Benfeld, J. (2013). Los orígenes del concepto de sana crítica. </w:t>
      </w:r>
      <w:r>
        <w:rPr>
          <w:rFonts w:ascii="Arial" w:eastAsia="Arial" w:hAnsi="Arial" w:cs="Arial"/>
          <w:i/>
          <w:iCs/>
          <w:color w:val="000000"/>
          <w:sz w:val="24"/>
          <w:szCs w:val="24"/>
        </w:rPr>
        <w:t xml:space="preserve">Revista de Estudios Histórico-Jurídicos</w:t>
      </w:r>
      <w:r>
        <w:rPr>
          <w:rFonts w:ascii="Arial" w:eastAsia="Arial" w:hAnsi="Arial" w:cs="Arial"/>
          <w:color w:val="000000"/>
          <w:sz w:val="24"/>
          <w:szCs w:val="24"/>
        </w:rPr>
        <w:t xml:space="preserve">, (35), 569-585.</w:t>
      </w:r>
    </w:p>
    <w:p>
      <w:pPr>
        <w:spacing w:before="0" w:after="0" w:line="360" w:lineRule="auto"/>
        <w:ind w:left="425" w:hanging="425"/>
        <w:jc w:val="left"/>
      </w:pPr>
      <w:r>
        <w:rPr>
          <w:rFonts w:ascii="Arial" w:eastAsia="Arial" w:hAnsi="Arial" w:cs="Arial"/>
          <w:color w:val="000000"/>
          <w:sz w:val="24"/>
          <w:szCs w:val="24"/>
        </w:rPr>
        <w:t xml:space="preserve">Carnelutti, F. (2018). </w:t>
      </w:r>
      <w:r>
        <w:rPr>
          <w:rFonts w:ascii="Arial" w:eastAsia="Arial" w:hAnsi="Arial" w:cs="Arial"/>
          <w:i/>
          <w:iCs/>
          <w:color w:val="000000"/>
          <w:sz w:val="24"/>
          <w:szCs w:val="24"/>
        </w:rPr>
        <w:t xml:space="preserve">La prueba civil</w:t>
      </w:r>
      <w:r>
        <w:rPr>
          <w:rFonts w:ascii="Arial" w:eastAsia="Arial" w:hAnsi="Arial" w:cs="Arial"/>
          <w:color w:val="000000"/>
          <w:sz w:val="24"/>
          <w:szCs w:val="24"/>
        </w:rPr>
        <w:t xml:space="preserve"> (N. Alcalá-Zamora y Castillo, Trad.). Ediciones Olejnik.</w:t>
      </w:r>
    </w:p>
    <w:p>
      <w:pPr>
        <w:spacing w:before="0" w:after="0" w:line="360" w:lineRule="auto"/>
        <w:ind w:left="425" w:hanging="425"/>
        <w:jc w:val="left"/>
      </w:pPr>
      <w:r>
        <w:rPr>
          <w:rFonts w:ascii="Arial" w:eastAsia="Arial" w:hAnsi="Arial" w:cs="Arial"/>
          <w:color w:val="000000"/>
          <w:sz w:val="24"/>
          <w:szCs w:val="24"/>
        </w:rPr>
        <w:t xml:space="preserve">Congreso de la Unión. (1917/2026). </w:t>
      </w:r>
      <w:r>
        <w:rPr>
          <w:rFonts w:ascii="Arial" w:eastAsia="Arial" w:hAnsi="Arial" w:cs="Arial"/>
          <w:i/>
          <w:iCs/>
          <w:color w:val="000000"/>
          <w:sz w:val="24"/>
          <w:szCs w:val="24"/>
        </w:rPr>
        <w:t xml:space="preserve">Constitución Política de los Estados Unidos Mexicanos</w:t>
      </w:r>
      <w:r>
        <w:rPr>
          <w:rFonts w:ascii="Arial" w:eastAsia="Arial" w:hAnsi="Arial" w:cs="Arial"/>
          <w:color w:val="000000"/>
          <w:sz w:val="24"/>
          <w:szCs w:val="24"/>
        </w:rPr>
        <w:t xml:space="preserve">. Diario Oficial de la Federación de 5 de febrero; reforma de 2 de junio.</w:t>
      </w:r>
    </w:p>
    <w:p>
      <w:pPr>
        <w:spacing w:before="0" w:after="0" w:line="360" w:lineRule="auto"/>
        <w:ind w:left="425" w:hanging="425"/>
        <w:jc w:val="left"/>
      </w:pPr>
      <w:r>
        <w:rPr>
          <w:rFonts w:ascii="Arial" w:eastAsia="Arial" w:hAnsi="Arial" w:cs="Arial"/>
          <w:color w:val="000000"/>
          <w:sz w:val="24"/>
          <w:szCs w:val="24"/>
        </w:rPr>
        <w:t xml:space="preserve">Congreso de la Unión. (1996/2025).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Diario Oficial de la Federación de 22 de noviembre; reforma de 14 de noviembre.</w:t>
      </w:r>
    </w:p>
    <w:p>
      <w:pPr>
        <w:spacing w:before="0" w:after="0" w:line="360" w:lineRule="auto"/>
        <w:ind w:left="425" w:hanging="425"/>
        <w:jc w:val="left"/>
      </w:pPr>
      <w:r>
        <w:rPr>
          <w:rFonts w:ascii="Arial" w:eastAsia="Arial" w:hAnsi="Arial" w:cs="Arial"/>
          <w:color w:val="000000"/>
          <w:sz w:val="24"/>
          <w:szCs w:val="24"/>
        </w:rPr>
        <w:t xml:space="preserve">Congreso de la Unión. (2014/2025).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Diario Oficial de la Federación de 5 de marzo; reforma de 28 de noviembre.</w:t>
      </w:r>
    </w:p>
    <w:p>
      <w:pPr>
        <w:spacing w:before="0" w:after="0" w:line="360" w:lineRule="auto"/>
        <w:ind w:left="425" w:hanging="425"/>
        <w:jc w:val="left"/>
      </w:pPr>
      <w:r>
        <w:rPr>
          <w:rFonts w:ascii="Arial" w:eastAsia="Arial" w:hAnsi="Arial" w:cs="Arial"/>
          <w:color w:val="000000"/>
          <w:sz w:val="24"/>
          <w:szCs w:val="24"/>
        </w:rPr>
        <w:t xml:space="preserve">Congreso de Michoacán de Ocampo. (2008/2022). </w:t>
      </w:r>
      <w:r>
        <w:rPr>
          <w:rFonts w:ascii="Arial" w:eastAsia="Arial" w:hAnsi="Arial" w:cs="Arial"/>
          <w:i/>
          <w:iCs/>
          <w:color w:val="000000"/>
          <w:sz w:val="24"/>
          <w:szCs w:val="24"/>
        </w:rPr>
        <w:t xml:space="preserve">Código de Procedimientos Civiles para el Estado de Michoacán de Ocampo</w:t>
      </w:r>
      <w:r>
        <w:rPr>
          <w:rFonts w:ascii="Arial" w:eastAsia="Arial" w:hAnsi="Arial" w:cs="Arial"/>
          <w:color w:val="000000"/>
          <w:sz w:val="24"/>
          <w:szCs w:val="24"/>
        </w:rPr>
        <w:t xml:space="preserve">. Periódico Oficial del Gobierno Constitucional del Estado de Michoacán de Ocampo, 6 de septiembre; reforma de 26 de septiembre.</w:t>
      </w:r>
    </w:p>
    <w:p>
      <w:pPr>
        <w:spacing w:before="0" w:after="0" w:line="360" w:lineRule="auto"/>
        <w:ind w:left="425" w:hanging="425"/>
        <w:jc w:val="left"/>
      </w:pPr>
      <w:r>
        <w:rPr>
          <w:rFonts w:ascii="Arial" w:eastAsia="Arial" w:hAnsi="Arial" w:cs="Arial"/>
          <w:color w:val="000000"/>
          <w:sz w:val="24"/>
          <w:szCs w:val="24"/>
        </w:rPr>
        <w:t xml:space="preserve">Cortés Coto, R. (2010). La prueba indiciaria. </w:t>
      </w:r>
      <w:r>
        <w:rPr>
          <w:rFonts w:ascii="Arial" w:eastAsia="Arial" w:hAnsi="Arial" w:cs="Arial"/>
          <w:i/>
          <w:iCs/>
          <w:color w:val="000000"/>
          <w:sz w:val="24"/>
          <w:szCs w:val="24"/>
        </w:rPr>
        <w:t xml:space="preserve">Revista Digital de la Maestría en Ciencias Penales</w:t>
      </w:r>
      <w:r>
        <w:rPr>
          <w:rFonts w:ascii="Arial" w:eastAsia="Arial" w:hAnsi="Arial" w:cs="Arial"/>
          <w:color w:val="000000"/>
          <w:sz w:val="24"/>
          <w:szCs w:val="24"/>
        </w:rPr>
        <w:t xml:space="preserve">, (2). Universidad de Costa Rica.</w:t>
      </w:r>
    </w:p>
    <w:p>
      <w:pPr>
        <w:spacing w:before="0" w:after="0" w:line="360" w:lineRule="auto"/>
        <w:ind w:left="425" w:hanging="425"/>
        <w:jc w:val="left"/>
      </w:pPr>
      <w:r>
        <w:rPr>
          <w:rFonts w:ascii="Arial" w:eastAsia="Arial" w:hAnsi="Arial" w:cs="Arial"/>
          <w:color w:val="000000"/>
          <w:sz w:val="24"/>
          <w:szCs w:val="24"/>
        </w:rPr>
        <w:t xml:space="preserve">Cossío Díaz, J. R. (2013). Voto particular en el amparo directo 78/2012. Primera Sala de la Suprema Corte de Justicia de la Nación.</w:t>
      </w:r>
    </w:p>
    <w:p>
      <w:pPr>
        <w:spacing w:before="0" w:after="0" w:line="360" w:lineRule="auto"/>
        <w:ind w:left="425" w:hanging="425"/>
        <w:jc w:val="left"/>
      </w:pPr>
      <w:r>
        <w:rPr>
          <w:rFonts w:ascii="Arial" w:eastAsia="Arial" w:hAnsi="Arial" w:cs="Arial"/>
          <w:color w:val="000000"/>
          <w:sz w:val="24"/>
          <w:szCs w:val="24"/>
        </w:rPr>
        <w:t xml:space="preserve">Devis Echandía, H. (s.f.). </w:t>
      </w:r>
      <w:r>
        <w:rPr>
          <w:rFonts w:ascii="Arial" w:eastAsia="Arial" w:hAnsi="Arial" w:cs="Arial"/>
          <w:i/>
          <w:iCs/>
          <w:color w:val="000000"/>
          <w:sz w:val="24"/>
          <w:szCs w:val="24"/>
        </w:rPr>
        <w:t xml:space="preserve">Nociones generales de derecho procesal civil</w:t>
      </w:r>
      <w:r>
        <w:rPr>
          <w:rFonts w:ascii="Arial" w:eastAsia="Arial" w:hAnsi="Arial" w:cs="Arial"/>
          <w:color w:val="000000"/>
          <w:sz w:val="24"/>
          <w:szCs w:val="24"/>
        </w:rPr>
        <w:t xml:space="preserve"> (pról. de J. Guasp). Aguilar.</w:t>
      </w:r>
    </w:p>
    <w:p>
      <w:pPr>
        <w:spacing w:before="0" w:after="0" w:line="360" w:lineRule="auto"/>
        <w:ind w:left="425" w:hanging="425"/>
        <w:jc w:val="left"/>
      </w:pPr>
      <w:r>
        <w:rPr>
          <w:rFonts w:ascii="Arial" w:eastAsia="Arial" w:hAnsi="Arial" w:cs="Arial"/>
          <w:color w:val="000000"/>
          <w:sz w:val="24"/>
          <w:szCs w:val="24"/>
        </w:rPr>
        <w:t xml:space="preserve">Ferrer Beltrán, J. (2007). </w:t>
      </w:r>
      <w:r>
        <w:rPr>
          <w:rFonts w:ascii="Arial" w:eastAsia="Arial" w:hAnsi="Arial" w:cs="Arial"/>
          <w:i/>
          <w:iCs/>
          <w:color w:val="000000"/>
          <w:sz w:val="24"/>
          <w:szCs w:val="24"/>
        </w:rPr>
        <w:t xml:space="preserve">La valoración racional de la prueba</w:t>
      </w:r>
      <w:r>
        <w:rPr>
          <w:rFonts w:ascii="Arial" w:eastAsia="Arial" w:hAnsi="Arial" w:cs="Arial"/>
          <w:color w:val="000000"/>
          <w:sz w:val="24"/>
          <w:szCs w:val="24"/>
        </w:rPr>
        <w:t xml:space="preserve">. Marcial Pons.</w:t>
      </w:r>
    </w:p>
    <w:p>
      <w:pPr>
        <w:spacing w:before="0" w:after="0" w:line="360" w:lineRule="auto"/>
        <w:ind w:left="425" w:hanging="425"/>
        <w:jc w:val="left"/>
      </w:pPr>
      <w:r>
        <w:rPr>
          <w:rFonts w:ascii="Arial" w:eastAsia="Arial" w:hAnsi="Arial" w:cs="Arial"/>
          <w:color w:val="000000"/>
          <w:sz w:val="24"/>
          <w:szCs w:val="24"/>
        </w:rPr>
        <w:t xml:space="preserve">Ferrer Beltrán, J. (2013). La prueba es libertad, pero no tanto. Una teoría de la prueba cuasibenthamiana. En C. Vázquez (Ed.), </w:t>
      </w:r>
      <w:r>
        <w:rPr>
          <w:rFonts w:ascii="Arial" w:eastAsia="Arial" w:hAnsi="Arial" w:cs="Arial"/>
          <w:i/>
          <w:iCs/>
          <w:color w:val="000000"/>
          <w:sz w:val="24"/>
          <w:szCs w:val="24"/>
        </w:rPr>
        <w:t xml:space="preserve">Estándares de prueba y prueba científica. Ensayos de epistemología jurídica</w:t>
      </w:r>
      <w:r>
        <w:rPr>
          <w:rFonts w:ascii="Arial" w:eastAsia="Arial" w:hAnsi="Arial" w:cs="Arial"/>
          <w:color w:val="000000"/>
          <w:sz w:val="24"/>
          <w:szCs w:val="24"/>
        </w:rPr>
        <w:t xml:space="preserve">. Marcial Pons.</w:t>
      </w:r>
    </w:p>
    <w:p>
      <w:pPr>
        <w:spacing w:before="0" w:after="0" w:line="360" w:lineRule="auto"/>
        <w:ind w:left="425" w:hanging="425"/>
        <w:jc w:val="left"/>
      </w:pPr>
      <w:r>
        <w:rPr>
          <w:rFonts w:ascii="Arial" w:eastAsia="Arial" w:hAnsi="Arial" w:cs="Arial"/>
          <w:color w:val="000000"/>
          <w:sz w:val="24"/>
          <w:szCs w:val="24"/>
        </w:rPr>
        <w:t xml:space="preserve">Ferrer Beltrán, J. (2021). </w:t>
      </w:r>
      <w:r>
        <w:rPr>
          <w:rFonts w:ascii="Arial" w:eastAsia="Arial" w:hAnsi="Arial" w:cs="Arial"/>
          <w:i/>
          <w:iCs/>
          <w:color w:val="000000"/>
          <w:sz w:val="24"/>
          <w:szCs w:val="24"/>
        </w:rPr>
        <w:t xml:space="preserve">Prueba sin convicción. Estándares de prueba y debido proceso</w:t>
      </w:r>
      <w:r>
        <w:rPr>
          <w:rFonts w:ascii="Arial" w:eastAsia="Arial" w:hAnsi="Arial" w:cs="Arial"/>
          <w:color w:val="000000"/>
          <w:sz w:val="24"/>
          <w:szCs w:val="24"/>
        </w:rPr>
        <w:t xml:space="preserve">. Marcial Pons.</w:t>
      </w:r>
    </w:p>
    <w:p>
      <w:pPr>
        <w:spacing w:before="0" w:after="0" w:line="360" w:lineRule="auto"/>
        <w:ind w:left="425" w:hanging="425"/>
        <w:jc w:val="left"/>
      </w:pPr>
      <w:r>
        <w:rPr>
          <w:rFonts w:ascii="Arial" w:eastAsia="Arial" w:hAnsi="Arial" w:cs="Arial"/>
          <w:color w:val="000000"/>
          <w:sz w:val="24"/>
          <w:szCs w:val="24"/>
        </w:rPr>
        <w:t xml:space="preserve">Fuentes Cerda, E., y Navarro Hidalgo, A. B. (2000). Voto particular en el SUP-JRC-487/2000 y acumulado. En Tribunal Electoral del Poder Judicial de la Federación (2001), </w:t>
      </w:r>
      <w:r>
        <w:rPr>
          <w:rFonts w:ascii="Arial" w:eastAsia="Arial" w:hAnsi="Arial" w:cs="Arial"/>
          <w:i/>
          <w:iCs/>
          <w:color w:val="000000"/>
          <w:sz w:val="24"/>
          <w:szCs w:val="24"/>
        </w:rPr>
        <w:t xml:space="preserve">Ejecución de sentencias en los juicios de revisión constitucional electoral. Caso Tabasco</w:t>
      </w:r>
      <w:r>
        <w:rPr>
          <w:rFonts w:ascii="Arial" w:eastAsia="Arial" w:hAnsi="Arial" w:cs="Arial"/>
          <w:color w:val="000000"/>
          <w:sz w:val="24"/>
          <w:szCs w:val="24"/>
        </w:rPr>
        <w:t xml:space="preserve"> (Colección Sentencias Relevantes, núm. 2, t. II). TEPJF.</w:t>
      </w:r>
    </w:p>
    <w:p>
      <w:pPr>
        <w:spacing w:before="0" w:after="0" w:line="360" w:lineRule="auto"/>
        <w:ind w:left="425" w:hanging="425"/>
        <w:jc w:val="left"/>
      </w:pPr>
      <w:r>
        <w:rPr>
          <w:rFonts w:ascii="Arial" w:eastAsia="Arial" w:hAnsi="Arial" w:cs="Arial"/>
          <w:color w:val="000000"/>
          <w:sz w:val="24"/>
          <w:szCs w:val="24"/>
        </w:rPr>
        <w:t xml:space="preserve">Galván Rivera, F. (2002). </w:t>
      </w:r>
      <w:r>
        <w:rPr>
          <w:rFonts w:ascii="Arial" w:eastAsia="Arial" w:hAnsi="Arial" w:cs="Arial"/>
          <w:i/>
          <w:iCs/>
          <w:color w:val="000000"/>
          <w:sz w:val="24"/>
          <w:szCs w:val="24"/>
        </w:rPr>
        <w:t xml:space="preserve">Derecho procesal electoral mexicano</w:t>
      </w:r>
      <w:r>
        <w:rPr>
          <w:rFonts w:ascii="Arial" w:eastAsia="Arial" w:hAnsi="Arial" w:cs="Arial"/>
          <w:color w:val="000000"/>
          <w:sz w:val="24"/>
          <w:szCs w:val="24"/>
        </w:rPr>
        <w:t xml:space="preserve">. Porrúa.</w:t>
      </w:r>
    </w:p>
    <w:p>
      <w:pPr>
        <w:spacing w:before="0" w:after="0" w:line="360" w:lineRule="auto"/>
        <w:ind w:left="425" w:hanging="425"/>
        <w:jc w:val="left"/>
      </w:pPr>
      <w:r>
        <w:rPr>
          <w:rFonts w:ascii="Arial" w:eastAsia="Arial" w:hAnsi="Arial" w:cs="Arial"/>
          <w:color w:val="000000"/>
          <w:sz w:val="24"/>
          <w:szCs w:val="24"/>
        </w:rPr>
        <w:t xml:space="preserve">Gascón Abellán, M. (2010). </w:t>
      </w:r>
      <w:r>
        <w:rPr>
          <w:rFonts w:ascii="Arial" w:eastAsia="Arial" w:hAnsi="Arial" w:cs="Arial"/>
          <w:i/>
          <w:iCs/>
          <w:color w:val="000000"/>
          <w:sz w:val="24"/>
          <w:szCs w:val="24"/>
        </w:rPr>
        <w:t xml:space="preserve">Los hechos en el derecho. Bases argumentales de la prueba</w:t>
      </w:r>
      <w:r>
        <w:rPr>
          <w:rFonts w:ascii="Arial" w:eastAsia="Arial" w:hAnsi="Arial" w:cs="Arial"/>
          <w:color w:val="000000"/>
          <w:sz w:val="24"/>
          <w:szCs w:val="24"/>
        </w:rPr>
        <w:t xml:space="preserve"> (3a. ed.). Marcial Pons.</w:t>
      </w:r>
    </w:p>
    <w:p>
      <w:pPr>
        <w:spacing w:before="0" w:after="0" w:line="360" w:lineRule="auto"/>
        <w:ind w:left="425" w:hanging="425"/>
        <w:jc w:val="left"/>
      </w:pPr>
      <w:r>
        <w:rPr>
          <w:rFonts w:ascii="Arial" w:eastAsia="Arial" w:hAnsi="Arial" w:cs="Arial"/>
          <w:color w:val="000000"/>
          <w:sz w:val="24"/>
          <w:szCs w:val="24"/>
        </w:rPr>
        <w:t xml:space="preserve">González Lagier, D. (2005). </w:t>
      </w:r>
      <w:r>
        <w:rPr>
          <w:rFonts w:ascii="Arial" w:eastAsia="Arial" w:hAnsi="Arial" w:cs="Arial"/>
          <w:i/>
          <w:iCs/>
          <w:color w:val="000000"/>
          <w:sz w:val="24"/>
          <w:szCs w:val="24"/>
        </w:rPr>
        <w:t xml:space="preserve">Quaestio facti. Ensayos sobre prueba, causalidad y acción</w:t>
      </w:r>
      <w:r>
        <w:rPr>
          <w:rFonts w:ascii="Arial" w:eastAsia="Arial" w:hAnsi="Arial" w:cs="Arial"/>
          <w:color w:val="000000"/>
          <w:sz w:val="24"/>
          <w:szCs w:val="24"/>
        </w:rPr>
        <w:t xml:space="preserve">. Palestra-Temis.</w:t>
      </w:r>
    </w:p>
    <w:p>
      <w:pPr>
        <w:spacing w:before="0" w:after="0" w:line="360" w:lineRule="auto"/>
        <w:ind w:left="425" w:hanging="425"/>
        <w:jc w:val="left"/>
      </w:pPr>
      <w:r>
        <w:rPr>
          <w:rFonts w:ascii="Arial" w:eastAsia="Arial" w:hAnsi="Arial" w:cs="Arial"/>
          <w:color w:val="000000"/>
          <w:sz w:val="24"/>
          <w:szCs w:val="24"/>
        </w:rPr>
        <w:t xml:space="preserve">Haack, S. (2013). El probabilismo jurídico. Una disensión epistemológica. En C. Vázquez (Ed.), </w:t>
      </w:r>
      <w:r>
        <w:rPr>
          <w:rFonts w:ascii="Arial" w:eastAsia="Arial" w:hAnsi="Arial" w:cs="Arial"/>
          <w:i/>
          <w:iCs/>
          <w:color w:val="000000"/>
          <w:sz w:val="24"/>
          <w:szCs w:val="24"/>
        </w:rPr>
        <w:t xml:space="preserve">Estándares de prueba y prueba científica. Ensayos de epistemología jurídica</w:t>
      </w:r>
      <w:r>
        <w:rPr>
          <w:rFonts w:ascii="Arial" w:eastAsia="Arial" w:hAnsi="Arial" w:cs="Arial"/>
          <w:color w:val="000000"/>
          <w:sz w:val="24"/>
          <w:szCs w:val="24"/>
        </w:rPr>
        <w:t xml:space="preserve">. Marcial Pons.</w:t>
      </w:r>
    </w:p>
    <w:p>
      <w:pPr>
        <w:spacing w:before="0" w:after="0" w:line="360" w:lineRule="auto"/>
        <w:ind w:left="425" w:hanging="425"/>
        <w:jc w:val="left"/>
      </w:pPr>
      <w:r>
        <w:rPr>
          <w:rFonts w:ascii="Arial" w:eastAsia="Arial" w:hAnsi="Arial" w:cs="Arial"/>
          <w:color w:val="000000"/>
          <w:sz w:val="24"/>
          <w:szCs w:val="24"/>
        </w:rPr>
        <w:t xml:space="preserve">Haack, S. (2015). </w:t>
      </w:r>
      <w:r>
        <w:rPr>
          <w:rFonts w:ascii="Arial" w:eastAsia="Arial" w:hAnsi="Arial" w:cs="Arial"/>
          <w:i/>
          <w:iCs/>
          <w:color w:val="000000"/>
          <w:sz w:val="24"/>
          <w:szCs w:val="24"/>
        </w:rPr>
        <w:t xml:space="preserve">Legalizzare l’epistemologia. Prova, probabilità e causa nel diritto</w:t>
      </w:r>
      <w:r>
        <w:rPr>
          <w:rFonts w:ascii="Arial" w:eastAsia="Arial" w:hAnsi="Arial" w:cs="Arial"/>
          <w:color w:val="000000"/>
          <w:sz w:val="24"/>
          <w:szCs w:val="24"/>
        </w:rPr>
        <w:t xml:space="preserve">. EGEA.</w:t>
      </w:r>
    </w:p>
    <w:p>
      <w:pPr>
        <w:spacing w:before="0" w:after="0" w:line="360" w:lineRule="auto"/>
        <w:ind w:left="425" w:hanging="425"/>
        <w:jc w:val="left"/>
      </w:pPr>
      <w:r>
        <w:rPr>
          <w:rFonts w:ascii="Arial" w:eastAsia="Arial" w:hAnsi="Arial" w:cs="Arial"/>
          <w:color w:val="000000"/>
          <w:sz w:val="24"/>
          <w:szCs w:val="24"/>
        </w:rPr>
        <w:t xml:space="preserve">Hart, H. L. A. (s.f.). </w:t>
      </w:r>
      <w:r>
        <w:rPr>
          <w:rFonts w:ascii="Arial" w:eastAsia="Arial" w:hAnsi="Arial" w:cs="Arial"/>
          <w:i/>
          <w:iCs/>
          <w:color w:val="000000"/>
          <w:sz w:val="24"/>
          <w:szCs w:val="24"/>
        </w:rPr>
        <w:t xml:space="preserve">El concepto de derecho</w:t>
      </w:r>
      <w:r>
        <w:rPr>
          <w:rFonts w:ascii="Arial" w:eastAsia="Arial" w:hAnsi="Arial" w:cs="Arial"/>
          <w:color w:val="000000"/>
          <w:sz w:val="24"/>
          <w:szCs w:val="24"/>
        </w:rPr>
        <w:t xml:space="preserve"> (G. R. Carrió, Trad.). Abeledo-Perrot.</w:t>
      </w:r>
    </w:p>
    <w:p>
      <w:pPr>
        <w:spacing w:before="0" w:after="0" w:line="360" w:lineRule="auto"/>
        <w:ind w:left="425" w:hanging="425"/>
        <w:jc w:val="left"/>
      </w:pPr>
      <w:r>
        <w:rPr>
          <w:rFonts w:ascii="Arial" w:eastAsia="Arial" w:hAnsi="Arial" w:cs="Arial"/>
          <w:color w:val="000000"/>
          <w:sz w:val="24"/>
          <w:szCs w:val="24"/>
        </w:rPr>
        <w:t xml:space="preserve">Igartua Salaverría, J. (2021). </w:t>
      </w:r>
      <w:r>
        <w:rPr>
          <w:rFonts w:ascii="Arial" w:eastAsia="Arial" w:hAnsi="Arial" w:cs="Arial"/>
          <w:i/>
          <w:iCs/>
          <w:color w:val="000000"/>
          <w:sz w:val="24"/>
          <w:szCs w:val="24"/>
        </w:rPr>
        <w:t xml:space="preserve">Indicios, duda razonable, prueba científica. Perspectivas sobre la prueba en el proceso penal</w:t>
      </w:r>
      <w:r>
        <w:rPr>
          <w:rFonts w:ascii="Arial" w:eastAsia="Arial" w:hAnsi="Arial" w:cs="Arial"/>
          <w:color w:val="000000"/>
          <w:sz w:val="24"/>
          <w:szCs w:val="24"/>
        </w:rPr>
        <w:t xml:space="preserve">. Tirant lo Blanch.</w:t>
      </w:r>
    </w:p>
    <w:p>
      <w:pPr>
        <w:spacing w:before="0" w:after="0" w:line="360" w:lineRule="auto"/>
        <w:ind w:left="425" w:hanging="425"/>
        <w:jc w:val="left"/>
      </w:pPr>
      <w:r>
        <w:rPr>
          <w:rFonts w:ascii="Arial" w:eastAsia="Arial" w:hAnsi="Arial" w:cs="Arial"/>
          <w:color w:val="000000"/>
          <w:sz w:val="24"/>
          <w:szCs w:val="24"/>
        </w:rPr>
        <w:t xml:space="preserve">Laudan, L. (2005). Por qué un estándar de prueba subjetivo y ambiguo no es un estándar. </w:t>
      </w:r>
      <w:r>
        <w:rPr>
          <w:rFonts w:ascii="Arial" w:eastAsia="Arial" w:hAnsi="Arial" w:cs="Arial"/>
          <w:i/>
          <w:iCs/>
          <w:color w:val="000000"/>
          <w:sz w:val="24"/>
          <w:szCs w:val="24"/>
        </w:rPr>
        <w:t xml:space="preserve">Doxa. Cuadernos de Filosofía del Derecho</w:t>
      </w:r>
      <w:r>
        <w:rPr>
          <w:rFonts w:ascii="Arial" w:eastAsia="Arial" w:hAnsi="Arial" w:cs="Arial"/>
          <w:color w:val="000000"/>
          <w:sz w:val="24"/>
          <w:szCs w:val="24"/>
        </w:rPr>
        <w:t xml:space="preserve">, (28), 95-113.</w:t>
      </w:r>
    </w:p>
    <w:p>
      <w:pPr>
        <w:spacing w:before="0" w:after="0" w:line="360" w:lineRule="auto"/>
        <w:ind w:left="425" w:hanging="425"/>
        <w:jc w:val="left"/>
      </w:pPr>
      <w:r>
        <w:rPr>
          <w:rFonts w:ascii="Arial" w:eastAsia="Arial" w:hAnsi="Arial" w:cs="Arial"/>
          <w:color w:val="000000"/>
          <w:sz w:val="24"/>
          <w:szCs w:val="24"/>
        </w:rPr>
        <w:t xml:space="preserve">Laudan, L. (2006).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University Press.</w:t>
      </w:r>
    </w:p>
    <w:p>
      <w:pPr>
        <w:spacing w:before="0" w:after="0" w:line="360" w:lineRule="auto"/>
        <w:ind w:left="425" w:hanging="425"/>
        <w:jc w:val="left"/>
      </w:pPr>
      <w:r>
        <w:rPr>
          <w:rFonts w:ascii="Arial" w:eastAsia="Arial" w:hAnsi="Arial" w:cs="Arial"/>
          <w:color w:val="000000"/>
          <w:sz w:val="24"/>
          <w:szCs w:val="24"/>
        </w:rPr>
        <w:t xml:space="preserve">Laudan, L. (2013). La elemental aritmética epistémica del derecho II. Los inapropiados recursos de la teoría moral para abordar el derecho penal. En C. Vázquez (Ed.), </w:t>
      </w:r>
      <w:r>
        <w:rPr>
          <w:rFonts w:ascii="Arial" w:eastAsia="Arial" w:hAnsi="Arial" w:cs="Arial"/>
          <w:i/>
          <w:iCs/>
          <w:color w:val="000000"/>
          <w:sz w:val="24"/>
          <w:szCs w:val="24"/>
        </w:rPr>
        <w:t xml:space="preserve">Estándares de prueba y prueba científica. Ensayos de epistemología jurídica</w:t>
      </w:r>
      <w:r>
        <w:rPr>
          <w:rFonts w:ascii="Arial" w:eastAsia="Arial" w:hAnsi="Arial" w:cs="Arial"/>
          <w:color w:val="000000"/>
          <w:sz w:val="24"/>
          <w:szCs w:val="24"/>
        </w:rPr>
        <w:t xml:space="preserve">. Marcial Pons.</w:t>
      </w:r>
    </w:p>
    <w:p>
      <w:pPr>
        <w:spacing w:before="0" w:after="0" w:line="360" w:lineRule="auto"/>
        <w:ind w:left="425" w:hanging="425"/>
        <w:jc w:val="left"/>
      </w:pPr>
      <w:r>
        <w:rPr>
          <w:rFonts w:ascii="Arial" w:eastAsia="Arial" w:hAnsi="Arial" w:cs="Arial"/>
          <w:color w:val="000000"/>
          <w:sz w:val="24"/>
          <w:szCs w:val="24"/>
        </w:rPr>
        <w:t xml:space="preserve">Martínez-Garza, J. C. (2025). La duda razonable como estándar de prueba en el proceso penal. Fundamentos, alcances y límites. </w:t>
      </w:r>
      <w:r>
        <w:rPr>
          <w:rFonts w:ascii="Arial" w:eastAsia="Arial" w:hAnsi="Arial" w:cs="Arial"/>
          <w:i/>
          <w:iCs/>
          <w:color w:val="000000"/>
          <w:sz w:val="24"/>
          <w:szCs w:val="24"/>
        </w:rPr>
        <w:t xml:space="preserve">Revista Penal México</w:t>
      </w:r>
      <w:r>
        <w:rPr>
          <w:rFonts w:ascii="Arial" w:eastAsia="Arial" w:hAnsi="Arial" w:cs="Arial"/>
          <w:color w:val="000000"/>
          <w:sz w:val="24"/>
          <w:szCs w:val="24"/>
        </w:rPr>
        <w:t xml:space="preserve">, (27).</w:t>
      </w:r>
    </w:p>
    <w:p>
      <w:pPr>
        <w:spacing w:before="0" w:after="0" w:line="360" w:lineRule="auto"/>
        <w:ind w:left="425" w:hanging="425"/>
        <w:jc w:val="left"/>
      </w:pPr>
      <w:r>
        <w:rPr>
          <w:rFonts w:ascii="Arial" w:eastAsia="Arial" w:hAnsi="Arial" w:cs="Arial"/>
          <w:color w:val="000000"/>
          <w:sz w:val="24"/>
          <w:szCs w:val="24"/>
        </w:rPr>
        <w:t xml:space="preserve">Mittermaier, C. J. A. (1857). </w:t>
      </w:r>
      <w:r>
        <w:rPr>
          <w:rFonts w:ascii="Arial" w:eastAsia="Arial" w:hAnsi="Arial" w:cs="Arial"/>
          <w:i/>
          <w:iCs/>
          <w:color w:val="000000"/>
          <w:sz w:val="24"/>
          <w:szCs w:val="24"/>
        </w:rPr>
        <w:t xml:space="preserve">Tratado de la prueba en materia criminal</w:t>
      </w:r>
      <w:r>
        <w:rPr>
          <w:rFonts w:ascii="Arial" w:eastAsia="Arial" w:hAnsi="Arial" w:cs="Arial"/>
          <w:color w:val="000000"/>
          <w:sz w:val="24"/>
          <w:szCs w:val="24"/>
        </w:rPr>
        <w:t xml:space="preserve"> (2a. ed.). Imprenta de la Revista de Legislación.</w:t>
      </w:r>
    </w:p>
    <w:p>
      <w:pPr>
        <w:spacing w:before="0" w:after="0" w:line="360" w:lineRule="auto"/>
        <w:ind w:left="425" w:hanging="425"/>
        <w:jc w:val="left"/>
      </w:pPr>
      <w:r>
        <w:rPr>
          <w:rFonts w:ascii="Arial" w:eastAsia="Arial" w:hAnsi="Arial" w:cs="Arial"/>
          <w:color w:val="000000"/>
          <w:sz w:val="24"/>
          <w:szCs w:val="24"/>
        </w:rPr>
        <w:t xml:space="preserve">Montoya Zamora, R. (2011). Las reglas de la lógica en la valoración de las pruebas en materia electoral federal.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1</w:t>
      </w:r>
      <w:r>
        <w:rPr>
          <w:rFonts w:ascii="Arial" w:eastAsia="Arial" w:hAnsi="Arial" w:cs="Arial"/>
          <w:color w:val="000000"/>
          <w:sz w:val="24"/>
          <w:szCs w:val="24"/>
        </w:rPr>
        <w:t xml:space="preserve">(8), 23-54.</w:t>
      </w:r>
    </w:p>
    <w:p>
      <w:pPr>
        <w:spacing w:before="0" w:after="0" w:line="360" w:lineRule="auto"/>
        <w:ind w:left="425" w:hanging="425"/>
        <w:jc w:val="left"/>
      </w:pPr>
      <w:r>
        <w:rPr>
          <w:rFonts w:ascii="Arial" w:eastAsia="Arial" w:hAnsi="Arial" w:cs="Arial"/>
          <w:color w:val="000000"/>
          <w:sz w:val="24"/>
          <w:szCs w:val="24"/>
        </w:rPr>
        <w:t xml:space="preserve">Navarro Hidalgo, A. B., de la Peza, J. L., y Fuentes Cerda, E. (2003). Voto particular en el SUP-JRC-221/2003 y acumulados. Sala Superior del Tribunal Electoral del Poder Judicial de la Federación.</w:t>
      </w:r>
    </w:p>
    <w:p>
      <w:pPr>
        <w:spacing w:before="0" w:after="0" w:line="360" w:lineRule="auto"/>
        <w:ind w:left="425" w:hanging="425"/>
        <w:jc w:val="left"/>
      </w:pPr>
      <w:r>
        <w:rPr>
          <w:rFonts w:ascii="Arial" w:eastAsia="Arial" w:hAnsi="Arial" w:cs="Arial"/>
          <w:color w:val="000000"/>
          <w:sz w:val="24"/>
          <w:szCs w:val="24"/>
        </w:rPr>
        <w:t xml:space="preserve">Nieva-Fenoll, J. (2020). Carga de la prueba y estándares de prueba. Dos reminiscencias del pasado. </w:t>
      </w:r>
      <w:r>
        <w:rPr>
          <w:rFonts w:ascii="Arial" w:eastAsia="Arial" w:hAnsi="Arial" w:cs="Arial"/>
          <w:i/>
          <w:iCs/>
          <w:color w:val="000000"/>
          <w:sz w:val="24"/>
          <w:szCs w:val="24"/>
        </w:rPr>
        <w:t xml:space="preserve">Estudios de Derecho</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77</w:t>
      </w:r>
      <w:r>
        <w:rPr>
          <w:rFonts w:ascii="Arial" w:eastAsia="Arial" w:hAnsi="Arial" w:cs="Arial"/>
          <w:color w:val="000000"/>
          <w:sz w:val="24"/>
          <w:szCs w:val="24"/>
        </w:rPr>
        <w:t xml:space="preserve">(170).</w:t>
      </w:r>
    </w:p>
    <w:p>
      <w:pPr>
        <w:spacing w:before="0" w:after="0" w:line="360" w:lineRule="auto"/>
        <w:ind w:left="425" w:hanging="425"/>
        <w:jc w:val="left"/>
      </w:pPr>
      <w:r>
        <w:rPr>
          <w:rFonts w:ascii="Arial" w:eastAsia="Arial" w:hAnsi="Arial" w:cs="Arial"/>
          <w:color w:val="000000"/>
          <w:sz w:val="24"/>
          <w:szCs w:val="24"/>
        </w:rPr>
        <w:t xml:space="preserve">Olaiz González, J. (2018). Estudio de la sentencia SUP-JIN-359/2012. Sobre la necesidad de una doctrina sobre invalidez por determinancia en el sistema electoral. </w:t>
      </w:r>
      <w:r>
        <w:rPr>
          <w:rFonts w:ascii="Arial" w:eastAsia="Arial" w:hAnsi="Arial" w:cs="Arial"/>
          <w:i/>
          <w:iCs/>
          <w:color w:val="000000"/>
          <w:sz w:val="24"/>
          <w:szCs w:val="24"/>
        </w:rPr>
        <w:t xml:space="preserve">Revista Mexicana de Derecho Electoral</w:t>
      </w:r>
      <w:r>
        <w:rPr>
          <w:rFonts w:ascii="Arial" w:eastAsia="Arial" w:hAnsi="Arial" w:cs="Arial"/>
          <w:color w:val="000000"/>
          <w:sz w:val="24"/>
          <w:szCs w:val="24"/>
        </w:rPr>
        <w:t xml:space="preserve">, (13-14).</w:t>
      </w:r>
    </w:p>
    <w:p>
      <w:pPr>
        <w:spacing w:before="0" w:after="0" w:line="360" w:lineRule="auto"/>
        <w:ind w:left="425" w:hanging="425"/>
        <w:jc w:val="left"/>
      </w:pPr>
      <w:r>
        <w:rPr>
          <w:rFonts w:ascii="Arial" w:eastAsia="Arial" w:hAnsi="Arial" w:cs="Arial"/>
          <w:color w:val="000000"/>
          <w:sz w:val="24"/>
          <w:szCs w:val="24"/>
        </w:rPr>
        <w:t xml:space="preserve">Otálora Malassis, J. M. (2025). Voto particular en el SUP-JIN-194/2025 y acumulados. Sala Superior del Tribunal Electoral del Poder Judicial de la Federación.</w:t>
      </w:r>
    </w:p>
    <w:p>
      <w:pPr>
        <w:spacing w:before="0" w:after="0" w:line="360" w:lineRule="auto"/>
        <w:ind w:left="425" w:hanging="425"/>
        <w:jc w:val="left"/>
      </w:pPr>
      <w:r>
        <w:rPr>
          <w:rFonts w:ascii="Arial" w:eastAsia="Arial" w:hAnsi="Arial" w:cs="Arial"/>
          <w:color w:val="000000"/>
          <w:sz w:val="24"/>
          <w:szCs w:val="24"/>
        </w:rPr>
        <w:t xml:space="preserve">Pardo, M. S. (2013). Estándares de prueba y teoría de la prueba. En C. Vázquez (Ed.), </w:t>
      </w:r>
      <w:r>
        <w:rPr>
          <w:rFonts w:ascii="Arial" w:eastAsia="Arial" w:hAnsi="Arial" w:cs="Arial"/>
          <w:i/>
          <w:iCs/>
          <w:color w:val="000000"/>
          <w:sz w:val="24"/>
          <w:szCs w:val="24"/>
        </w:rPr>
        <w:t xml:space="preserve">Estándares de prueba y prueba científica. Ensayos de epistemología jurídica</w:t>
      </w:r>
      <w:r>
        <w:rPr>
          <w:rFonts w:ascii="Arial" w:eastAsia="Arial" w:hAnsi="Arial" w:cs="Arial"/>
          <w:color w:val="000000"/>
          <w:sz w:val="24"/>
          <w:szCs w:val="24"/>
        </w:rPr>
        <w:t xml:space="preserve"> (pp. 99-118). Marcial Pons.</w:t>
      </w:r>
    </w:p>
    <w:p>
      <w:pPr>
        <w:spacing w:before="0" w:after="0" w:line="360" w:lineRule="auto"/>
        <w:ind w:left="425" w:hanging="425"/>
        <w:jc w:val="left"/>
      </w:pPr>
      <w:r>
        <w:rPr>
          <w:rFonts w:ascii="Arial" w:eastAsia="Arial" w:hAnsi="Arial" w:cs="Arial"/>
          <w:color w:val="000000"/>
          <w:sz w:val="24"/>
          <w:szCs w:val="24"/>
        </w:rPr>
        <w:t xml:space="preserve">Primer Tribunal Colegiado en Materia Penal del Segundo Circuito. (2022). Tesis II.1o.P.1 P (11a.). </w:t>
      </w:r>
      <w:r>
        <w:rPr>
          <w:rFonts w:ascii="Arial" w:eastAsia="Arial" w:hAnsi="Arial" w:cs="Arial"/>
          <w:i/>
          <w:iCs/>
          <w:color w:val="000000"/>
          <w:sz w:val="24"/>
          <w:szCs w:val="24"/>
        </w:rPr>
        <w:t xml:space="preserve">Gaceta del Semanario Judicial de la Federación</w:t>
      </w:r>
      <w:r>
        <w:rPr>
          <w:rFonts w:ascii="Arial" w:eastAsia="Arial" w:hAnsi="Arial" w:cs="Arial"/>
          <w:color w:val="000000"/>
          <w:sz w:val="24"/>
          <w:szCs w:val="24"/>
        </w:rPr>
        <w:t xml:space="preserve">. Libro 14, junio de 2022, Tomo VII, p. 6278. Registro digital 2024878.</w:t>
      </w:r>
    </w:p>
    <w:p>
      <w:pPr>
        <w:spacing w:before="0" w:after="0" w:line="360" w:lineRule="auto"/>
        <w:ind w:left="425" w:hanging="425"/>
        <w:jc w:val="left"/>
      </w:pPr>
      <w:r>
        <w:rPr>
          <w:rFonts w:ascii="Arial" w:eastAsia="Arial" w:hAnsi="Arial" w:cs="Arial"/>
          <w:color w:val="000000"/>
          <w:sz w:val="24"/>
          <w:szCs w:val="24"/>
        </w:rPr>
        <w:t xml:space="preserve">Rodarte Nava, S., et al. (2011). El problema de la determinancia cuantitativa y una propuesta de solución parcial.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1</w:t>
      </w:r>
      <w:r>
        <w:rPr>
          <w:rFonts w:ascii="Arial" w:eastAsia="Arial" w:hAnsi="Arial" w:cs="Arial"/>
          <w:color w:val="000000"/>
          <w:sz w:val="24"/>
          <w:szCs w:val="24"/>
        </w:rPr>
        <w:t xml:space="preserve">(7), 311-332.</w:t>
      </w:r>
    </w:p>
    <w:p>
      <w:pPr>
        <w:spacing w:before="0" w:after="0" w:line="360" w:lineRule="auto"/>
        <w:ind w:left="425" w:hanging="425"/>
        <w:jc w:val="left"/>
      </w:pPr>
      <w:r>
        <w:rPr>
          <w:rFonts w:ascii="Arial" w:eastAsia="Arial" w:hAnsi="Arial" w:cs="Arial"/>
          <w:color w:val="000000"/>
          <w:sz w:val="24"/>
          <w:szCs w:val="24"/>
        </w:rPr>
        <w:t xml:space="preserve">Rodríguez Mondragón, R. (2018). Voto razonado en el SUP-REC-1388/2018. Sala Superior del Tribunal Electoral del Poder Judicial de la Federación.</w:t>
      </w:r>
    </w:p>
    <w:p>
      <w:pPr>
        <w:spacing w:before="0" w:after="0" w:line="360" w:lineRule="auto"/>
        <w:ind w:left="425" w:hanging="425"/>
        <w:jc w:val="left"/>
      </w:pPr>
      <w:r>
        <w:rPr>
          <w:rFonts w:ascii="Arial" w:eastAsia="Arial" w:hAnsi="Arial" w:cs="Arial"/>
          <w:color w:val="000000"/>
          <w:sz w:val="24"/>
          <w:szCs w:val="24"/>
        </w:rPr>
        <w:t xml:space="preserve">Rodríguez Mondragón, R. (2025a). Voto particular en el SUP-JIN-194/2025 y acumulados. Sala Superior del Tribunal Electoral del Poder Judicial de la Federación.</w:t>
      </w:r>
    </w:p>
    <w:p>
      <w:pPr>
        <w:spacing w:before="0" w:after="0" w:line="360" w:lineRule="auto"/>
        <w:ind w:left="425" w:hanging="425"/>
        <w:jc w:val="left"/>
      </w:pPr>
      <w:r>
        <w:rPr>
          <w:rFonts w:ascii="Arial" w:eastAsia="Arial" w:hAnsi="Arial" w:cs="Arial"/>
          <w:color w:val="000000"/>
          <w:sz w:val="24"/>
          <w:szCs w:val="24"/>
        </w:rPr>
        <w:t xml:space="preserve">Rodríguez Mondragón, R. (2025b). Proyecto de sentencia en el SUP-JIN-194/2025 y acumulados, reproducido en su voto particular. Sala Superior del Tribunal Electoral del Poder Judicial de la Federación.</w:t>
      </w:r>
    </w:p>
    <w:p>
      <w:pPr>
        <w:spacing w:before="0" w:after="0" w:line="360" w:lineRule="auto"/>
        <w:ind w:left="425" w:hanging="425"/>
        <w:jc w:val="left"/>
      </w:pPr>
      <w:r>
        <w:rPr>
          <w:rFonts w:ascii="Arial" w:eastAsia="Arial" w:hAnsi="Arial" w:cs="Arial"/>
          <w:color w:val="000000"/>
          <w:sz w:val="24"/>
          <w:szCs w:val="24"/>
        </w:rPr>
        <w:t xml:space="preserve">Ryle, G. (1968).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Penguin Books. (Reimpresión de la edición de 1963; trabajo original publicado en 1949 por Hutchinson).</w:t>
      </w:r>
    </w:p>
    <w:p>
      <w:pPr>
        <w:spacing w:before="0" w:after="0" w:line="360" w:lineRule="auto"/>
        <w:ind w:left="425" w:hanging="425"/>
        <w:jc w:val="left"/>
      </w:pPr>
      <w:r>
        <w:rPr>
          <w:rFonts w:ascii="Arial" w:eastAsia="Arial" w:hAnsi="Arial" w:cs="Arial"/>
          <w:color w:val="000000"/>
          <w:sz w:val="24"/>
          <w:szCs w:val="24"/>
        </w:rPr>
        <w:t xml:space="preserve">Sala Regional Especializada del Tribunal Electoral del Poder Judicial de la Federación. (2024). SRE-PSC-236/2024.</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(2000). SUP-JRC-487/2000 y acumulado SUP-JRC-489/2000 (sentencia de 29 de diciembre de 2000). En Tribunal Electoral del Poder Judicial de la Federación (2001), </w:t>
      </w:r>
      <w:r>
        <w:rPr>
          <w:rFonts w:ascii="Arial" w:eastAsia="Arial" w:hAnsi="Arial" w:cs="Arial"/>
          <w:i/>
          <w:iCs/>
          <w:color w:val="000000"/>
          <w:sz w:val="24"/>
          <w:szCs w:val="24"/>
        </w:rPr>
        <w:t xml:space="preserve">Ejecución de sentencias en los juicios de revisión constitucional electoral. Caso Tabasco</w:t>
      </w:r>
      <w:r>
        <w:rPr>
          <w:rFonts w:ascii="Arial" w:eastAsia="Arial" w:hAnsi="Arial" w:cs="Arial"/>
          <w:color w:val="000000"/>
          <w:sz w:val="24"/>
          <w:szCs w:val="24"/>
        </w:rPr>
        <w:t xml:space="preserve"> (Colección Sentencias Relevantes, núm. 2, t. I). TEPJF.</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(2001). SUP-JRC-170/2001 (sentencia de 6 de septiembre de 2001).</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(2001). SUP-JRC-349/2001 y acumulado (sentencia de 30 de diciembre de 2001).</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(2002). SUP-JRC-024/2002 (sentencia de 30 de enero de 2002).</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(2003). SUP-JRC-221/2003 y acumulados (sentencia de 29 de octubre de 2003).</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(2006). SUP-JIN-212/2006 (sentencia de 28 de agosto de 2006).</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(2007). SUP-JRC-604/2007 (sentencia de 23 de diciembre de 2007).</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(2010). SUP-JRC-273/2010 y acumulados (sentencia de 12 de septiembre de 2010).</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(2010). SUP-RAP-33/2010 (sentencia de 6 de mayo de 2010).</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(2018). SUP-CDC-2/2017 (sentencia de 7 de febrero de 2018).</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(2018). SUP-REC-1388/2018 (sentencia de 30 de septiembre de 2018).</w:t>
      </w:r>
    </w:p>
    <w:p>
      <w:pPr>
        <w:spacing w:before="0" w:after="0" w:line="360" w:lineRule="auto"/>
        <w:ind w:left="425" w:hanging="425"/>
        <w:jc w:val="left"/>
      </w:pPr>
      <w:r>
        <w:rPr>
          <w:rFonts w:ascii="Arial" w:eastAsia="Arial" w:hAnsi="Arial" w:cs="Arial"/>
          <w:color w:val="000000"/>
          <w:sz w:val="24"/>
          <w:szCs w:val="24"/>
        </w:rPr>
        <w:t xml:space="preserve">Sala Superior del Tribunal Electoral del Poder Judicial de la Federación. (2025). SUP-JIN-194/2025 y acumulados (sentencia de 20 de agosto de 2025; magistrado encargado del engrose F. A. Fuentes Barrera).</w:t>
      </w:r>
    </w:p>
    <w:p>
      <w:pPr>
        <w:spacing w:before="0" w:after="0" w:line="360" w:lineRule="auto"/>
        <w:ind w:left="425" w:hanging="425"/>
        <w:jc w:val="left"/>
      </w:pPr>
      <w:r>
        <w:rPr>
          <w:rFonts w:ascii="Arial" w:eastAsia="Arial" w:hAnsi="Arial" w:cs="Arial"/>
          <w:color w:val="000000"/>
          <w:sz w:val="24"/>
          <w:szCs w:val="24"/>
        </w:rPr>
        <w:t xml:space="preserve">Suprema Corte de Justicia de la Nación. (2013). Tesis 1a. CCLXXXIII/2013 (10a.). PRUEBA INDICIARIA O CIRCUNSTANCIAL. SU NATURALEZA Y ALCANCES. </w:t>
      </w:r>
      <w:r>
        <w:rPr>
          <w:rFonts w:ascii="Arial" w:eastAsia="Arial" w:hAnsi="Arial" w:cs="Arial"/>
          <w:i/>
          <w:iCs/>
          <w:color w:val="000000"/>
          <w:sz w:val="24"/>
          <w:szCs w:val="24"/>
        </w:rPr>
        <w:t xml:space="preserve">Semanario Judicial de la Federación y su Gaceta</w:t>
      </w:r>
      <w:r>
        <w:rPr>
          <w:rFonts w:ascii="Arial" w:eastAsia="Arial" w:hAnsi="Arial" w:cs="Arial"/>
          <w:color w:val="000000"/>
          <w:sz w:val="24"/>
          <w:szCs w:val="24"/>
        </w:rPr>
        <w:t xml:space="preserve">. Libro XXV, octubre de 2013, Tomo 2, p. 1058. Registro digital 2004757.</w:t>
      </w:r>
    </w:p>
    <w:p>
      <w:pPr>
        <w:spacing w:before="0" w:after="0" w:line="360" w:lineRule="auto"/>
        <w:ind w:left="425" w:hanging="425"/>
        <w:jc w:val="left"/>
      </w:pPr>
      <w:r>
        <w:rPr>
          <w:rFonts w:ascii="Arial" w:eastAsia="Arial" w:hAnsi="Arial" w:cs="Arial"/>
          <w:color w:val="000000"/>
          <w:sz w:val="24"/>
          <w:szCs w:val="24"/>
        </w:rPr>
        <w:t xml:space="preserve">Suprema Corte de Justicia de la Nación. (2015). 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 xml:space="preserve">Gaceta del Semanario Judicial de la Federación</w:t>
      </w:r>
      <w:r>
        <w:rPr>
          <w:rFonts w:ascii="Arial" w:eastAsia="Arial" w:hAnsi="Arial" w:cs="Arial"/>
          <w:color w:val="000000"/>
          <w:sz w:val="24"/>
          <w:szCs w:val="24"/>
        </w:rPr>
        <w:t xml:space="preserve">. Libro 19, junio de 2015, Tomo I, p. 589. Registro digital 2009462.</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(1998). 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suplemento 2, 19-20.</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(2002). Jurisprudencia 11/2002. PRUEBA TESTIMONIAL. EN MATERIA ELECTORAL SÓLO PUEDE APORTAR INDICIOS.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suplemento 6, 58-59.</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(2002). Jurisprudencia 38/2002. NOTAS PERIODÍSTICAS. ELEMENTOS PARA DETERMINAR SU FUERZA INDICIARIA.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suplemento 6, 44.</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(2002). 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suplemento 6, 45.</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(2004). Tesis XXXI/2004. NULIDAD DE ELECCIÓN. FACTORES CUALITATIVO Y CUANTITATIVO DEL CARÁCTER DETERMINANTE DE LA VIOLACIÓN O IRREGULARIDAD. En </w:t>
      </w:r>
      <w:r>
        <w:rPr>
          <w:rFonts w:ascii="Arial" w:eastAsia="Arial" w:hAnsi="Arial" w:cs="Arial"/>
          <w:i/>
          <w:iCs/>
          <w:color w:val="000000"/>
          <w:sz w:val="24"/>
          <w:szCs w:val="24"/>
        </w:rPr>
        <w:t xml:space="preserve">Jurisprudencia y Tesis Relevantes 1997-2005. Compilación Oficial</w:t>
      </w:r>
      <w:r>
        <w:rPr>
          <w:rFonts w:ascii="Arial" w:eastAsia="Arial" w:hAnsi="Arial" w:cs="Arial"/>
          <w:color w:val="000000"/>
          <w:sz w:val="24"/>
          <w:szCs w:val="24"/>
        </w:rPr>
        <w:t xml:space="preserve"> (pp. 725-726).</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(2004). Tesis XXXVII/2004. PRUEBAS INDIRECTAS. SON IDÓNEAS PARA ACREDITAR ACTIVIDADES ILÍCITAS REALIZADAS POR LOS PARTIDOS POLÍTICOS. En </w:t>
      </w:r>
      <w:r>
        <w:rPr>
          <w:rFonts w:ascii="Arial" w:eastAsia="Arial" w:hAnsi="Arial" w:cs="Arial"/>
          <w:i/>
          <w:iCs/>
          <w:color w:val="000000"/>
          <w:sz w:val="24"/>
          <w:szCs w:val="24"/>
        </w:rPr>
        <w:t xml:space="preserve">Jurisprudencia y Tesis Relevantes 1997-2005. Compilación Oficial</w:t>
      </w:r>
      <w:r>
        <w:rPr>
          <w:rFonts w:ascii="Arial" w:eastAsia="Arial" w:hAnsi="Arial" w:cs="Arial"/>
          <w:color w:val="000000"/>
          <w:sz w:val="24"/>
          <w:szCs w:val="24"/>
        </w:rPr>
        <w:t xml:space="preserve"> (pp. 833-835).</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(2010). 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 xml:space="preserve">Gaceta de Jurisprudencia y Tesis en materia electoral</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3</w:t>
      </w:r>
      <w:r>
        <w:rPr>
          <w:rFonts w:ascii="Arial" w:eastAsia="Arial" w:hAnsi="Arial" w:cs="Arial"/>
          <w:color w:val="000000"/>
          <w:sz w:val="24"/>
          <w:szCs w:val="24"/>
        </w:rPr>
        <w:t xml:space="preserve">(6), 43.</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(2014). Jurisprudencia 4/2014. PRUEBAS TÉCNICAS. SON INSUFICIENTES, POR SÍ SOLAS, PARA ACREDITAR DE MANERA FEHACIENTE LOS HECHOS QUE CONTIENEN. </w:t>
      </w:r>
      <w:r>
        <w:rPr>
          <w:rFonts w:ascii="Arial" w:eastAsia="Arial" w:hAnsi="Arial" w:cs="Arial"/>
          <w:i/>
          <w:iCs/>
          <w:color w:val="000000"/>
          <w:sz w:val="24"/>
          <w:szCs w:val="24"/>
        </w:rPr>
        <w:t xml:space="preserve">Gaceta de Jurisprudencia y Tesis en materia electoral</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7</w:t>
      </w:r>
      <w:r>
        <w:rPr>
          <w:rFonts w:ascii="Arial" w:eastAsia="Arial" w:hAnsi="Arial" w:cs="Arial"/>
          <w:color w:val="000000"/>
          <w:sz w:val="24"/>
          <w:szCs w:val="24"/>
        </w:rPr>
        <w:t xml:space="preserve">(14), 23-24.</w:t>
      </w:r>
    </w:p>
    <w:p>
      <w:pPr>
        <w:spacing w:before="0" w:after="0" w:line="360" w:lineRule="auto"/>
        <w:ind w:left="425" w:hanging="425"/>
        <w:jc w:val="left"/>
      </w:pPr>
      <w:r>
        <w:rPr>
          <w:rFonts w:ascii="Arial" w:eastAsia="Arial" w:hAnsi="Arial" w:cs="Arial"/>
          <w:color w:val="000000"/>
          <w:sz w:val="24"/>
          <w:szCs w:val="24"/>
        </w:rPr>
        <w:t xml:space="preserve">Tribunal Electoral del Poder Judicial de la Federación. (2024). 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 xml:space="preserve">Gaceta Jurisprudencia y Tesis en materia electoral</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17</w:t>
      </w:r>
      <w:r>
        <w:rPr>
          <w:rFonts w:ascii="Arial" w:eastAsia="Arial" w:hAnsi="Arial" w:cs="Arial"/>
          <w:color w:val="000000"/>
          <w:sz w:val="24"/>
          <w:szCs w:val="24"/>
        </w:rPr>
        <w:t xml:space="preserve">(29), 149-151.</w:t>
      </w:r>
    </w:p>
    <w:p>
      <w:pPr>
        <w:spacing w:before="0" w:after="0" w:line="360" w:lineRule="auto"/>
        <w:ind w:left="425" w:hanging="425"/>
        <w:jc w:val="left"/>
      </w:pPr>
      <w:r>
        <w:rPr>
          <w:rFonts w:ascii="Arial" w:eastAsia="Arial" w:hAnsi="Arial" w:cs="Arial"/>
          <w:color w:val="000000"/>
          <w:sz w:val="24"/>
          <w:szCs w:val="24"/>
        </w:rPr>
        <w:t xml:space="preserve">Vázquez, C. (2013). A modo de presentación. En C. Vázquez (Ed.), </w:t>
      </w:r>
      <w:r>
        <w:rPr>
          <w:rFonts w:ascii="Arial" w:eastAsia="Arial" w:hAnsi="Arial" w:cs="Arial"/>
          <w:i/>
          <w:iCs/>
          <w:color w:val="000000"/>
          <w:sz w:val="24"/>
          <w:szCs w:val="24"/>
        </w:rPr>
        <w:t xml:space="preserve">Estándares de prueba y prueba científica. Ensayos de epistemología jurídica</w:t>
      </w:r>
      <w:r>
        <w:rPr>
          <w:rFonts w:ascii="Arial" w:eastAsia="Arial" w:hAnsi="Arial" w:cs="Arial"/>
          <w:color w:val="000000"/>
          <w:sz w:val="24"/>
          <w:szCs w:val="24"/>
        </w:rPr>
        <w:t xml:space="preserve">. Marcial Pons.</w:t>
      </w:r>
    </w:p>
    <w:p>
      <w:pPr>
        <w:spacing w:before="0" w:after="0" w:line="360" w:lineRule="auto"/>
        <w:ind w:left="425" w:hanging="425"/>
        <w:jc w:val="left"/>
      </w:pPr>
      <w:r>
        <w:rPr>
          <w:rFonts w:ascii="Arial" w:eastAsia="Arial" w:hAnsi="Arial" w:cs="Arial"/>
          <w:color w:val="000000"/>
          <w:sz w:val="24"/>
          <w:szCs w:val="24"/>
        </w:rPr>
        <w:t xml:space="preserve">Woldenberg, J. (2012). </w:t>
      </w:r>
      <w:r>
        <w:rPr>
          <w:rFonts w:ascii="Arial" w:eastAsia="Arial" w:hAnsi="Arial" w:cs="Arial"/>
          <w:i/>
          <w:iCs/>
          <w:color w:val="000000"/>
          <w:sz w:val="24"/>
          <w:szCs w:val="24"/>
        </w:rPr>
        <w:t xml:space="preserve">Historia mínima de la transición democrática en México</w:t>
      </w:r>
      <w:r>
        <w:rPr>
          <w:rFonts w:ascii="Arial" w:eastAsia="Arial" w:hAnsi="Arial" w:cs="Arial"/>
          <w:color w:val="000000"/>
          <w:sz w:val="24"/>
          <w:szCs w:val="24"/>
        </w:rPr>
        <w:t xml:space="preserve">. El Colegio de México.</w:t>
      </w:r>
    </w:p>
    <w:p>
      <w:pPr>
        <w:spacing w:before="0" w:after="0" w:line="360" w:lineRule="auto"/>
        <w:ind w:left="425" w:hanging="425"/>
        <w:jc w:val="left"/>
      </w:pPr>
      <w:r>
        <w:rPr>
          <w:rFonts w:ascii="Arial" w:eastAsia="Arial" w:hAnsi="Arial" w:cs="Arial"/>
          <w:color w:val="000000"/>
          <w:sz w:val="24"/>
          <w:szCs w:val="24"/>
        </w:rPr>
        <w:t xml:space="preserve">Zamacona Madrigal, J. A., y García Rodríguez, M. M. (2011).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 xml:space="preserve">Justicia Electoral. Revista del Tribunal Electoral del Poder Judicial de la Federación</w:t>
      </w:r>
      <w:r>
        <w:rPr>
          <w:rFonts w:ascii="Arial" w:eastAsia="Arial" w:hAnsi="Arial" w:cs="Arial"/>
          <w:color w:val="000000"/>
          <w:sz w:val="24"/>
          <w:szCs w:val="24"/>
        </w:rPr>
        <w:t xml:space="preserve">, </w:t>
      </w:r>
      <w:r>
        <w:rPr>
          <w:rFonts w:ascii="Arial" w:eastAsia="Arial" w:hAnsi="Arial" w:cs="Arial"/>
          <w:i/>
          <w:iCs/>
          <w:color w:val="000000"/>
          <w:sz w:val="24"/>
          <w:szCs w:val="24"/>
        </w:rPr>
        <w:t xml:space="preserve">1</w:t>
      </w:r>
      <w:r>
        <w:rPr>
          <w:rFonts w:ascii="Arial" w:eastAsia="Arial" w:hAnsi="Arial" w:cs="Arial"/>
          <w:color w:val="000000"/>
          <w:sz w:val="24"/>
          <w:szCs w:val="24"/>
        </w:rPr>
        <w:t xml:space="preserve">(8), 257-285.</w:t>
      </w:r>
    </w:p>
    <w:p>
      <w:pPr>
        <w:spacing w:before="0" w:after="0" w:line="360" w:lineRule="auto"/>
        <w:ind w:left="425" w:hanging="425"/>
        <w:jc w:val="left"/>
      </w:pPr>
      <w:r>
        <w:rPr>
          <w:rFonts w:ascii="Arial" w:eastAsia="Arial" w:hAnsi="Arial" w:cs="Arial"/>
          <w:color w:val="000000"/>
          <w:sz w:val="24"/>
          <w:szCs w:val="24"/>
        </w:rPr>
        <w:t xml:space="preserve">Zeferín Hernández, I. A. (2016). </w:t>
      </w:r>
      <w:r>
        <w:rPr>
          <w:rFonts w:ascii="Arial" w:eastAsia="Arial" w:hAnsi="Arial" w:cs="Arial"/>
          <w:i/>
          <w:iCs/>
          <w:color w:val="000000"/>
          <w:sz w:val="24"/>
          <w:szCs w:val="24"/>
        </w:rPr>
        <w:t xml:space="preserve">La prueba libre y lógica. Sistema penal acusatorio mexicano</w:t>
      </w:r>
      <w:r>
        <w:rPr>
          <w:rFonts w:ascii="Arial" w:eastAsia="Arial" w:hAnsi="Arial" w:cs="Arial"/>
          <w:color w:val="000000"/>
          <w:sz w:val="24"/>
          <w:szCs w:val="24"/>
        </w:rPr>
        <w:t xml:space="preserve">. Instituto de la Judicatura Federal.</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45">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Igartua Salaverría remite a Haack (2015, pp. 19-21).</w:t>
      </w:r>
    </w:p>
  </w:footnote>
  <w:footnote w:id="55">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Entre sus precedentes figura el SUP-JRC-349/2001.</w:t>
      </w:r>
    </w:p>
  </w:footnote>
  <w:footnote w:id="150">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Martínez-Garza cita la tesis P./J. 8/2023 (11a.), registro digital 2027822.</w:t>
      </w:r>
    </w:p>
  </w:footnote>
  <w:footnote w:id="178">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la sentencia de 26 de noviembre de 2014 dictada en el amparo directo en revisión 3457/2013 y la tesis 1a. CCXVIII/2015, registro digital 2009462.</w:t>
      </w:r>
    </w:p>
  </w:footnote>
  <w:footnote w:id="183">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w:t>
      </w:r>
      <w:r>
        <w:rPr>
          <w:rFonts w:ascii="Arial" w:eastAsia="Arial" w:hAnsi="Arial" w:cs="Arial"/>
          <w:sz w:val="20"/>
          <w:szCs w:val="20"/>
          <w:i/>
          <w:iCs/>
        </w:rPr>
        <w:t xml:space="preserve">Khawaja v. Secretary of State for the Home Office</w:t>
      </w:r>
      <w:r>
        <w:rPr>
          <w:rFonts w:ascii="Arial" w:eastAsia="Arial" w:hAnsi="Arial" w:cs="Arial"/>
          <w:sz w:val="20"/>
          <w:szCs w:val="20"/>
        </w:rPr>
        <w:t xml:space="preserve"> [1984] AC 74, HL, a través de Roberts y Zuckerman.</w:t>
      </w:r>
    </w:p>
  </w:footnote>
  <w:footnote w:id="184">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remite a Posner.</w:t>
      </w:r>
    </w:p>
  </w:footnote>
  <w:footnote w:id="195">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w:t>
      </w:r>
      <w:r>
        <w:rPr>
          <w:rFonts w:ascii="Arial" w:eastAsia="Arial" w:hAnsi="Arial" w:cs="Arial"/>
          <w:sz w:val="20"/>
          <w:szCs w:val="20"/>
          <w:i/>
          <w:iCs/>
        </w:rPr>
        <w:t xml:space="preserve">Santosky v. Kramer</w:t>
      </w:r>
      <w:r>
        <w:rPr>
          <w:rFonts w:ascii="Arial" w:eastAsia="Arial" w:hAnsi="Arial" w:cs="Arial"/>
          <w:sz w:val="20"/>
          <w:szCs w:val="20"/>
        </w:rPr>
        <w:t xml:space="preserve">, 455 U.S., p. 757 (1982).</w:t>
      </w:r>
    </w:p>
  </w:footnote>
  <w:footnote w:id="220">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como ejemplo a Laudan.</w:t>
      </w:r>
    </w:p>
  </w:footnote>
  <w:footnote w:id="230">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inciso d) del artículo 41, base VI, constitucional fue adicionado mediante reforma publicada en el </w:t>
      </w:r>
      <w:r>
        <w:rPr>
          <w:rFonts w:ascii="Arial" w:eastAsia="Arial" w:hAnsi="Arial" w:cs="Arial"/>
          <w:sz w:val="20"/>
          <w:szCs w:val="20"/>
          <w:i/>
          <w:iCs/>
        </w:rPr>
        <w:t xml:space="preserve">Diario Oficial de la Federación</w:t>
      </w:r>
      <w:r>
        <w:rPr>
          <w:rFonts w:ascii="Arial" w:eastAsia="Arial" w:hAnsi="Arial" w:cs="Arial"/>
          <w:sz w:val="20"/>
          <w:szCs w:val="20"/>
        </w:rPr>
        <w:t xml:space="preserve"> el 2 de junio de 2026.</w:t>
      </w:r>
    </w:p>
  </w:footnote>
  <w:footnote w:id="236">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transcribe la sentencia del amparo directo en revisión 3457/2013 y menciona como precedentes el amparo directo en revisión 715/2010, los amparos en revisión 466/2011 y 349/2012 y los amparos directos 78/2012 y 21/2012.</w:t>
      </w:r>
    </w:p>
  </w:footnote>
  <w:footnote w:id="252">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Rodarte Nava et al. citan a Galván Rivera (2002, pp. 400-401).</w:t>
      </w:r>
    </w:p>
  </w:footnote>
  <w:footnote w:id="301">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Nota de publicación en la compilación de la Cámara de Diputados.</w:t>
      </w:r>
    </w:p>
  </w:footnote>
  <w:footnote w:id="304">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Nota sobre el texto que recupera vigencia, en la compilación de la Cámara de Diputados.</w:t>
      </w:r>
    </w:p>
  </w:footnote>
  <w:footnote w:id="358">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En ese pasaje se transcribe la tesis relevante publicada en </w:t>
      </w:r>
      <w:r>
        <w:rPr>
          <w:rFonts w:ascii="Arial" w:eastAsia="Arial" w:hAnsi="Arial" w:cs="Arial"/>
          <w:sz w:val="20"/>
          <w:szCs w:val="20"/>
          <w:i/>
          <w:iCs/>
        </w:rPr>
        <w:t xml:space="preserve">Justicia Electoral. Revista del Tribunal Electoral del Poder Judicial de la Federación</w:t>
      </w:r>
      <w:r>
        <w:rPr>
          <w:rFonts w:ascii="Arial" w:eastAsia="Arial" w:hAnsi="Arial" w:cs="Arial"/>
          <w:sz w:val="20"/>
          <w:szCs w:val="20"/>
        </w:rPr>
        <w:t xml:space="preserve">, suplemento 3, p. 56, cuyo texto coincide sustancialmente con el de la posterior jurisprudencia 39/2002.</w:t>
      </w:r>
    </w:p>
  </w:footnote>
  <w:footnote w:id="372">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Precepto reformado mediante decreto publicado en el </w:t>
      </w:r>
      <w:r>
        <w:rPr>
          <w:rFonts w:ascii="Arial" w:eastAsia="Arial" w:hAnsi="Arial" w:cs="Arial"/>
          <w:sz w:val="20"/>
          <w:szCs w:val="20"/>
          <w:i/>
          <w:iCs/>
        </w:rPr>
        <w:t xml:space="preserve">Diario Oficial de la Federación</w:t>
      </w:r>
      <w:r>
        <w:rPr>
          <w:rFonts w:ascii="Arial" w:eastAsia="Arial" w:hAnsi="Arial" w:cs="Arial"/>
          <w:sz w:val="20"/>
          <w:szCs w:val="20"/>
        </w:rPr>
        <w:t xml:space="preserve"> el 15 de septiembre de 2024.</w:t>
      </w:r>
    </w:p>
  </w:footnote>
  <w:footnote w:id="373">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Precepto adicionado mediante decreto publicado en el </w:t>
      </w:r>
      <w:r>
        <w:rPr>
          <w:rFonts w:ascii="Arial" w:eastAsia="Arial" w:hAnsi="Arial" w:cs="Arial"/>
          <w:sz w:val="20"/>
          <w:szCs w:val="20"/>
          <w:i/>
          <w:iCs/>
        </w:rPr>
        <w:t xml:space="preserve">Diario Oficial de la Federación</w:t>
      </w:r>
      <w:r>
        <w:rPr>
          <w:rFonts w:ascii="Arial" w:eastAsia="Arial" w:hAnsi="Arial" w:cs="Arial"/>
          <w:sz w:val="20"/>
          <w:szCs w:val="20"/>
        </w:rPr>
        <w:t xml:space="preserve"> el 15 de octubre de 2024.</w:t>
      </w:r>
    </w:p>
  </w:footnote>
  <w:footnote w:id="400">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La tesis se consultó en su transcripción en el SUP-JIN-194/2025, nota 20.</w:t>
      </w:r>
    </w:p>
  </w:footnote>
  <w:footnote w:id="412">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La nota 21 de la sentencia remite a los SUP-JIN-319/2025, SUP-JIN-818/2025 y SUP-JIN-559/2025.</w:t>
      </w:r>
    </w:p>
  </w:footnote>
  <w:footnote w:id="424">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Notas de reforma de la compilación de la Cámara de Diputados.</w:t>
      </w:r>
    </w:p>
  </w:footnote>
  <w:footnote w:id="425">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párrafo con incisos y el párrafo siguiente de la base VI fueron adicionados mediante decreto publicado en el </w:t>
      </w:r>
      <w:r>
        <w:rPr>
          <w:rFonts w:ascii="Arial" w:eastAsia="Arial" w:hAnsi="Arial" w:cs="Arial"/>
          <w:sz w:val="20"/>
          <w:szCs w:val="20"/>
          <w:i/>
          <w:iCs/>
        </w:rPr>
        <w:t xml:space="preserve">Diario Oficial de la Federación</w:t>
      </w:r>
      <w:r>
        <w:rPr>
          <w:rFonts w:ascii="Arial" w:eastAsia="Arial" w:hAnsi="Arial" w:cs="Arial"/>
          <w:sz w:val="20"/>
          <w:szCs w:val="20"/>
        </w:rPr>
        <w:t xml:space="preserve"> el 10 de febrero de 2014.</w:t>
      </w:r>
    </w:p>
  </w:footnote>
  <w:footnote w:id="426">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Precepto adicionado mediante decreto publicado en el </w:t>
      </w:r>
      <w:r>
        <w:rPr>
          <w:rFonts w:ascii="Arial" w:eastAsia="Arial" w:hAnsi="Arial" w:cs="Arial"/>
          <w:sz w:val="20"/>
          <w:szCs w:val="20"/>
          <w:i/>
          <w:iCs/>
        </w:rPr>
        <w:t xml:space="preserve">Diario Oficial de la Federación</w:t>
      </w:r>
      <w:r>
        <w:rPr>
          <w:rFonts w:ascii="Arial" w:eastAsia="Arial" w:hAnsi="Arial" w:cs="Arial"/>
          <w:sz w:val="20"/>
          <w:szCs w:val="20"/>
        </w:rPr>
        <w:t xml:space="preserve"> el 23 de mayo de 2014.</w:t>
      </w:r>
    </w:p>
  </w:footnote>
  <w:footnote w:id="448">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proyecto cita a Ferrer Beltrán (2021, p. 137).</w:t>
      </w:r>
    </w:p>
  </w:footnote>
  <w:footnote w:id="450">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proyecto cita a Ferrer Beltrán (2021, p. 73).</w:t>
      </w:r>
    </w:p>
  </w:footnote>
  <w:footnote w:id="491">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La nota 142 del proyecto remite al SUP-REC-2214/2021.</w:t>
      </w:r>
    </w:p>
  </w:footnote>
  <w:footnote w:id="519">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Montoya Zamora cita a Ovalle Favela.</w:t>
      </w:r>
    </w:p>
  </w:footnote>
  <w:footnote w:id="532">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Montoya Zamora (2011, pp. 32-36) transcribe y analiza la sentencia.</w:t>
      </w:r>
    </w:p>
  </w:footnote>
  <w:footnote w:id="534">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Montoya Zamora cita el SUP-JRC-273/2010, p. 320.</w:t>
      </w:r>
    </w:p>
  </w:footnote>
  <w:footnote w:id="536">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Montoya Zamora (2011, p. 40) analiza el mismo pasaje.</w:t>
      </w:r>
    </w:p>
  </w:footnote>
  <w:footnote w:id="539">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Sus precedentes son los SUP-JRC-412/2000, SUP-JRC-330/2001 y SUP-JRC-405/2001.</w:t>
      </w:r>
    </w:p>
  </w:footnote>
  <w:footnote w:id="542">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Precepto reformado mediante decreto publicado en el </w:t>
      </w:r>
      <w:r>
        <w:rPr>
          <w:rFonts w:ascii="Arial" w:eastAsia="Arial" w:hAnsi="Arial" w:cs="Arial"/>
          <w:sz w:val="20"/>
          <w:szCs w:val="20"/>
          <w:i/>
          <w:iCs/>
        </w:rPr>
        <w:t xml:space="preserve">Diario Oficial de la Federación</w:t>
      </w:r>
      <w:r>
        <w:rPr>
          <w:rFonts w:ascii="Arial" w:eastAsia="Arial" w:hAnsi="Arial" w:cs="Arial"/>
          <w:sz w:val="20"/>
          <w:szCs w:val="20"/>
        </w:rPr>
        <w:t xml:space="preserve"> el 17 de junio de 2016.</w:t>
      </w:r>
    </w:p>
  </w:footnote>
  <w:footnote w:id="550">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(2021, p. 31, nota 4) cita esta tesis.</w:t>
      </w:r>
    </w:p>
  </w:footnote>
  <w:footnote w:id="555">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Montoya Zamora se apoya en Gascón Abellán.</w:t>
      </w:r>
    </w:p>
  </w:footnote>
  <w:footnote w:id="581">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a Laudan como ejemplo.</w:t>
      </w:r>
    </w:p>
  </w:footnote>
  <w:footnote w:id="616">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la sentencia del Tribunal Europeo de Derechos Humanos en el caso Tendam contra España, de 13 de julio de 2010.</w:t>
      </w:r>
    </w:p>
  </w:footnote>
  <w:footnote w:id="666">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(2021, p. 31, nota 4) cita esta tesis.</w:t>
      </w:r>
    </w:p>
  </w:footnote>
  <w:footnote w:id="693">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Ferrer Beltrán cita su trabajo de 2018, pp. 417-418.</w:t>
      </w:r>
    </w:p>
  </w:footnote>
  <w:footnote w:id="711">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proyecto cita la tesis XXXVII/2004, PRUEBAS INDIRECTAS. SON IDÓNEAS PARA ACREDITAR ACTIVIDADES ILÍCITAS REALIZADAS POR LOS PARTIDOS POLÍTICOS.</w:t>
      </w:r>
    </w:p>
  </w:footnote>
  <w:footnote w:id="714">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texto se consultó en su transcripción en el SUP-RAP-33/2010.</w:t>
      </w:r>
    </w:p>
  </w:footnote>
  <w:footnote w:id="728">
    <w:p>
      <w:pPr>
        <w:spacing w:before="0" w:after="0" w:line="240" w:lineRule="auto"/>
        <w:jc w:val="both"/>
      </w:pPr>
      <w:r>
        <w:rPr>
          <w:rStyle w:val="Refdenotaalpie"/>
          <w:rFonts w:ascii="Arial" w:eastAsia="Arial" w:hAnsi="Arial" w:cs="Arial"/>
          <w:sz w:val="20"/>
          <w:szCs w:val="20"/>
        </w:rPr>
        <w:footnoteRef/>
      </w:r>
      <w:r>
        <w:rPr>
          <w:rFonts w:ascii="Arial" w:eastAsia="Arial" w:hAnsi="Arial" w:cs="Arial"/>
          <w:sz w:val="20"/>
          <w:szCs w:val="20"/>
        </w:rPr>
        <w:t xml:space="preserve"> El texto vigente del artículo 16 no registra notas de reforma.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Arial" w:eastAsia="Arial" w:hAnsi="Arial" w:cs="Arial"/>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