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su División de Estudios de Posgrado la formación que recibí, pues en sus aulas surgieron muchas preguntas de este trabajo. Mi director de tesis, el doctor Manuel Alejandro Sánchez Vega, leyó cada avance con atención y orientó la investigación desde su inicio. Sus observaciones mejoraron el planteamiento y la redacción, y por ello le estoy particularmente agradecido. A las profesoras y los profesores de la maestría les debo varias preguntas aquí examinadas, sobre todo en las clases de justicia electoral, argumentación y prueba. A mis compañeras y compañeros de generación les agradezco las conversaciones y la compañía durante el programa. Agradezco de antemano sus observaciones a quienes integren el comité revisor. Mi familia tuvo paciencia durante todo el tiempo que exigió esta tesis, y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The same provision makes the sufficiency of evidence depend on the conviction of the judge. Conviction is a psychologistic criterion detached from any objective threshold. This hybrid clause has remained largely unchanged in Mexican electoral case law for twenty-five years. The clause therefore undermines the rationality of fact-finding in electoral litigation. The thesis examines the extent to which the absence of an objective standard compromises rational adjudication of the facts. The thesis then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A comparative approach to Spanish, Italian and Anglo-American procedural doctrine complements this methodology, together with a case analysis of ruling SUP-JIN-194/2025. The analysis traced the hybrid clause to its earliest documented judicial application in SUP-JRC-487/2000. The formula persisted virtually unchanged for a quarter of a century. Judicial awareness of the underlying problem emerged only recently in a single dissenting opinion. The study identified a category mistake between sound criticism and standard of proof in the doctrine on the determinative effect of electoral irregularities. On this basis, the thesis confirms its hypothesis. The thesis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44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67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82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93</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113</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141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152</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168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175</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188</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194</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Esa disciplina distingue el apoyo empírico de una hipótesis del umbral normativo para darla por probada. La tradición analítica hispanoamericana e italiana desarrolló principalmente esta distinción. La distinción importa más donde la prueba es indiciaria, como en el contencioso electoral mexicano. En esta materia, las irregularidades determinantes suelen acreditarse con indicios y no con prueba directa. El artículo 16 fija el criterio de valoración mediante una fórmula que combina un vocabulario racionalista, compuesto por la lógica, la sana crítica y la experiencia, con un vocabulario psicologista, que es la convicción del juzgador. Esa combinación de vocabularios oculta la ausencia de una regla de suficiencia.</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El precepto apela, en su lugar, a la convicción del juzgador, una condición mental que no admite control intersubjetivo. Esta sustitución constituye el problema que motiva la investigación. La sustitución compromete la racionalidad del juicio sobre los hechos, porque remite la suficiencia a un estado subjetivo y no a un criterio verificable. De esta constatación deriva la pregunta general del trabajo. La pregunta indaga en qué medida esa ausencia y la cláusula psicologista de la convicción comprometen dicha racionalidad. La pregunta indaga qué diseño legislativo corregiría la carencia sin sacrificar la naturaleza indiciaria de la prueba.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la investigación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 En consecuencia, el problema estudiado trasciende la técnica procesal y alcanza la confianza pública en la justicia electoral.</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del trabajo. La primera parte afirma que la falta de un estándar objetivo en el artículo 16 y su sustitución por la convicción comprometen la racionalidad del juicio sobre los hechos. Esa primera parte es diagnóstica y se contrasta con la doctrina y con la jurisprudencia electoral. La segunda parte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 Esa segunda parte es propositiva. Por tanto, la hipótesis une un diagnóstico sobre el derecho vigente con una propuesta de reforma. Esa doble estructura orienta la formulación de los objetivos de la investigación.</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y debe ser compatible con la prueba indiciaria. Este objetivo se despliega en cinco objetivos específicos. El primer objetivo específico es sistematizar el marco teórico de la prueba indiciaria y del estándar de prueba, y el segundo es identificar el error de categoría que sirve de puente conceptual entre esa teoría y la doctrina mexicana de la determinancia electoral. El tercer objetivo específico es demostrar la persistencia de la cláusula híbrida a lo largo de veinticinco años de jurisprudencia electoral. El cuarto es exponer el fundamento metodológico de la relatividad del estándar según los bienes en juego. El quinto es formular una propuesta de diseño legislativo compatible con la prueba indiciaria. El cumplimiento de estos objetivos requiere un marco teórico definido.</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la valoración de la prueba, que es una operación epistémica, del estándar de prueba, que es una operación normativa que fija el umbral de suficiencia. El marco se apoya sobre todo en la obra de Jordi Ferrer Beltrán sobre los requisitos de un estándar válido y su relatividad según los bienes en juego. El marco recoge la tradición racionalista de la prueba representada, entre otros, por Michele Taruffo. La investigación contrasta ese marco con la doctrina mexicana de la determinancia, que ha tratado su problema de suficiencia sin ese aparato conceptual. La investigación no asume que la literatura existente agote este diálogo. Por ello, el desarrollo del trabajo advierte cuándo un planteamiento corresponde a una fuente verificada y cuándo constituye una propuesta original. Ese marco teórico se aplica mediante una estrategia metodológica precisa.</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El método comparado contrasta la sana crítica, la íntima convicción y los estándares de prueba de las tradiciones española, italiana y angloamericana con el derecho electoral mexicano. El método se complementa con el análisis de caso de la sentencia SUP-JIN-194/2025 y con su comparación frente a la sentencia SUP-JRC-487/2000. Esta última sentencia se seleccionó porque constituye el primer registro documentado de la aplicación judicial de la cláusula híbrida. El análisis documental y jurisprudencial sistematizó las sentencias y la jurisprudencia electoral relevantes. El análisis conceptual permitió descomponer las categorías de sana crítica, convicción, adminiculación y determinancia para evidenciar la falta de correspondencia entre ellas. En consecuencia, la metodología combina la teoría, la comparación y el estudio de casos. Esa combinación se refleja en la organización del trabajo.</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Ese capítulo contrasta los votos particulares emitidos en ambos extremos temporales y caracteriza teóricamente la cláusula como una cláusula mixta. Los tres primeros capítulos integran, por tanto, la fase de diagnóstico de la investigación.</w:t>
      </w:r>
    </w:p>
    <w:p>
      <w:pPr>
        <w:spacing w:before="0" w:after="0" w:line="360" w:lineRule="auto"/>
        <w:ind w:firstLine="709"/>
        <w:jc w:val="both"/>
      </w:pPr>
      <w:r>
        <w:rPr>
          <w:rFonts w:ascii="Arial" w:eastAsia="Arial" w:hAnsi="Arial" w:cs="Arial"/>
          <w:color w:val="000000"/>
          <w:sz w:val="24"/>
          <w:szCs w:val="24"/>
        </w:rPr>
        <w:t xml:space="preserve">La fase propositiva comprende los dos capítulos restantes. 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y verifican la hipótesis planteada en esta introducción. Las conclusiones sintetizan la aportación de la investigación al estado del arte de la epistemología jurídica de la prueba y del derecho electoral mexicano. En consecuencia, el recorrido completo avanza del diagnóstico del derecho vigente a una propuesta de reforma fundada en la teoría del estándar de prueba.</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Este capítulo sistematiza el marco teórico general que sostiene el resto de la investigación. Ese marco parte de la prueba indiciaria porque el contencioso electoral mexicano resuelve la mayoría de sus controversias fácticas con este tipo de prueba. La prueba indiciaria exige un método que integre los indicios disponibles en un conjunto coherente de elementos de juicio. Ese método recibe en la práctica mexicana el nombre de adminiculación probatoria. La adminiculación opera dentro de la valoración de la prueba y no decide por sí sola cuándo un hecho queda probado. Por consiguiente, la investigación distingue con cuidado la valoración de la prueba y el estándar de prueba. Esa distinción permite identificar con precisión el problema que la justicia electoral mexicana no ha resuelto. La exposición avanza de lo general a lo particular y culmina con los requisitos metodológicos que la epistemología jurídica racionalista exige a un estándar de prueba válido, requisitos que servirán de base para el diagnóstico crítico posterior.</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Ese razonamiento exige reconstruir tres planos que la práctica forense suele confundir. El plano dogmático estudia el concepto de indicio y su lugar dentro de la teoría de la prueba. El plano epistemológico explica por qué un hecho conocido autoriza a afirmar otro hecho desconocido. El plano jurisprudencial muestra cómo los tribunales mexicanos institucionalizaron ese razonamiento bajo el nombre de adminiculación. Cada plano responde a una pregunta distinta y por ello requiere un examen sucesivo antes de su integración final. El recorrido parte de la doctrina decimonónica, transita por la epistemología jurídica contemporánea y llega a los criterios del Tribunal Electoral del Poder Judicial de la Federación. Ese recorrido termina con las críticas al uso forense de la adminiculación, con su deslinde del estándar de prueba y con un caso hipotético que muestra su funcionamiento práctico.</w:t>
      </w:r>
    </w:p>
    <w:p>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penal.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Esa misma legislación negaba que los indicios bastaran para condenar, por numerosos y poderosos que fueran. En consecuencia, los indicios legítimos y debidamente comprobados cumplían otra función procesal y solo autorizaban la aplicación del tormento. El indicio operaba de ese modo como antesala de la confesión y no como prueba autónoma. Esta subordinación explica la desconfianza histórica hacia la prueba indirecta, una desconfianza que sobrevivió incluso a la abolición de la tortura judicial y que condicionó la legislación penal del siglo XIX.</w:t>
      </w:r>
    </w:p>
    <w:p>
      <w:pPr>
        <w:spacing w:before="0" w:after="0" w:line="360" w:lineRule="auto"/>
        <w:ind w:firstLine="709"/>
        <w:jc w:val="both"/>
      </w:pPr>
      <w:r>
        <w:rPr>
          <w:rFonts w:ascii="Arial" w:eastAsia="Arial" w:hAnsi="Arial" w:cs="Arial"/>
          <w:color w:val="000000"/>
          <w:sz w:val="24"/>
          <w:szCs w:val="24"/>
        </w:rPr>
        <w:t xml:space="preserve">La abolición del tormento dejó a la prueba por indicios atrapada en trabas demasiado estrechas. Mittermaier relata que las leyes alemanas de su tiempo resolvieron ese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porque definió el indicio, lo dividió en categorías y fijó condiciones severas para su eficacia. Ese mismo código excluyó la pena de muerte cuando la condena descansaba en indicios. Mittermaier propuso una tesis más audaz frente a este panorama legislativo. El autor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pPr>
        <w:spacing w:before="0" w:after="0" w:line="360" w:lineRule="auto"/>
        <w:ind w:firstLine="709"/>
        <w:jc w:val="both"/>
      </w:pPr>
      <w:r>
        <w:rPr>
          <w:rFonts w:ascii="Arial" w:eastAsia="Arial" w:hAnsi="Arial" w:cs="Arial"/>
          <w:color w:val="000000"/>
          <w:sz w:val="24"/>
          <w:szCs w:val="24"/>
        </w:rPr>
        <w:t xml:space="preserve">Esa tesis condujo a Mittermaier a una definición del indicio que conserva plena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la presencia de dos hechos distintos. El primero de esos hechos debe estar comprobado. El segundo todavía no es manifiesto y se demuestra mediante un razonamiento que parte del hecho conocido. El autor recurrió a la etimología e ilustró la idea con la imagen del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El indicio aislado contiene un hecho diferente sin mayor importancia y adquiere relevancia en el momento en que el juez advierte su conexión con otro hecho. La gravedad del indicio depende de la certeza de la ley de experiencia que une el hecho primitivo con el hecho desconocido.</w:t>
      </w:r>
    </w:p>
    <w:p>
      <w:pPr>
        <w:spacing w:before="0" w:after="0" w:line="360" w:lineRule="auto"/>
        <w:ind w:firstLine="709"/>
        <w:jc w:val="both"/>
      </w:pPr>
      <w:r>
        <w:rPr>
          <w:rFonts w:ascii="Arial" w:eastAsia="Arial" w:hAnsi="Arial" w:cs="Arial"/>
          <w:color w:val="000000"/>
          <w:sz w:val="24"/>
          <w:szCs w:val="24"/>
        </w:rPr>
        <w:t xml:space="preserve">Mittermaier no ignoró la fragilidad de la inferencia indiciaria. El autor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y la coincidencia temporal que atrae su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Un ejemplo claro se presenta cuando el poseedor del objeto robado prueba que lo compró a un tercero. El juez solo puede fijar su convicción después de ensayar inútilmente las explicaciones de descargo.</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 un criterio que la doctrina procesal posterior desarrolló con mayor precisión lógica.</w:t>
      </w:r>
    </w:p>
    <w:p>
      <w:pPr>
        <w:spacing w:before="0" w:after="0" w:line="360" w:lineRule="auto"/>
        <w:ind w:firstLine="709"/>
        <w:jc w:val="both"/>
      </w:pPr>
      <w:r>
        <w:rPr>
          <w:rFonts w:ascii="Arial" w:eastAsia="Arial" w:hAnsi="Arial" w:cs="Arial"/>
          <w:color w:val="000000"/>
          <w:sz w:val="24"/>
          <w:szCs w:val="24"/>
        </w:rPr>
        <w:t xml:space="preserve">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Un hecho se convierte en indicio cuando una regla de experiencia lo pone en relación lógica con el hecho a probar. De esa tesis deriva el carácter esencialmente relativo de los indicios, porque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de los indicios que el juez examina. El procesalista italiano formuló con ello, en clave dogmática, la intuición que la práctica judicial mexicana denominaría después adminiculación.</w:t>
      </w:r>
    </w:p>
    <w:p>
      <w:pPr>
        <w:spacing w:before="0" w:after="0" w:line="360" w:lineRule="auto"/>
        <w:ind w:firstLine="709"/>
        <w:jc w:val="both"/>
      </w:pPr>
      <w:r>
        <w:rPr>
          <w:rFonts w:ascii="Arial" w:eastAsia="Arial" w:hAnsi="Arial" w:cs="Arial"/>
          <w:color w:val="000000"/>
          <w:sz w:val="24"/>
          <w:szCs w:val="24"/>
        </w:rPr>
        <w:t xml:space="preserve">El tránsito hacia la libre valoración tuvo una expresión legislativa propia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El artículo 148 de ese reglamento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que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 y esa sujeción exige distinguir con cuidado los conceptos que intervienen en la inferencia.</w:t>
      </w:r>
    </w:p>
    <w:p>
      <w:pPr>
        <w:spacing w:before="0" w:after="0" w:line="360" w:lineRule="auto"/>
        <w:ind w:firstLine="709"/>
        <w:jc w:val="both"/>
      </w:pPr>
      <w:r>
        <w:rPr>
          <w:rFonts w:ascii="Arial" w:eastAsia="Arial" w:hAnsi="Arial" w:cs="Arial"/>
          <w:color w:val="000000"/>
          <w:sz w:val="24"/>
          <w:szCs w:val="24"/>
        </w:rPr>
        <w:t xml:space="preserve">El indicio debe distinguirse de las figuras con las que suele confundirse. La práctica judicial utiliza como sinónimos los términos indicio, presunción y prueba circunstancial. Esta indistinción tiene raíces antiguas en la doctrina procesal y dificulta todavía hoy el control de las sentencias. Mittermaier afirmó que indicio y presunción eran expresiones sinónimas en el fondo y que prácticos y legisladores las empleaban de manera indiferente.</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La doctrina posterior se dividió frente a esa sinonimia, y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porque comparten la misma estructura. La corriente mayoritaria, atribuida a Framarino dei Malatesta y a Devis Echandía, distingue ambas figuras con base en la función que cada una cumple dentro del razonamiento probatorio. Para esta corriente mayoritaria el indicio es el hecho conocido y la presunción judicial es el argumento lógico que permite valorarlo.</w:t>
      </w:r>
    </w:p>
    <w:p>
      <w:pPr>
        <w:spacing w:before="0" w:after="0" w:line="360" w:lineRule="auto"/>
        <w:ind w:firstLine="709"/>
        <w:jc w:val="both"/>
      </w:pPr>
      <w:r>
        <w:rPr>
          <w:rFonts w:ascii="Arial" w:eastAsia="Arial" w:hAnsi="Arial" w:cs="Arial"/>
          <w:color w:val="000000"/>
          <w:sz w:val="24"/>
          <w:szCs w:val="24"/>
        </w:rPr>
        <w:t xml:space="preserve">La epistemología jurídica contemporánea ofrece una distinción más precisa entre estas figuras.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y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construido a partir de la observación de casos semejantes. Su fórmula indica que, si ocurre X, entonces probablemente ocurre Y. La presunción adopta una forma distinta porque indica que, si ocurre X, entonces debe tenerse por probado Y. Estas dos fórmulas, aparentemente próximas, revelan una diferencia de fondo entre la regla que descansa en la observación empírica y la regla que descansa en una decisión normativa.</w:t>
      </w:r>
    </w:p>
    <w:p>
      <w:pPr>
        <w:spacing w:before="0" w:after="0" w:line="360" w:lineRule="auto"/>
        <w:ind w:firstLine="709"/>
        <w:jc w:val="both"/>
      </w:pPr>
      <w:r>
        <w:rPr>
          <w:rFonts w:ascii="Arial" w:eastAsia="Arial" w:hAnsi="Arial" w:cs="Arial"/>
          <w:color w:val="000000"/>
          <w:sz w:val="24"/>
          <w:szCs w:val="24"/>
        </w:rPr>
        <w:t xml:space="preserve">La diferencia entre máxima de experiencia y presunción reside en la autoridad del enunciado.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carecen de esa autoridad y valen solo por su fundamento empírico. Las presunciones pueden verse como máximas de experiencia que el derecho ha institucionalizado.</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y no meramente normativo, las presunciones deben apoyarse igualmente en una inducción sólida. En consecuencia, el indicio no es la presunción ni la inferencia, sino la materia prima de la inferencia. La presunción o la máxima de experiencia es la regla que autoriza el paso, y la inferencia es la operación que realiza ese paso. Esta separación de componentes permite examinar el recorrido indiciario por tramos y ubicar con exactitud el punto en que cada tramo requiere justificación.</w:t>
      </w:r>
    </w:p>
    <w:p>
      <w:pPr>
        <w:spacing w:before="0" w:after="0" w:line="360" w:lineRule="auto"/>
        <w:ind w:firstLine="709"/>
        <w:jc w:val="both"/>
      </w:pPr>
      <w:r>
        <w:rPr>
          <w:rFonts w:ascii="Arial" w:eastAsia="Arial" w:hAnsi="Arial" w:cs="Arial"/>
          <w:color w:val="000000"/>
          <w:sz w:val="24"/>
          <w:szCs w:val="24"/>
        </w:rPr>
        <w:t xml:space="preserve">Igartua Salaverría introduce una distinción terminológica de gran utilidad analítica para ese examen por tramos. El autor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prueba de indicios el indicio es el hecho que será objeto de prueba y que debe acreditarse con un medio idóneo. En la prueba por indicios el indicio ya acreditado se convierte en elemento de prueba de otro hecho distinto. Por tanto, el recorrido indiciario completo tiene dos tramos sucesivos. El primer tramo va del medio de prueba al hecho intermedio, y el segundo tramo va del hecho intermedio al hecho principal. Cada tramo exige su propia justificación y admite sus propios errores, que el juez debe identificar por separado.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pPr>
        <w:spacing w:before="0" w:after="0" w:line="360" w:lineRule="auto"/>
        <w:ind w:firstLine="709"/>
        <w:jc w:val="both"/>
      </w:pPr>
      <w:r>
        <w:rPr>
          <w:rFonts w:ascii="Arial" w:eastAsia="Arial" w:hAnsi="Arial" w:cs="Arial"/>
          <w:color w:val="000000"/>
          <w:sz w:val="24"/>
          <w:szCs w:val="24"/>
        </w:rPr>
        <w:t xml:space="preserve">La distinción entre prueba directa e indirecta pierde nitidez bajo la lógica de los dos tramos. Gascón Abellán advierte que todas las pruebas de hechos pasados son indirectas si se atiende al carácter mediato del conocimiento.</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porque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La diferencia entre prueba directa e indirecta resulta de grado y depende del número de inferencias y de la evidencia de las máximas empleadas. Igartua matiza esta tesis y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El indicio requiere una regularidad empírica de fuerza variable.</w:t>
      </w:r>
    </w:p>
    <w:p>
      <w:pPr>
        <w:spacing w:before="0" w:after="0" w:line="360" w:lineRule="auto"/>
        <w:ind w:firstLine="709"/>
        <w:jc w:val="both"/>
      </w:pPr>
      <w:r>
        <w:rPr>
          <w:rFonts w:ascii="Arial" w:eastAsia="Arial" w:hAnsi="Arial" w:cs="Arial"/>
          <w:color w:val="000000"/>
          <w:sz w:val="24"/>
          <w:szCs w:val="24"/>
        </w:rPr>
        <w:t xml:space="preserve">La distinción adoptada en esta investigación tiene una utilidad que no es meramente terminológica. Esa utilidad consiste en que cada componente de la inferencia admite un control distinto. El hecho base se controla por la fiabilidad del medio que lo acredita. La regla de enlace se controla por su fundamento empírico o normativo. La inferencia se controla por su coherencia interna y por la eliminación de las hipótesis alternativas. En consecuencia, una sentencia que fusiona los tres componentes impide saber cuál de ellos falló. Esa fusión priva a las partes y al tribunal revisor de la posibilidad de señalar el eslabón defectuoso de la cadena inferencial. Esta observación anticipa la primera de las críticas que la doctrina formula al uso forense de la adminiculación y muestra la necesidad de clasificar los indicios con precisión.</w:t>
      </w:r>
    </w:p>
    <w:p>
      <w:pPr>
        <w:spacing w:before="0" w:after="0" w:line="360" w:lineRule="auto"/>
        <w:ind w:firstLine="709"/>
        <w:jc w:val="both"/>
      </w:pPr>
      <w:r>
        <w:rPr>
          <w:rFonts w:ascii="Arial" w:eastAsia="Arial" w:hAnsi="Arial" w:cs="Arial"/>
          <w:color w:val="000000"/>
          <w:sz w:val="24"/>
          <w:szCs w:val="24"/>
        </w:rPr>
        <w:t xml:space="preserve">Las clases de indicios completan la delimitación del concepto. La doctrina clásica clasificó los indicios según la fuerza de su enlace con el hecho a probar. La distinción más difundida separa los indicios necesarios de los indicios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indicios contingentes revelan de modo más o menos probable cierta causa o cierto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y suelen apoyarse en reglas científicas o técnicas cuando existen. Por ello los indicios necesarios constituyen la única excepción a la exigencia de pluralidad. La inmensa mayoría de los indicios con los que trabaja un tribunal son contingentes, y esa circunstancia obliga a examinar el valor teórico de las clasificaciones tradicionales.</w:t>
      </w:r>
    </w:p>
    <w:p>
      <w:pPr>
        <w:spacing w:before="0" w:after="0" w:line="360" w:lineRule="auto"/>
        <w:ind w:firstLine="709"/>
        <w:jc w:val="both"/>
      </w:pPr>
      <w:r>
        <w:rPr>
          <w:rFonts w:ascii="Arial" w:eastAsia="Arial" w:hAnsi="Arial" w:cs="Arial"/>
          <w:color w:val="000000"/>
          <w:sz w:val="24"/>
          <w:szCs w:val="24"/>
        </w:rPr>
        <w:t xml:space="preserve">Carnelutti cuestionó el valor teórico de estas clasificaciones. El autor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sino al indicio contemplado en relación con un tema de prueba determinado. En consecuencia,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Esa tipología distingue indicios equiprobables, indicios de probabilidad prevalente, indicios cualificados e indicios necesarios. La escala tiene una ventaja metodológica clara frente a las clasificaciones tradicionales, porque vincula cada categoría con su rendimiento en el proceso. La escala obliga a precisar cuántas hipótesis rivales deja abiertas cada indicio y, con ello, cuánta prueba adicional se necesita para cerrarlas.</w:t>
      </w:r>
    </w:p>
    <w:p>
      <w:pPr>
        <w:spacing w:before="0" w:after="0" w:line="360" w:lineRule="auto"/>
        <w:ind w:firstLine="709"/>
        <w:jc w:val="both"/>
      </w:pPr>
      <w:r>
        <w:rPr>
          <w:rFonts w:ascii="Arial" w:eastAsia="Arial" w:hAnsi="Arial" w:cs="Arial"/>
          <w:color w:val="000000"/>
          <w:sz w:val="24"/>
          <w:szCs w:val="24"/>
        </w:rPr>
        <w:t xml:space="preserve">Las clasificaciones anteriores explican la exigencia de pluralidad que la doctrina y la jurisprudencia imponen a la prueba indiciaria. Si el indicio contingente solo engendra probabilidad, un indicio aislado no puede fundar por sí mismo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El autor refirió que la ley austriaca de 1833 exigía, en principio, la reunión de tres indicios. Mittermaier advirtió sin embargo un límite fundamental, pues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 cuya multiplicación aparente no añade información nueva.</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 de modo que el número de indicios no mide por sí solo su fuerza.</w:t>
      </w:r>
    </w:p>
    <w:p>
      <w:pPr>
        <w:spacing w:before="0" w:after="0" w:line="360" w:lineRule="auto"/>
        <w:ind w:firstLine="709"/>
        <w:jc w:val="both"/>
      </w:pPr>
      <w:r>
        <w:rPr>
          <w:rFonts w:ascii="Arial" w:eastAsia="Arial" w:hAnsi="Arial" w:cs="Arial"/>
          <w:color w:val="000000"/>
          <w:sz w:val="24"/>
          <w:szCs w:val="24"/>
        </w:rPr>
        <w:t xml:space="preserve">La pluralidad de indicios no es un requisito aritmético. Lo relevante para la pluralidad es la independencia de las fuentes de las que provienen los indicios y la variedad de los datos que aportan. González Lagier sostiene que un solo hecho probatorio muy fiable puede pesar más que varios hechos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El mismo autor añade que la variedad de los datos refuerza la confirmación y explica, siguiendo a Cohen,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Para Ferrer Beltrán, la confirmación de una hipótesis depende de la cantidad de datos favorables y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Diez indicios derivados de una misma fuente valen menos que tres indicios independientes, porque solo estos últimos someten la hipótesis a pruebas distintas.</w:t>
      </w:r>
    </w:p>
    <w:p>
      <w:pPr>
        <w:spacing w:before="0" w:after="0" w:line="360" w:lineRule="auto"/>
        <w:ind w:firstLine="709"/>
        <w:jc w:val="both"/>
      </w:pPr>
      <w:r>
        <w:rPr>
          <w:rFonts w:ascii="Arial" w:eastAsia="Arial" w:hAnsi="Arial" w:cs="Arial"/>
          <w:color w:val="000000"/>
          <w:sz w:val="24"/>
          <w:szCs w:val="24"/>
        </w:rPr>
        <w:t xml:space="preserve">La presencia de contraindicios debilita el conjunto indiciario. Mittermaier distinguió dos clases de hechos favorables al acusado que el juez debe examinar junto con los datos de cargo.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hechos impiden atribuirle el hecho delictivo, y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La convergencia desaparece en ese supuesto y el juez no puede obtener pleno convencimiento. Por consiguiente, la valoración indiciaria es siempre bidireccional y nunca puede limitarse a sumar los datos de cargo. Esa valoración obliga a ponderar lo que confirma la hipótesis y lo que la refuta, pero no explica todavía por qué el enlace entre los hechos autoriza la conclusión.</w:t>
      </w:r>
    </w:p>
    <w:p>
      <w:pPr>
        <w:spacing w:before="0" w:after="0" w:line="360" w:lineRule="auto"/>
        <w:ind w:firstLine="709"/>
        <w:jc w:val="both"/>
      </w:pPr>
      <w:r>
        <w:rPr>
          <w:rFonts w:ascii="Arial" w:eastAsia="Arial" w:hAnsi="Arial" w:cs="Arial"/>
          <w:color w:val="000000"/>
          <w:sz w:val="24"/>
          <w:szCs w:val="24"/>
        </w:rPr>
        <w:t xml:space="preserve">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ese punto de partida al afirmar que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pues ya no interesa si el juez quedó convencido sino si la inferencia es sólida. La solidez de la inferencia, a diferencia de la convicción, puede ser controlada por terceros.</w:t>
      </w:r>
    </w:p>
    <w:p>
      <w:pPr>
        <w:spacing w:before="0" w:after="0" w:line="360" w:lineRule="auto"/>
        <w:ind w:firstLine="709"/>
        <w:jc w:val="both"/>
      </w:pPr>
      <w:r>
        <w:rPr>
          <w:rFonts w:ascii="Arial" w:eastAsia="Arial" w:hAnsi="Arial" w:cs="Arial"/>
          <w:color w:val="000000"/>
          <w:sz w:val="24"/>
          <w:szCs w:val="24"/>
        </w:rPr>
        <w:t xml:space="preserve">La primera tarea epistemológica consiste en identificar el tipo de razonamiento que subyace a la inferencia probatoria. González Lagier examina con ese fin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aunque conserva fuerza por su potencial explicativo. El autor concluye que la discusión sobre el esquema lógico correcto puede resultar estéril para la práctica judicial. Lo relevante es que la conclusión de una inferencia probatoria nunca alcanza certeza lógica, cualquiera que sea el esquema que se adopte para reconstruirla.</w:t>
      </w:r>
    </w:p>
    <w:p>
      <w:pPr>
        <w:spacing w:before="0" w:after="0" w:line="360" w:lineRule="auto"/>
        <w:ind w:firstLine="709"/>
        <w:jc w:val="both"/>
      </w:pPr>
      <w:r>
        <w:rPr>
          <w:rFonts w:ascii="Arial" w:eastAsia="Arial" w:hAnsi="Arial" w:cs="Arial"/>
          <w:color w:val="000000"/>
          <w:sz w:val="24"/>
          <w:szCs w:val="24"/>
        </w:rPr>
        <w:t xml:space="preserve">La solidez de una inferencia que nunca alcanza certeza lógica se evalúa mediante criterios graduales. González Lagier organiza esos criterios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el autor pregunta si son fiables, suficientes, variados y pertinentes. Respecto de la garantía, el autor pregunta si la máxima está bien fundada y si expresa una probabilidad causal suficiente. Respecto de la hipótesis, el autor pregunta si ha sido refutada, si se confirmaron sus hipótesis derivadas y si se eliminaron las hipótesis alternativas. El último criterio atiende a si la hipótesis es coherente y simple frente a las explicaciones rivales.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 y por ello la solidez de una inferencia es siempre una cuestión de grado.</w:t>
      </w:r>
    </w:p>
    <w:p>
      <w:pPr>
        <w:spacing w:before="0" w:after="0" w:line="360" w:lineRule="auto"/>
        <w:ind w:firstLine="709"/>
        <w:jc w:val="both"/>
      </w:pPr>
      <w:r>
        <w:rPr>
          <w:rFonts w:ascii="Arial" w:eastAsia="Arial" w:hAnsi="Arial" w:cs="Arial"/>
          <w:color w:val="000000"/>
          <w:sz w:val="24"/>
          <w:szCs w:val="24"/>
        </w:rPr>
        <w:t xml:space="preserve">Este catálogo de criterios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de los hechos probatorios. La pluralidad corresponde a la cantidad de datos, y la relación del indicio con el hecho por probar corresponde a la pertinencia. La concordancia de los indicios entre sí corresponde a la coherencia de la hipótesis que los explica. El enlace conforme a la lógica y a la experiencia corresponde a una garantía bien fundada. La ausencia de contraindicios corresponde a la no refutación de la hipótesis. Por lo tanto, los requisitos forenses traducen al plano institucional pautas epistemológicas, y esa traducción permite someter la práctica judicial a un control racional.</w:t>
      </w:r>
    </w:p>
    <w:p>
      <w:pPr>
        <w:spacing w:before="0" w:after="0" w:line="360" w:lineRule="auto"/>
        <w:ind w:firstLine="709"/>
        <w:jc w:val="both"/>
      </w:pPr>
      <w:r>
        <w:rPr>
          <w:rFonts w:ascii="Arial" w:eastAsia="Arial" w:hAnsi="Arial" w:cs="Arial"/>
          <w:color w:val="000000"/>
          <w:sz w:val="24"/>
          <w:szCs w:val="24"/>
        </w:rPr>
        <w:t xml:space="preserve">La garantía de la inferencia exige un análisis particularmente cuidadoso porque de ella depende la fuerza del paso entre el indicio y la conclusión.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La credibilidad de cada máxima depende de la solidez de la inducción que la generó. Gascón Abellán, seguida por González Lagier, exige examinar su fundamento cognoscitivo para excluir generalizaciones apresuradas y prejuicios. González Lagier agrega una cautela adicional para el control de la garantía. No basta que la máxima esté bien fundada, pues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El autor recomienda desconfiar de las reglas construidas para el caso concreto. Una regla creada para explicar el caso no descansa en ninguna inducción previa y carece, por tanto, del fundamento empírico que da credibilidad a una máxima de experiencia.</w:t>
      </w:r>
    </w:p>
    <w:p>
      <w:pPr>
        <w:spacing w:before="0" w:after="0" w:line="360" w:lineRule="auto"/>
        <w:ind w:firstLine="709"/>
        <w:jc w:val="both"/>
      </w:pPr>
      <w:r>
        <w:rPr>
          <w:rFonts w:ascii="Arial" w:eastAsia="Arial" w:hAnsi="Arial" w:cs="Arial"/>
          <w:color w:val="000000"/>
          <w:sz w:val="24"/>
          <w:szCs w:val="24"/>
        </w:rPr>
        <w:t xml:space="preserve">Igartua precisa la diferencia entre la valoración individual y la valoración conjunta, dos operaciones que la práctica forense suele confundir. La valoración individual examina primero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La valoración conjunta comienza después de esa decantación y trabaja con los elementos que superaron el examen individual. En esta segunda fase cobran sentido la gravedad, la precisión y la concordancia de los indicios. La convergencia solo tiene sentido si los indicios son varios, porque un indicio único no puede converger con nada. La precisión y la gravedad de cada indicio dependen de su interrelación con los demás, y esa interrelación exige una imagen que permita comprenderla.</w:t>
      </w:r>
    </w:p>
    <w:p>
      <w:pPr>
        <w:spacing w:before="0" w:after="0" w:line="360" w:lineRule="auto"/>
        <w:ind w:firstLine="709"/>
        <w:jc w:val="both"/>
      </w:pPr>
      <w:r>
        <w:rPr>
          <w:rFonts w:ascii="Arial" w:eastAsia="Arial" w:hAnsi="Arial" w:cs="Arial"/>
          <w:color w:val="000000"/>
          <w:sz w:val="24"/>
          <w:szCs w:val="24"/>
        </w:rPr>
        <w:t xml:space="preserve">Igartua propone una imagen para comprender la valoración conjunta y los vínculos que se establecen entre los indicios. El autor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la manera en que se cruza con las demás respuestas. Los nexos entre indicios pueden ser incompatibles, meramente compatibles o recíprocamente implicados. Los nexos incompatibles merman la fuerza de cada elemento, los compatibles la conservan y los recíprocamente implicados la incrementan. Después debe verificarse si el conjunto abarca todas las partes esenciales de la hipótesis y no solo algunos de sus fragmentos. Esta secuencia ofrece un modelo operativo de lo que los tribunales mexicanos llaman adminiculación. El modelo del crucigrama no garantiza por sí mismo que la unión de los indicios produzca una corroboración mayor.</w:t>
      </w:r>
    </w:p>
    <w:p>
      <w:pPr>
        <w:spacing w:before="0" w:after="0" w:line="360" w:lineRule="auto"/>
        <w:ind w:firstLine="709"/>
        <w:jc w:val="both"/>
      </w:pPr>
      <w:r>
        <w:rPr>
          <w:rFonts w:ascii="Arial" w:eastAsia="Arial" w:hAnsi="Arial" w:cs="Arial"/>
          <w:color w:val="000000"/>
          <w:sz w:val="24"/>
          <w:szCs w:val="24"/>
        </w:rPr>
        <w:t xml:space="preserve">La corroboración conjunta de los indicios no es un resultado automático de su acumulación.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La combinación, sin embargo, no siempre es más fuerte que sus partes y solo a veces lo es. El resultado depende de la forma en que están unidos los indicios y de la independencia de cada uno respecto de los demás. Igartua concluye por esa razón que los indicios deben resultar concluyentes al unirse. Mittermaier había intuido el mismo fenómeno un siglo y medio antes. El autor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suministra un indicio la suministra el otro y, por ello, la confirma, siempre que ambos caminos sean realmente distintos.</w:t>
      </w:r>
    </w:p>
    <w:p>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El verbo adminicular procede del latín </w:t>
      </w:r>
      <w:r>
        <w:rPr>
          <w:rFonts w:ascii="Arial" w:eastAsia="Arial" w:hAnsi="Arial" w:cs="Arial"/>
          <w:i/>
          <w:iCs/>
          <w:color w:val="000000"/>
          <w:sz w:val="24"/>
          <w:szCs w:val="24"/>
        </w:rPr>
        <w:t xml:space="preserve">adminiculum</w:t>
      </w:r>
      <w:r>
        <w:rPr>
          <w:rFonts w:ascii="Arial" w:eastAsia="Arial" w:hAnsi="Arial" w:cs="Arial"/>
          <w:color w:val="000000"/>
          <w:sz w:val="24"/>
          <w:szCs w:val="24"/>
        </w:rPr>
        <w:t xml:space="preserve">, voz que designa un apoyo o sostén. Su uso procesal es antiguo, pues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xml:space="preserve">,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Esa categoría designaba varios testimonios que versaban sobre hechos distintos, pero que se sucedían y se completaban entre sí. El juez debía hacerse cargo de todos esos testimonios y de su íntimo enlace antes de formar su juicio. El mismo autor empleó la voz adminículos para designar las circunstancias relativas a la conducta y moralidad del acusado.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Estas circunstancias no eran verdaderos indicios, sino meros complementos de prueba. La doble acepción muestra que el término nació para describir elementos que no prueban solos, pero que apoyan a otros.</w:t>
      </w:r>
    </w:p>
    <w:p>
      <w:pPr>
        <w:spacing w:before="0" w:after="0" w:line="360" w:lineRule="auto"/>
        <w:ind w:firstLine="709"/>
        <w:jc w:val="both"/>
      </w:pPr>
      <w:r>
        <w:rPr>
          <w:rFonts w:ascii="Arial" w:eastAsia="Arial" w:hAnsi="Arial" w:cs="Arial"/>
          <w:color w:val="000000"/>
          <w:sz w:val="24"/>
          <w:szCs w:val="24"/>
        </w:rPr>
        <w:t xml:space="preserve">La adminiculación tiene un anclaje legal expreso en el derecho electoral mexicano vigente.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cuando generan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La adminiculación es el método que la propia ley exige para perfeccionar pruebas que aisladamente son imperfectas.</w:t>
      </w:r>
    </w:p>
    <w:p>
      <w:pPr>
        <w:spacing w:before="0" w:after="0" w:line="360" w:lineRule="auto"/>
        <w:ind w:firstLine="709"/>
        <w:jc w:val="both"/>
      </w:pPr>
      <w:r>
        <w:rPr>
          <w:rFonts w:ascii="Arial" w:eastAsia="Arial" w:hAnsi="Arial" w:cs="Arial"/>
          <w:color w:val="000000"/>
          <w:sz w:val="24"/>
          <w:szCs w:val="24"/>
        </w:rPr>
        <w:t xml:space="preserve">La justicia penal federal desarrolló en paralelo la doctrina de la prueba circunstancial. La Primera Sala de la Suprema Corte de Justicia de la Nación resolvió el amparo directo 78/2012 el 21 de agosto de 2013, y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La Sala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El ministro reprochó a la mayoría no analizar de manera exhaustiva cada una de las pruebas antes de declarar su insuficiencia. La mayoría sostuvo por su parte que diversas presunciones abstractas no se contrastaron con otras hipótesis posibles.</w:t>
      </w:r>
    </w:p>
    <w:p>
      <w:pPr>
        <w:spacing w:before="0" w:after="0" w:line="360" w:lineRule="auto"/>
        <w:ind w:firstLine="709"/>
        <w:jc w:val="both"/>
      </w:pPr>
      <w:r>
        <w:rPr>
          <w:rFonts w:ascii="Arial" w:eastAsia="Arial" w:hAnsi="Arial" w:cs="Arial"/>
          <w:color w:val="000000"/>
          <w:sz w:val="24"/>
          <w:szCs w:val="24"/>
        </w:rPr>
        <w:t xml:space="preserve">Los tribunales colegiados trasladaron esa doctrina al sistema acusatorio y precisaron sus condiciones de validez.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El tribunal condicionó esa validez a que el resultado satisfaga el umbral de culpabilidad más allá de toda duda razonable. El tribunal exigió indicios unívocos, concurrentes, convergentes e interrelacionados. Para justificar su criterio, el colegiado invocó la sentencia 175/1985 del Tribunal Constitucional español. El colegiado citó en el mismo sentido la sentencia 229/1988 de ese tribunal, que exige explicitar el recorrido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pPr>
        <w:spacing w:before="0" w:after="0" w:line="360" w:lineRule="auto"/>
        <w:ind w:firstLine="709"/>
        <w:jc w:val="both"/>
      </w:pPr>
      <w:r>
        <w:rPr>
          <w:rFonts w:ascii="Arial" w:eastAsia="Arial" w:hAnsi="Arial" w:cs="Arial"/>
          <w:color w:val="000000"/>
          <w:sz w:val="24"/>
          <w:szCs w:val="24"/>
        </w:rPr>
        <w:t xml:space="preserve">La adminiculación adquirió perfiles propios en materia electoral por la naturaleza de los hechos que se discuten en ella. La Sala Superior enfrentó irregularidades que, por su naturaleza, rara vez dejan prueba documental directa. El juicio de revisión constitucional electoral SUP-JRC-487/2000, relativo a la elección de gobernador de Tabasco, ilustra el método con precisión. En ese juicio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La primera etapa examinaría cada probanza en forma particular, y la segunda valoraría las pruebas de manera concatenada mediante la adminiculación de sus contenidos. El objetivo declarado fue poner de relieve concordancias y discordancias para establecer su valor exacto. La Sala sostuvo en la misma resolución que los testimonios rendidos ante notario solo constituyen indicios. Esos testimonios debían adminicularse con otros medios que produjeran certidumbre sobre los hechos para formar convicción.</w:t>
      </w:r>
    </w:p>
    <w:p>
      <w:pPr>
        <w:spacing w:before="0" w:after="0" w:line="360" w:lineRule="auto"/>
        <w:ind w:firstLine="709"/>
        <w:jc w:val="both"/>
      </w:pPr>
      <w:r>
        <w:rPr>
          <w:rFonts w:ascii="Arial" w:eastAsia="Arial" w:hAnsi="Arial" w:cs="Arial"/>
          <w:color w:val="000000"/>
          <w:sz w:val="24"/>
          <w:szCs w:val="24"/>
        </w:rPr>
        <w:t xml:space="preserve">La Sala Superior emitió criterios congruentes con ese método respecto de pruebas de bajo valor autónomo, que abundan en los juicios electorales.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La fuerza de esas notas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las pruebas técnicas requieren otros elementos que las corroboren. Ambos criterios comparten una lógica común que coincide con las exigencias doctrinales de independencia y variedad. La independencia de las fuentes y la corroboración externa suplen la debilidad de cada elemento aislado y convierten un conjunto de datos frágiles en una base razonable para decidir.</w:t>
      </w:r>
    </w:p>
    <w:p>
      <w:pPr>
        <w:spacing w:before="0" w:after="0" w:line="360" w:lineRule="auto"/>
        <w:ind w:firstLine="709"/>
        <w:jc w:val="both"/>
      </w:pPr>
      <w:r>
        <w:rPr>
          <w:rFonts w:ascii="Arial" w:eastAsia="Arial" w:hAnsi="Arial" w:cs="Arial"/>
          <w:color w:val="000000"/>
          <w:sz w:val="24"/>
          <w:szCs w:val="24"/>
        </w:rPr>
        <w:t xml:space="preserve">La Sala Superior vinculó la prueba indiciaria con el carácter determinante de las irregularidades que se invocan como causa de nulidad.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a esa apertura probatoria.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 sin precisar el grado de prueba que la satisface.</w:t>
      </w:r>
      <w:r>
        <w:rPr>
          <w:rFonts w:ascii="Arial" w:eastAsia="Arial" w:hAnsi="Arial" w:cs="Arial"/>
          <w:color w:val="000000"/>
          <w:sz w:val="24"/>
          <w:szCs w:val="24"/>
          <w:vertAlign w:val="superscript"/>
        </w:rPr>
        <w:footnoteReference w:id="59"/>
      </w:r>
    </w:p>
    <w:p>
      <w:pPr>
        <w:spacing w:before="0" w:after="0" w:line="360" w:lineRule="auto"/>
        <w:ind w:firstLine="709"/>
        <w:jc w:val="both"/>
      </w:pPr>
      <w:r>
        <w:rPr>
          <w:rFonts w:ascii="Arial" w:eastAsia="Arial" w:hAnsi="Arial" w:cs="Arial"/>
          <w:color w:val="000000"/>
          <w:sz w:val="24"/>
          <w:szCs w:val="24"/>
        </w:rPr>
        <w:t xml:space="preserve">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la parte actora difícilmente podía obtener pruebas directas de cada conducta denunciada y admitió por ello la prueba mediante indicios y ejercicios inferenciales. La Sala fijó, sin embargo, tres requisitos para que esa forma de prueba resultara admisible. El primero exige indicios acreditados con pruebas directas, plurales, concomitantes al hecho e interrelacionados. Ese mismo requisito exige inferencias razonables que fluyan de manera natural, sin conexiones forzadas. El segundo requisito exige un razonamiento pormenorizado que permita reconstruir el ejercicio inferencial en la sentencia. El tercero exige contrastar la conclusión con otras hipótesis para descartarlas.</w:t>
      </w:r>
    </w:p>
    <w:p>
      <w:pPr>
        <w:spacing w:before="0" w:after="0" w:line="360" w:lineRule="auto"/>
        <w:ind w:firstLine="709"/>
        <w:jc w:val="both"/>
      </w:pPr>
      <w:r>
        <w:rPr>
          <w:rFonts w:ascii="Arial" w:eastAsia="Arial" w:hAnsi="Arial" w:cs="Arial"/>
          <w:color w:val="000000"/>
          <w:sz w:val="24"/>
          <w:szCs w:val="24"/>
        </w:rPr>
        <w:t xml:space="preserve">La Sala Superior desestimó la pretensión de nulidad al aplicar ese marco. La Sala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La pluralidad tampoco existía, pues solo había indicio sobre la existencia limitada de los materiales aportados, y faltaban indicios concomitantes que permitieran inferir su difusión, su autoría o su financiamiento. Sin indicios suficientes no era posible realizar inferencias lógicas. La resolución muestra el grado de desarrollo de la doctrina jurisdiccional, porque sus requisitos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al uso forense de la adminiculación.</w:t>
      </w:r>
    </w:p>
    <w:p>
      <w:pPr>
        <w:spacing w:before="0" w:after="0" w:line="360" w:lineRule="auto"/>
        <w:ind w:firstLine="709"/>
        <w:jc w:val="both"/>
      </w:pPr>
      <w:r>
        <w:rPr>
          <w:rFonts w:ascii="Arial" w:eastAsia="Arial" w:hAnsi="Arial" w:cs="Arial"/>
          <w:color w:val="000000"/>
          <w:sz w:val="24"/>
          <w:szCs w:val="24"/>
        </w:rPr>
        <w:t xml:space="preserve">La crítica al uso forense de la adminiculación se articula en cinco objeciones. La primera objeción se dirige contra la fórmula de la valoración conjunta cuando se emplea sin motivación analítica. Igartua advierte que el calificativo conjunta parece eximir de toda glosa y que esa dejación convierte la valoración conjunta en el baluarte de la valoración más subjetiva e incontrolable.</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El autor describe dos imágenes opuestas. La imagen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imagen incorrecta es la de un puré, donde todo se funde en una convicción indistinta. Muchas sentencias adoptan la segunda imagen, y en ellas el lector no puede saber qué indicio sostuvo qué parte de la conclusión. En consecuencia, la adminiculación deja de ser un método y se convierte en una fórmula de estilo.</w:t>
      </w:r>
    </w:p>
    <w:p>
      <w:pPr>
        <w:spacing w:before="0" w:after="0" w:line="360" w:lineRule="auto"/>
        <w:ind w:firstLine="709"/>
        <w:jc w:val="both"/>
      </w:pPr>
      <w:r>
        <w:rPr>
          <w:rFonts w:ascii="Arial" w:eastAsia="Arial" w:hAnsi="Arial" w:cs="Arial"/>
          <w:color w:val="000000"/>
          <w:sz w:val="24"/>
          <w:szCs w:val="24"/>
        </w:rPr>
        <w:t xml:space="preserve">La segunda objeción atañe al conteo indebido de indicios, que produce una apariencia de corroboración sin sustento real. La pluralidad puede simularse mediante la fragmentación de un mismo hecho en varios enunciados que el tribunal cuenta como indicios distintos.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aunque se publiquen en medios diferentes. En tal caso la coincidencia entre las notas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de la hipótesis, aunque aumente el volumen del expediente. Esta advertencia resulta especialmente pertinente en materia electoral, donde abundan pruebas técnicas y periodísticas de origen común.</w:t>
      </w:r>
    </w:p>
    <w:p>
      <w:pPr>
        <w:spacing w:before="0" w:after="0" w:line="360" w:lineRule="auto"/>
        <w:ind w:firstLine="709"/>
        <w:jc w:val="both"/>
      </w:pPr>
      <w:r>
        <w:rPr>
          <w:rFonts w:ascii="Arial" w:eastAsia="Arial" w:hAnsi="Arial" w:cs="Arial"/>
          <w:color w:val="000000"/>
          <w:sz w:val="24"/>
          <w:szCs w:val="24"/>
        </w:rPr>
        <w:t xml:space="preserve">La tercera objeción se refiere a la opacidad de las máximas de experiencia. Muchas resoluciones enlazan indicios y conclusiones sin enunciar la regla de experiencia que autoriza el paso de unos a otras.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Una sentencia que no explicita la máxima tampoco explicita esa probabilidad. De esta manera, la inferencia queda inmunizada contra el control de las partes y del tribunal que revisa la sentencia.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pPr>
        <w:spacing w:before="0" w:after="0" w:line="360" w:lineRule="auto"/>
        <w:ind w:firstLine="709"/>
        <w:jc w:val="both"/>
      </w:pPr>
      <w:r>
        <w:rPr>
          <w:rFonts w:ascii="Arial" w:eastAsia="Arial" w:hAnsi="Arial" w:cs="Arial"/>
          <w:color w:val="000000"/>
          <w:sz w:val="24"/>
          <w:szCs w:val="24"/>
        </w:rPr>
        <w:t xml:space="preserve">La cuarta objeción recae sobre el riesgo inverso de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pues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Esos requisitos no deben leerse como casillas cuya mera marca garantiza la conclusión. La lectura gradual de los requisitos deja abierta la pregunta sobre el peso que debe alcanzar el conjunto.</w:t>
      </w:r>
    </w:p>
    <w:p>
      <w:pPr>
        <w:spacing w:before="0" w:after="0" w:line="360" w:lineRule="auto"/>
        <w:ind w:firstLine="709"/>
        <w:jc w:val="both"/>
      </w:pPr>
      <w:r>
        <w:rPr>
          <w:rFonts w:ascii="Arial" w:eastAsia="Arial" w:hAnsi="Arial" w:cs="Arial"/>
          <w:color w:val="000000"/>
          <w:sz w:val="24"/>
          <w:szCs w:val="24"/>
        </w:rPr>
        <w:t xml:space="preserve">La quinta objeción, la más relevante para esta investigación, es la ausencia de un umbral explícito. Los requisitos jurisprudenciales indican cómo construir la inferencia, pero no cuánto debe pesar el conjunto. Igartua expresa esta carencia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y ese grado se mide con el estándar que corresponda. A diferencia de la valoración individual, en esta fase no rige el todo o nada. El criterio que rige es el más o el menos, en función de la probabilidad de la reconstrucción. De ahí que la adminiculación sea incompleta por sí sola como criterio de decisión. La adminiculación requiere un parámetro externo que indique cuándo la probabilidad alcanzada basta.</w:t>
      </w:r>
    </w:p>
    <w:p>
      <w:pPr>
        <w:spacing w:before="0" w:after="0" w:line="360" w:lineRule="auto"/>
        <w:ind w:firstLine="709"/>
        <w:jc w:val="both"/>
      </w:pPr>
      <w:r>
        <w:rPr>
          <w:rFonts w:ascii="Arial" w:eastAsia="Arial" w:hAnsi="Arial" w:cs="Arial"/>
          <w:color w:val="000000"/>
          <w:sz w:val="24"/>
          <w:szCs w:val="24"/>
        </w:rPr>
        <w:t xml:space="preserve">La quinta objeción conduce a deslindar la adminiculación del estándar de prueba. Una confusión frecuente consiste en tratar la adminiculación como si fuera un estándar de prueba. La teoría de los momentos de la actividad probatoria aclara esa distinción con precisión. Ferrer Beltrán distingue la conformación del conjunto de elementos de juicio, la valoración de esos elementos y la adopción de la decisión sobre los hechos probados.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En el momento de la valoración, cada hipótesis recibe un grado de confirmación según el apoyo que le prestan los elementos de juicio disponibles. En el momento de la decisión, un estándar de prueba determina si ese grado basta para declarar probada la hipótesis. La adminiculación pertenece al momento de la valoración de la prueba. El estándar de prueba pertenece al momento de la decisión.</w:t>
      </w:r>
    </w:p>
    <w:p>
      <w:pPr>
        <w:spacing w:before="0" w:after="0" w:line="360" w:lineRule="auto"/>
        <w:ind w:firstLine="709"/>
        <w:jc w:val="both"/>
      </w:pPr>
      <w:r>
        <w:rPr>
          <w:rFonts w:ascii="Arial" w:eastAsia="Arial" w:hAnsi="Arial" w:cs="Arial"/>
          <w:color w:val="000000"/>
          <w:sz w:val="24"/>
          <w:szCs w:val="24"/>
        </w:rPr>
        <w:t xml:space="preserve">Esa distinción entre momentos sostiene una consecuencia metodológica central para el análisis del razonamiento probatorio.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La decisión sobre los hechos requiere la intermediación de algún estándar de prueba que fije el grado de confirmación suficiente. Ni siquiera la hipótesis más confirmada debe darse siempre por probada si su grado de confirmación no alcanza ese umbral.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Esa elección responde a los valores en juego en cada tipo de proceso y a la distribución de errores que el derecho considera tolerable. Igartua coincide en que compete al legislador fijar la cantidad de prueba exigida.</w:t>
      </w:r>
      <w:r>
        <w:rPr>
          <w:rFonts w:ascii="Arial" w:eastAsia="Arial" w:hAnsi="Arial" w:cs="Arial"/>
          <w:color w:val="000000"/>
          <w:sz w:val="24"/>
          <w:szCs w:val="24"/>
          <w:vertAlign w:val="superscript"/>
        </w:rPr>
        <w:footnoteReference w:id="75"/>
      </w:r>
    </w:p>
    <w:p>
      <w:pPr>
        <w:spacing w:before="0" w:after="0" w:line="360" w:lineRule="auto"/>
        <w:ind w:firstLine="709"/>
        <w:jc w:val="both"/>
      </w:pPr>
      <w:r>
        <w:rPr>
          <w:rFonts w:ascii="Arial" w:eastAsia="Arial" w:hAnsi="Arial" w:cs="Arial"/>
          <w:color w:val="000000"/>
          <w:sz w:val="24"/>
          <w:szCs w:val="24"/>
        </w:rPr>
        <w:t xml:space="preserve">La materia electoral carece de un estándar de prueba enunciado con claridad, a diferencia del proceso penal. La jurisprudencia electoral exige que las irregularidades estén plenamente acreditadas y que sean determinantes.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indiciaria en materia electoral. Esa sentencia no precisa el umbral con el que debe contrastarse el resultado. La consecuencia de esa omisión es una zona de discrecionalidad que ningún criterio jurisprudencial ha delimitado. En esa zona dos tribunales pueden aplicar correctamente la adminiculación y llegar a decisiones opuestas sobre los mismos hechos.</w:t>
      </w:r>
    </w:p>
    <w:p>
      <w:pPr>
        <w:spacing w:before="0" w:after="0" w:line="360" w:lineRule="auto"/>
        <w:ind w:firstLine="709"/>
        <w:jc w:val="both"/>
      </w:pPr>
      <w:r>
        <w:rPr>
          <w:rFonts w:ascii="Arial" w:eastAsia="Arial" w:hAnsi="Arial" w:cs="Arial"/>
          <w:color w:val="000000"/>
          <w:sz w:val="24"/>
          <w:szCs w:val="24"/>
        </w:rPr>
        <w:t xml:space="preserve">La adminiculación resuelve cómo se construyen y articulan los indicios que obran en el expediente. La adminiculación no resuelve cuánta fuerza epistémica conjunta se necesita para tener por acreditado un hecho. La primera cuestión es metodológica y se rige por criterios de solidez inferencial. La segunda cuestión es normativa y se rige por una regla de decisión. La confusión de ambas cuestiones produce dos errores simétricos que afectan la calidad de las decisiones judiciales. El primer error consiste en creer que una adminiculación correcta garantiza por sí sola la decisión sobre los hechos. El segundo error consiste en creer que un estándar exigente dispensa al tribunal de motivar la inferencia que conduce a su conclusión. Esta limitación inherente al método adminiculador justifica el estudio del estándar de prueba como regla de decisión autónoma.</w:t>
      </w:r>
    </w:p>
    <w:p>
      <w:pPr>
        <w:spacing w:before="0" w:after="0" w:line="360" w:lineRule="auto"/>
        <w:ind w:firstLine="709"/>
        <w:jc w:val="both"/>
      </w:pPr>
      <w:r>
        <w:rPr>
          <w:rFonts w:ascii="Arial" w:eastAsia="Arial" w:hAnsi="Arial" w:cs="Arial"/>
          <w:color w:val="000000"/>
          <w:sz w:val="24"/>
          <w:szCs w:val="24"/>
        </w:rPr>
        <w:t xml:space="preserve">Un caso hipotético permite mostrar la operatividad de los criterios expuestos antes de emprender el estudio del estándar. El caso se construye con fines exclusivamente didácticos y sus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pPr>
        <w:spacing w:before="0" w:after="0" w:line="360" w:lineRule="auto"/>
        <w:ind w:firstLine="709"/>
        <w:jc w:val="both"/>
      </w:pPr>
      <w:r>
        <w:rPr>
          <w:rFonts w:ascii="Arial" w:eastAsia="Arial" w:hAnsi="Arial" w:cs="Arial"/>
          <w:color w:val="000000"/>
          <w:sz w:val="24"/>
          <w:szCs w:val="24"/>
        </w:rPr>
        <w:t xml:space="preserve">Cada elemento del caso resulta insuficiente cuando se examina en una valoración individual y separada de los demás. Conforme a la jurisprudencia 4/2014, el video no puede acreditar por sí solo los hechos que contiene. La documental pública solo acredita un acto administrativo lícito, como es la compra de paquetes alimentarios. El informe de geolocalización solo acredita un uso irregular de vehículos oficiales en un lugar y un horario determinados. El acta notarial, según el criterio aplicado en el SUP-JRC-487/2000, solo produce indicios que requieren corroboración externa. Ninguno de estos elementos conduce aislado a la hipótesis de coacción del voto. Sin embargo, la valoración conjunta permite examinar sus nexos mediante la secuencia propuesta por Igartua. Esa secuencia obliga a verificar si los nexos entre los cuatro elementos son incompatibles, meramente compatibles o recíprocamente implicados.</w:t>
      </w:r>
    </w:p>
    <w:p>
      <w:pPr>
        <w:spacing w:before="0" w:after="0" w:line="360" w:lineRule="auto"/>
        <w:ind w:firstLine="709"/>
        <w:jc w:val="both"/>
      </w:pPr>
      <w:r>
        <w:rPr>
          <w:rFonts w:ascii="Arial" w:eastAsia="Arial" w:hAnsi="Arial" w:cs="Arial"/>
          <w:color w:val="000000"/>
          <w:sz w:val="24"/>
          <w:szCs w:val="24"/>
        </w:rPr>
        <w:t xml:space="preserve">Los nexos entre los elementos del caso resultan recíprocamente implicados. El informe de geolocalización corrobora desde una fuente independiente el lugar y la hora que muestra el video. Las características de las cajas del video coinciden con el etiquetado descrito en la documental pública. Esta coincidencia debilita la hipótesis de que las cajas contuvieran mercancía privada ajena al programa social. Las declaraciones vecinales dotan de sentido a la presencia nocturna de los paquetes durante la veda y vinculan su destino con la oferta de despensas. Cada elemento proviene de una fuente distinta y por ello la pluralidad es real y no el resultado de fragmentar un mismo dato. En términos de González Lagier, el conjunto cumple los criterios de fiabilidad, variedad y pertinencia. La corroboración recíproca exige, sin embargo, un contraste con las hipótesis alternativas.</w:t>
      </w:r>
    </w:p>
    <w:p>
      <w:pPr>
        <w:spacing w:before="0" w:after="0" w:line="360" w:lineRule="auto"/>
        <w:ind w:firstLine="709"/>
        <w:jc w:val="both"/>
      </w:pPr>
      <w:r>
        <w:rPr>
          <w:rFonts w:ascii="Arial" w:eastAsia="Arial" w:hAnsi="Arial" w:cs="Arial"/>
          <w:color w:val="000000"/>
          <w:sz w:val="24"/>
          <w:szCs w:val="24"/>
        </w:rPr>
        <w:t xml:space="preserve">La corroboración recíproca no basta si no se contrastan las hipótesis alternativas que la defensa podría proponer. La defensa podría alegar una avería mecánica simultánea de ambos vehículos y la manipulación digital del video. La primera explicación no da cuenta de la coincidencia entre los vehículos, las cajas y el horario. La segunda explicación queda debilitada porque la geolocalización confirma de manera independiente lo que el video registra. Si ninguna hipótesis rival explica el conjunto con igual coherencia, la hipótesis de la infracción se presenta como la mejor explicación disponible. La mejor explicación disponible no cierra, sin embargo, el análisis. El análisis debe determinar todavía si ese grado de confirmación alcanza el umbral exigido para anular una votación o sancionar una conducta. Esa pregunta ya no pertenece a la adminiculación sino al estándar de prueba.</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adminiculación explica cómo se construye la inferencia indiciaria, pero no indica cuánta corroboración basta para decidir. Esa conclusión obliga a examinar una distinción que la cultura jurídica mexicana suele ignorar. La distinción separa la operación de valorar la prueba de la decisión sobre la suficiencia de lo probado. La valoración es una operación epistémica que asigna a cada hipótesis un grado de corroboración. El estándar de prueba es una regla que indica qué grado de corroboración se exige para tener una hipótesis por probada. Ambas figuras responden a preguntas diferentes, porque la valoración pregunta cómo razonar sobre las pruebas y el estándar pregunta cuánto debe pesar el resultado de ese razonamiento. La confusión entre ambas figuras constituye un problema conceptual con efectos prácticos graves en la justicia electoral. La demostración de esa tesis requiere un recorrido que parte de la legislación electoral y termina en los criterios para identificar un auténtico estándar.</w:t>
      </w:r>
    </w:p>
    <w:p>
      <w:pPr>
        <w:spacing w:before="0" w:after="0" w:line="360" w:lineRule="auto"/>
        <w:ind w:firstLine="709"/>
        <w:jc w:val="both"/>
      </w:pPr>
      <w:r>
        <w:rPr>
          <w:rFonts w:ascii="Arial" w:eastAsia="Arial" w:hAnsi="Arial" w:cs="Arial"/>
          <w:color w:val="000000"/>
          <w:sz w:val="24"/>
          <w:szCs w:val="24"/>
        </w:rPr>
        <w:t xml:space="preserve">El recorrido comienza con el planteamiento del problema en la legislación electoral mexicana. Ese planteamiento conduce a reconstruir la genealogía histórica de la distinción entre valoración y estándar. La genealogía muestra por qué la tradición continental dejó sin regular el umbral de suficiencia. El análisis ubica después cada figura en los momentos de la actividad probatoria. Esa ubicación permite explicar la naturaleza normativa del estándar y las funciones que cumple en el proceso. En consecuencia, el estándar puede deslindarse de la carga de la prueba y de la sana crítica, y la convicción del juzgador puede criticarse como criterio de suficiencia. El examen se completa con la recepción de la distinción en el derecho mexicano y con las consecuencias prácticas de ignorarla. Esas consecuencias justifican la formulación de criterios de diagnóstico que permitan reconocer cuándo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La confusión que se examina consiste en una asimilación indebida de dos categorías distintas. Esa asimilación atribuye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sobre la naturaleza del razonamiento probatorio. Si ese razonamiento es probabilístico y la certeza racional es inalcanzable, resulta imprescindible contar con reglas que determinen el grado de probabilidad suficiente, y esas reglas reciben el nombre de estándares de prueba. Sin estándares, otras reglas de decisión no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 y no una simple omisión técnica del legislador.</w:t>
      </w:r>
    </w:p>
    <w:p>
      <w:pPr>
        <w:spacing w:before="0" w:after="0" w:line="360" w:lineRule="auto"/>
        <w:ind w:firstLine="709"/>
        <w:jc w:val="both"/>
      </w:pPr>
      <w:r>
        <w:rPr>
          <w:rFonts w:ascii="Arial" w:eastAsia="Arial" w:hAnsi="Arial" w:cs="Arial"/>
          <w:color w:val="000000"/>
          <w:sz w:val="24"/>
          <w:szCs w:val="24"/>
        </w:rPr>
        <w:t xml:space="preserve">La legislación electoral mexicana ofrece un ejemplo claro de ese defecto estructural.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y por ello su estructura merece un examen detenido. El párrafo 3 establece la regla que interesa a esta investigación. Esa regla fija las condiciones en que las pruebas distintas de las documentales públicas alcanzan valor pleno. El texto del párrafo 3 dispone lo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pPr>
        <w:spacing w:before="0" w:after="0" w:line="360" w:lineRule="auto"/>
        <w:ind w:firstLine="709"/>
        <w:jc w:val="both"/>
      </w:pPr>
      <w:r>
        <w:rPr>
          <w:rFonts w:ascii="Arial" w:eastAsia="Arial" w:hAnsi="Arial" w:cs="Arial"/>
          <w:color w:val="000000"/>
          <w:sz w:val="24"/>
          <w:szCs w:val="24"/>
        </w:rPr>
        <w:t xml:space="preserve">La transcripción anterior revela dos rasgos del diseño legal. El primer rasgo es la mezcla de un método con un criterio de suficiencia, porque el párrafo 1 describe cómo razonar y el párrafo 3 pretende indicar cuándo lo razonado basta. El segundo rasgo es que ese criterio de suficiencia remite a un estado mental del juzgador. Según la norma, la prueba es plena cuando los elementos del expediente generan convicción. La norma no indica qué propiedades debe tener el acervo para merecer esa convicción y no distingue grados de exigencia según la gravedad de la decisión. En consecuencia, la ley traslada la determinación del umbral al juicio subjetivo de cada órgano resolutor. Ese traslado deja a las partes sin un parámetro previo para medir la suficiencia de sus pruebas. La tesis del traslado subjetivo del umbral exige reconstruir el origen histórico de la distinción entre valoración y estándar.</w:t>
      </w:r>
    </w:p>
    <w:p>
      <w:pPr>
        <w:spacing w:before="0" w:after="0" w:line="360" w:lineRule="auto"/>
        <w:ind w:firstLine="709"/>
        <w:jc w:val="both"/>
      </w:pPr>
      <w:r>
        <w:rPr>
          <w:rFonts w:ascii="Arial" w:eastAsia="Arial" w:hAnsi="Arial" w:cs="Arial"/>
          <w:color w:val="000000"/>
          <w:sz w:val="24"/>
          <w:szCs w:val="24"/>
        </w:rPr>
        <w:t xml:space="preserve">El origen histórico de la distinción se encuentra,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comprendía todo lo demás, incluidos el documento privado y el testigo único, y de ella derivaban los indicios, más tarde estudiados como presunciones. Según el autor, ese sistema fue el primer intento de estandarizar la valoración de la prueba. Su propósito era controlar al juez más que ayudarlo. Por ello la prueba legal fijaba de antemano el resultado probatorio de ciertos medios. Esta característica distingue la prueba legal de los estándares contemporáneos, que no fijan el valor de cada medio sino el umbral que debe alcanzar el conjunto.</w:t>
      </w:r>
    </w:p>
    <w:p>
      <w:pPr>
        <w:spacing w:before="0" w:after="0" w:line="360" w:lineRule="auto"/>
        <w:ind w:firstLine="709"/>
        <w:jc w:val="both"/>
      </w:pPr>
      <w:r>
        <w:rPr>
          <w:rFonts w:ascii="Arial" w:eastAsia="Arial" w:hAnsi="Arial" w:cs="Arial"/>
          <w:color w:val="000000"/>
          <w:sz w:val="24"/>
          <w:szCs w:val="24"/>
        </w:rPr>
        <w:t xml:space="preserve">La Ilustración proclamó el principio de libre convicción frente a la prueba legal.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sino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Ese principio significa el rechazo de las pruebas legales y no la autorización de una valoración sin reglas.</w:t>
      </w:r>
    </w:p>
    <w:p>
      <w:pPr>
        <w:spacing w:before="0" w:after="0" w:line="360" w:lineRule="auto"/>
        <w:ind w:firstLine="709"/>
        <w:jc w:val="both"/>
      </w:pPr>
      <w:r>
        <w:rPr>
          <w:rFonts w:ascii="Arial" w:eastAsia="Arial" w:hAnsi="Arial" w:cs="Arial"/>
          <w:color w:val="000000"/>
          <w:sz w:val="24"/>
          <w:szCs w:val="24"/>
        </w:rPr>
        <w:t xml:space="preserve">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Esa concepción producía dos consecuencias, pues la valoración correspondía exclusivamente al juez de instancia y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 de prueba. La tradición angloamericana siguió un camino distinto en apariencia, y ese camino permite contrastar la experiencia continental.</w:t>
      </w:r>
    </w:p>
    <w:p>
      <w:pPr>
        <w:spacing w:before="0" w:after="0" w:line="360" w:lineRule="auto"/>
        <w:ind w:firstLine="709"/>
        <w:jc w:val="both"/>
      </w:pPr>
      <w:r>
        <w:rPr>
          <w:rFonts w:ascii="Arial" w:eastAsia="Arial" w:hAnsi="Arial" w:cs="Arial"/>
          <w:color w:val="000000"/>
          <w:sz w:val="24"/>
          <w:szCs w:val="24"/>
        </w:rPr>
        <w:t xml:space="preserve">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Esa noción provenía de autores como Locke y Wilkins, quienes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 xml:space="preserve">Commonwealth v. Webster</w:t>
      </w:r>
      <w:r>
        <w:rPr>
          <w:rFonts w:ascii="Arial" w:eastAsia="Arial" w:hAnsi="Arial" w:cs="Arial"/>
          <w:color w:val="000000"/>
          <w:sz w:val="24"/>
          <w:szCs w:val="24"/>
        </w:rPr>
        <w:t xml:space="preserve"> de 1850. En 1970 la Corte Suprema de los Estados Unidos otorgó rango constitucional al estándar en el caso </w:t>
      </w:r>
      <w:r>
        <w:rPr>
          <w:rFonts w:ascii="Arial" w:eastAsia="Arial" w:hAnsi="Arial" w:cs="Arial"/>
          <w:i/>
          <w:iCs/>
          <w:color w:val="000000"/>
          <w:sz w:val="24"/>
          <w:szCs w:val="24"/>
        </w:rPr>
        <w:t xml:space="preserve">In re Winship</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el estándar no se concibió como un estándar máximo, sino como una instrucción para jurados. Esa función de instrucción explica que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diversificara después sus fórmulas de suficiencia.</w:t>
      </w:r>
    </w:p>
    <w:p>
      <w:pPr>
        <w:spacing w:before="0" w:after="0" w:line="360" w:lineRule="auto"/>
        <w:ind w:firstLine="709"/>
        <w:jc w:val="both"/>
      </w:pPr>
      <w:r>
        <w:rPr>
          <w:rFonts w:ascii="Arial" w:eastAsia="Arial" w:hAnsi="Arial" w:cs="Arial"/>
          <w:color w:val="000000"/>
          <w:sz w:val="24"/>
          <w:szCs w:val="24"/>
        </w:rPr>
        <w:t xml:space="preserve">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según el tipo de proceso.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ese estándar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y en el vértice quedó el más allá de toda duda razonable. Para este autor, los tres estándares recuerdan poderosamente a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La doctrina alemana elaboró por su parte la noción de </w:t>
      </w:r>
      <w:r>
        <w:rPr>
          <w:rFonts w:ascii="Arial" w:eastAsia="Arial" w:hAnsi="Arial" w:cs="Arial"/>
          <w:i/>
          <w:iCs/>
          <w:color w:val="000000"/>
          <w:sz w:val="24"/>
          <w:szCs w:val="24"/>
        </w:rPr>
        <w:t xml:space="preserve">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 xml:space="preserve">Glaubhaftmachung</w:t>
      </w:r>
      <w:r>
        <w:rPr>
          <w:rFonts w:ascii="Arial" w:eastAsia="Arial" w:hAnsi="Arial" w:cs="Arial"/>
          <w:color w:val="000000"/>
          <w:sz w:val="24"/>
          <w:szCs w:val="24"/>
        </w:rPr>
        <w:t xml:space="preserve">, un estándar mínimo para medidas cautelares. De ahí se sigue que ninguna familia jurídica ha sido ajena al problema de la suficiencia. La diferencia entre las tradiciones reside en la manera de formular esas exigencias.</w:t>
      </w:r>
    </w:p>
    <w:p>
      <w:pPr>
        <w:spacing w:before="0" w:after="0" w:line="360" w:lineRule="auto"/>
        <w:ind w:firstLine="709"/>
        <w:jc w:val="both"/>
      </w:pPr>
      <w:r>
        <w:rPr>
          <w:rFonts w:ascii="Arial" w:eastAsia="Arial" w:hAnsi="Arial" w:cs="Arial"/>
          <w:color w:val="000000"/>
          <w:sz w:val="24"/>
          <w:szCs w:val="24"/>
        </w:rPr>
        <w:t xml:space="preserve">La diferencia entre la tradición angloamericana y la continental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 factor es la extrema indeterminación de las fórmulas empleadas, y el segundo es la tesis de que esos estándares son flexibles y deben concretarse en cada caso. El tercer factor es que la jurisprudencia de las altas cortes concibe esos estándares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no reside en el origen de las fórmulas sino en su formulación subjetiva. Las legislaciones comparadas confirman esa formulación subjetiva con notable regularidad.</w:t>
      </w:r>
    </w:p>
    <w:p>
      <w:pPr>
        <w:spacing w:before="0" w:after="0" w:line="360" w:lineRule="auto"/>
        <w:ind w:firstLine="709"/>
        <w:jc w:val="both"/>
      </w:pPr>
      <w:r>
        <w:rPr>
          <w:rFonts w:ascii="Arial" w:eastAsia="Arial" w:hAnsi="Arial" w:cs="Arial"/>
          <w:color w:val="000000"/>
          <w:sz w:val="24"/>
          <w:szCs w:val="24"/>
        </w:rPr>
        <w:t xml:space="preserve">La mayoría de las legislaciones comparadas enlaza el resultado probatorio con el convencimiento del juzgador. Ferrer Beltrán reúne diversos ejemplos legislativos para mostrar ese patrón común.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esos ejemplos la prueba de un hecho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y tampoco precisa el grado de probabilidad requerido. Ferrer resume ese vicio con una fórmula crítica según la cual el legislador se limita a indicar que la prueba será suficiente cuando sea suficiente. La superación de ese vicio exige ubicar cada figura en su lugar dentro de la actividad probatoria.</w:t>
      </w:r>
    </w:p>
    <w:p>
      <w:pPr>
        <w:spacing w:before="0" w:after="0" w:line="360" w:lineRule="auto"/>
        <w:ind w:firstLine="709"/>
        <w:jc w:val="both"/>
      </w:pPr>
      <w:r>
        <w:rPr>
          <w:rFonts w:ascii="Arial" w:eastAsia="Arial" w:hAnsi="Arial" w:cs="Arial"/>
          <w:color w:val="000000"/>
          <w:sz w:val="24"/>
          <w:szCs w:val="24"/>
        </w:rPr>
        <w:t xml:space="preserve">La teoría de los momentos de la actividad probatoria permite comprender mejor la distinción entre valoración y estándar.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 momento es la conformación del conjunto de elementos de juicio. El segundo momento es la valoración de esos elementos, y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momento rige la racionalidad general, siempre que el sistema adopte la libre valoración. En el tercer momento rigen reglas jurídicas de decisión que el legislador puede y debe formular. Esta secuencia permite ubicar con precisión cada figura del derecho probatorio y evita atribuir a una figura la función que corresponde a otra.</w:t>
      </w:r>
    </w:p>
    <w:p>
      <w:pPr>
        <w:spacing w:before="0" w:after="0" w:line="360" w:lineRule="auto"/>
        <w:ind w:firstLine="709"/>
        <w:jc w:val="both"/>
      </w:pPr>
      <w:r>
        <w:rPr>
          <w:rFonts w:ascii="Arial" w:eastAsia="Arial" w:hAnsi="Arial" w:cs="Arial"/>
          <w:color w:val="000000"/>
          <w:sz w:val="24"/>
          <w:szCs w:val="24"/>
        </w:rPr>
        <w:t xml:space="preserve">El segundo momento de la actividad probatoria tiene un contenido específico. En ese momento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y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de juicio, el resultado de la valoración puede ser otro distinto. La libre valoración es libre solo porque no está sujeta a normas que predeterminen su resultado. La operación permanece sometida a los criterios generales de la lógica y la racionalidad. En este momento se sitúa la adminiculación, que integra los indicios y mide su apoyo conjunto sin decidir si ese apoyo basta.</w:t>
      </w:r>
    </w:p>
    <w:p>
      <w:pPr>
        <w:spacing w:before="0" w:after="0" w:line="360" w:lineRule="auto"/>
        <w:ind w:firstLine="709"/>
        <w:jc w:val="both"/>
      </w:pPr>
      <w:r>
        <w:rPr>
          <w:rFonts w:ascii="Arial" w:eastAsia="Arial" w:hAnsi="Arial" w:cs="Arial"/>
          <w:color w:val="000000"/>
          <w:sz w:val="24"/>
          <w:szCs w:val="24"/>
        </w:rPr>
        <w:t xml:space="preserve">El tercer momento añade a la actividad probatoria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La decisión necesita un criterio que determine si el grado de corroboración alcanzado es suficiente, y por ello el autor afirma que las pruebas subdeterminan la decisión probatoria. La decisión ya no está gobernada solo por la epistemología, sino por reglas jurídicas de tres tipos, que son las cargas de la prueba, las presunciones y los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La respuesta depende del estándar aplicable a cada tipo de decisión. Valoración y estándar no compiten entre sí, sino que se suceden en el razonamiento del juzgador.</w:t>
      </w:r>
    </w:p>
    <w:p>
      <w:pPr>
        <w:spacing w:before="0" w:after="0" w:line="360" w:lineRule="auto"/>
        <w:ind w:firstLine="709"/>
        <w:jc w:val="both"/>
      </w:pPr>
      <w:r>
        <w:rPr>
          <w:rFonts w:ascii="Arial" w:eastAsia="Arial" w:hAnsi="Arial" w:cs="Arial"/>
          <w:color w:val="000000"/>
          <w:sz w:val="24"/>
          <w:szCs w:val="24"/>
        </w:rPr>
        <w:t xml:space="preserve">La sucesión entre valoración y estándar responde a dos preguntas distintas. La valoración responde a la pregunta por el grado de apoyo empírico de cada hipótesis, y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que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El tribunal sostuvo que el ejercicio inferencial es válido, pero que su resultado debe satisfacer el umbral de la duda razonable. La inferencia y el umbral quedan de ese modo en planos distintos. La ubicación del estándar en el momento de la decisión plantea la cuestión de quién fija su nivel.</w:t>
      </w:r>
    </w:p>
    <w:p>
      <w:pPr>
        <w:spacing w:before="0" w:after="0" w:line="360" w:lineRule="auto"/>
        <w:ind w:firstLine="709"/>
        <w:jc w:val="both"/>
      </w:pPr>
      <w:r>
        <w:rPr>
          <w:rFonts w:ascii="Arial" w:eastAsia="Arial" w:hAnsi="Arial" w:cs="Arial"/>
          <w:color w:val="000000"/>
          <w:sz w:val="24"/>
          <w:szCs w:val="24"/>
        </w:rPr>
        <w:t xml:space="preserve">La epistemología jurídica contemporánea sostiene que la epistemología no fija el umbral de suficiencia. Carmen Vázquez formula esa tesis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Esa decisión determina la distribución de errores que se busca en el proceso. A la epistemología solo le corresponde la construcción del estándar y no la determinación del grado mínimo exigible. La epistemología puede decir el cómo, pero no el cuánto. La misma autora exige que las partes conozcan previamente ese grado mínimo de exigencia. Con mayor precisión, la autora sostiene que ese grado debería estar establecido en la legislación, porque solo una regla previa y general permite a las partes ajustar su conducta procesal al umbral exigido.</w:t>
      </w:r>
    </w:p>
    <w:p>
      <w:pPr>
        <w:spacing w:before="0" w:after="0" w:line="360" w:lineRule="auto"/>
        <w:ind w:firstLine="709"/>
        <w:jc w:val="both"/>
      </w:pPr>
      <w:r>
        <w:rPr>
          <w:rFonts w:ascii="Arial" w:eastAsia="Arial" w:hAnsi="Arial" w:cs="Arial"/>
          <w:color w:val="000000"/>
          <w:sz w:val="24"/>
          <w:szCs w:val="24"/>
        </w:rPr>
        <w:t xml:space="preserve">Ferrer Beltrán sostiene en la misma línea que la decisión sobre el umbral no es en absoluto epistemológica. El autor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pero no dice nada sobre cuál es el nivel adecuado. Ferrer añade una observación comparativa ilustrativa. La farmacología exige estándares más elevados que la historia por el costo del error y no por razones epistemológicas.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 y esa exigencia se explica por la función de distribuir el riesgo del error.</w:t>
      </w:r>
    </w:p>
    <w:p>
      <w:pPr>
        <w:spacing w:before="0" w:after="0" w:line="360" w:lineRule="auto"/>
        <w:ind w:firstLine="709"/>
        <w:jc w:val="both"/>
      </w:pPr>
      <w:r>
        <w:rPr>
          <w:rFonts w:ascii="Arial" w:eastAsia="Arial" w:hAnsi="Arial" w:cs="Arial"/>
          <w:color w:val="000000"/>
          <w:sz w:val="24"/>
          <w:szCs w:val="24"/>
        </w:rPr>
        <w:t xml:space="preserve">La naturaleza normativa del estándar se explica por su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El falso positivo ocurre cuando se declara probada una hipótesis falsa, y el falso negativo ocurre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esas figuras incluye el estándar de prueba, la presunción de inocencia, el beneficio de la duda y la carga de la prueba. Según este autor, ninguna de esas figuras está diseñada para reducir errores, sino para distribuirlos entre las partes.</w:t>
      </w:r>
    </w:p>
    <w:p>
      <w:pPr>
        <w:spacing w:before="0" w:after="0" w:line="360" w:lineRule="auto"/>
        <w:ind w:firstLine="709"/>
        <w:jc w:val="both"/>
      </w:pPr>
      <w:r>
        <w:rPr>
          <w:rFonts w:ascii="Arial" w:eastAsia="Arial" w:hAnsi="Arial" w:cs="Arial"/>
          <w:color w:val="000000"/>
          <w:sz w:val="24"/>
          <w:szCs w:val="24"/>
        </w:rPr>
        <w:t xml:space="preserve">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 equívoco sostiene que un estándar más exigente reduce el número total de errores, cuando en realidad elevar el umbral disminuye las condenas falsas, pero puede aumentar en mayor medida las absoluciones falsas. El segundo equívoco sostiene que la preponderancia de la prueba minimiza siempre los errores, aunque esa relación es contingente y depende de factores como el tipo de casos y la desigualdad entre las partes. El tercer equívoco sostiene que elevar el estándar es la mejor manera de reducir condenas falsas. Ferrer distingue dos estrategias distintas frente a ese equívoco.</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obedece a preferencias morales o políticas y corresponde al estándar.</w:t>
      </w:r>
    </w:p>
    <w:p>
      <w:pPr>
        <w:spacing w:before="0" w:after="0" w:line="360" w:lineRule="auto"/>
        <w:ind w:firstLine="709"/>
        <w:jc w:val="both"/>
      </w:pPr>
      <w:r>
        <w:rPr>
          <w:rFonts w:ascii="Arial" w:eastAsia="Arial" w:hAnsi="Arial" w:cs="Arial"/>
          <w:color w:val="000000"/>
          <w:sz w:val="24"/>
          <w:szCs w:val="24"/>
        </w:rPr>
        <w:t xml:space="preserve">La distribución de errores podría confiarse, en apariencia, a la filosofía moral.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pero no pueden determinar cuánto peor es. Laudan ilustra el problema con la llamada ratio de Blackstone, que expresa cuántos culpables absueltos se consideran preferibles a un inocente condenado. Maimónides proponía una proporción de mil a uno, Franklin de cien a uno, Hale de cinco a uno y Voltaire de dos a uno. Esas estimaciones difieren en un factor de quinientos, y ninguna fue defendida con argumentos, sino presentada como evidente.</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En consecuencia, la fijación del umbral requiere una decisión institucional explícita y no una intuición moral de cada juzgador. Esa decisión institucional cumple, junto con la distribución del error, otras funciones que conviene precisar.</w:t>
      </w:r>
    </w:p>
    <w:p>
      <w:pPr>
        <w:spacing w:before="0" w:after="0" w:line="360" w:lineRule="auto"/>
        <w:ind w:firstLine="709"/>
        <w:jc w:val="both"/>
      </w:pPr>
      <w:r>
        <w:rPr>
          <w:rFonts w:ascii="Arial" w:eastAsia="Arial" w:hAnsi="Arial" w:cs="Arial"/>
          <w:color w:val="000000"/>
          <w:sz w:val="24"/>
          <w:szCs w:val="24"/>
        </w:rPr>
        <w:t xml:space="preserve">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función consiste en aportar los criterios de justificación de la decisión sobre la suficiencia probatoria, y la segunda consiste en servir de garantía para las partes. La tercera función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función depende del nivel concreto de exigencia que el legislador fije. El autor critica que la doctrina anglosajona se haya concentrado casi solo en la tercera función. Ese énfasis oscurece que disponer de estándares es parte sustancial del debido proceso, con independencia del nivel de exigencia que el legislador decida adoptar para cada tipo de decisión.</w:t>
      </w:r>
    </w:p>
    <w:p>
      <w:pPr>
        <w:spacing w:before="0" w:after="0" w:line="360" w:lineRule="auto"/>
        <w:ind w:firstLine="709"/>
        <w:jc w:val="both"/>
      </w:pPr>
      <w:r>
        <w:rPr>
          <w:rFonts w:ascii="Arial" w:eastAsia="Arial" w:hAnsi="Arial" w:cs="Arial"/>
          <w:color w:val="000000"/>
          <w:sz w:val="24"/>
          <w:szCs w:val="24"/>
        </w:rPr>
        <w:t xml:space="preserve">Ferrer retoma a Gascón Abellán para explicar la función justificativa de los estándares.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porque el juez no podría justificar que una hipótesis supera o no el umbral exigido. La función de garantía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En consecuencia, la indeterminación del umbral vacía de contenido el derecho al recurso en materia de hechos. Estas funciones no han impedido que un sector de la doctrina cuestione la legitimidad misma de los estándares.</w:t>
      </w:r>
    </w:p>
    <w:p>
      <w:pPr>
        <w:spacing w:before="0" w:after="0" w:line="360" w:lineRule="auto"/>
        <w:ind w:firstLine="709"/>
        <w:jc w:val="both"/>
      </w:pPr>
      <w:r>
        <w:rPr>
          <w:rFonts w:ascii="Arial" w:eastAsia="Arial" w:hAnsi="Arial" w:cs="Arial"/>
          <w:color w:val="000000"/>
          <w:sz w:val="24"/>
          <w:szCs w:val="24"/>
        </w:rPr>
        <w:t xml:space="preserve">Un argumento recurrente contra los estándares de prueba los asimila al antiguo sistema de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este autor, la carga de la prueba y los estándares provienen del antiguo sistema de valoración legal. En un sistema de libre valoración los estándares serían simples remedos de la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 xml:space="preserve">semiplena probatio</w:t>
      </w:r>
      <w:r>
        <w:rPr>
          <w:rFonts w:ascii="Arial" w:eastAsia="Arial" w:hAnsi="Arial" w:cs="Arial"/>
          <w:color w:val="000000"/>
          <w:sz w:val="24"/>
          <w:szCs w:val="24"/>
        </w:rPr>
        <w:t xml:space="preserve">, y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una consideración detenida porque cuestiona la premisa central de esta investigación. La respuesta a esa objeción exige separar el origen histórico de una institución de su necesidad conceptual.</w:t>
      </w:r>
    </w:p>
    <w:p>
      <w:pPr>
        <w:spacing w:before="0" w:after="0" w:line="360" w:lineRule="auto"/>
        <w:ind w:firstLine="709"/>
        <w:jc w:val="both"/>
      </w:pPr>
      <w:r>
        <w:rPr>
          <w:rFonts w:ascii="Arial" w:eastAsia="Arial" w:hAnsi="Arial" w:cs="Arial"/>
          <w:color w:val="000000"/>
          <w:sz w:val="24"/>
          <w:szCs w:val="24"/>
        </w:rPr>
        <w:t xml:space="preserve">Ferrer Beltrán ofrece una réplica conceptual a la objeción de Nieva Fenoll.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y esa labor no puede realizarla la valoración, que solo mide el grado de corroboración. La prueba tasada y los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presupone ese razonamiento. Vázquez coincide en que el estándar no fija de antemano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pPr>
        <w:spacing w:before="0" w:after="0" w:line="360" w:lineRule="auto"/>
        <w:ind w:firstLine="709"/>
        <w:jc w:val="both"/>
      </w:pPr>
      <w:r>
        <w:rPr>
          <w:rFonts w:ascii="Arial" w:eastAsia="Arial" w:hAnsi="Arial" w:cs="Arial"/>
          <w:color w:val="000000"/>
          <w:sz w:val="24"/>
          <w:szCs w:val="24"/>
        </w:rPr>
        <w:t xml:space="preserve">Ferrer retoma una analogía de Anderson, Schum y Twining para ilustrar esa complementariedad.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La calificación mínima para aprobar está fijada de antemano y es igual para todos. Si cada profesor pudiera fijar la nota mínima, los estudiantes quedarían en total inseguridad jurídica, y nadie sostiene que esa regla general afecte la libre valoración de los exámenes. Del mismo modo, los estándares son a la decisión probatoria lo que la nota mínima es a la evaluación. La valoración sigue siendo tarea del juez en el caso concreto, mientras que el umbral expresa una política pública previa. Esta analogía resume la distinción entre valorar y decidir. La misma distinción debe trazarse frente a otras reglas de decisión que suelen ocupar el lugar del estándar.</w:t>
      </w:r>
    </w:p>
    <w:p>
      <w:pPr>
        <w:spacing w:before="0" w:after="0" w:line="360" w:lineRule="auto"/>
        <w:ind w:firstLine="709"/>
        <w:jc w:val="both"/>
      </w:pPr>
      <w:r>
        <w:rPr>
          <w:rFonts w:ascii="Arial" w:eastAsia="Arial" w:hAnsi="Arial" w:cs="Arial"/>
          <w:color w:val="000000"/>
          <w:sz w:val="24"/>
          <w:szCs w:val="24"/>
        </w:rPr>
        <w:t xml:space="preserve">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La misma disposición obliga a probar al que niega cuando su negación envuelve la afirmación expresa de un hecho. Esta regla indica quién debe aportar la prueba y quién soporta las consecuencias de su falta. Sin embargo, la regla no indica cuándo la prueba aportada es suficiente para tener por demostrado el hecho afirmado.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La aplicación de la carga exige conocer previamente cuándo hay prueba suficiente. En consecuencia, la carga presupone el estándar y no puede sustituirlo.</w:t>
      </w:r>
    </w:p>
    <w:p>
      <w:pPr>
        <w:spacing w:before="0" w:after="0" w:line="360" w:lineRule="auto"/>
        <w:ind w:firstLine="709"/>
        <w:jc w:val="both"/>
      </w:pPr>
      <w:r>
        <w:rPr>
          <w:rFonts w:ascii="Arial" w:eastAsia="Arial" w:hAnsi="Arial" w:cs="Arial"/>
          <w:color w:val="000000"/>
          <w:sz w:val="24"/>
          <w:szCs w:val="24"/>
        </w:rPr>
        <w:t xml:space="preserve">La carga y el estándar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de error.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carga opera cuando ninguna parte alcanzó la suficiencia. El estándar define qué significa alcanzar la suficiencia, y esa definición previa es la condición para que la regla de clausura pueda aplicarse de manera racional y previsible en cada proceso.</w:t>
      </w:r>
    </w:p>
    <w:p>
      <w:pPr>
        <w:spacing w:before="0" w:after="0" w:line="360" w:lineRule="auto"/>
        <w:ind w:firstLine="709"/>
        <w:jc w:val="both"/>
      </w:pPr>
      <w:r>
        <w:rPr>
          <w:rFonts w:ascii="Arial" w:eastAsia="Arial" w:hAnsi="Arial" w:cs="Arial"/>
          <w:color w:val="000000"/>
          <w:sz w:val="24"/>
          <w:szCs w:val="24"/>
        </w:rPr>
        <w:t xml:space="preserve">Nieva Fenoll sostiene una tesis más radical sobre la carga objetiva. En opinión de este autor, el concepto de carga objetiva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de carga objetiva resultaría redundante frente a la valoración. Esta posición confirma desde un ángulo distinto que la carga no puede entenderse sin un criterio de suficiencia que la preceda. Donde Nieva ve redundancia, Ferrer ve una dependencia lógica de la carga respecto del estándar. La segunda lectura resulta más útil para esta investigación, porque permite distinguir la regla que asigna el riesgo de la regla que mide la suficiencia. La práctica jurisdiccional electoral muestra con claridad los efectos de confundir ambas reglas.</w:t>
      </w:r>
    </w:p>
    <w:p>
      <w:pPr>
        <w:spacing w:before="0" w:after="0" w:line="360" w:lineRule="auto"/>
        <w:ind w:firstLine="709"/>
        <w:jc w:val="both"/>
      </w:pPr>
      <w:r>
        <w:rPr>
          <w:rFonts w:ascii="Arial" w:eastAsia="Arial" w:hAnsi="Arial" w:cs="Arial"/>
          <w:color w:val="000000"/>
          <w:sz w:val="24"/>
          <w:szCs w:val="24"/>
        </w:rPr>
        <w:t xml:space="preserve">La confusión entre carga y estándar aparece en la práctica electoral. En el SUP-REC-1388/2018, la Sala Superior invocó la presunción de determinancia para diferencias menores al cinco por ciento y,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la Sala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y no un criterio de suficiencia. Su propio contenido demuestra esa naturaleza.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enuncia la sana crítica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pues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El artículo 265 de ese código exige justificar el valor otorgado a cada prueba con base en una apreciación conjunta, integral y armónica. Ninguna de estas disposiciones indica cuánta corroboración basta para decidir. Todas describen cómo debe razonar el juzgador y dejan sin respuesta la pregunta por el umbral que debe alcanzar el resultado de ese razonamiento.</w:t>
      </w:r>
    </w:p>
    <w:p>
      <w:pPr>
        <w:spacing w:before="0" w:after="0" w:line="360" w:lineRule="auto"/>
        <w:ind w:firstLine="709"/>
        <w:jc w:val="both"/>
      </w:pPr>
      <w:r>
        <w:rPr>
          <w:rFonts w:ascii="Arial" w:eastAsia="Arial" w:hAnsi="Arial" w:cs="Arial"/>
          <w:color w:val="000000"/>
          <w:sz w:val="24"/>
          <w:szCs w:val="24"/>
        </w:rPr>
        <w:t xml:space="preserve">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el autor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pero no dice si tres indicios concordantes bastan para anular una elección. La respuesta a esa pregunta pertenece al estándar de prueba. La diferencia funcional entre ambas figuras puede formularse con mayor precisión a partir de estas afirmaciones.</w:t>
      </w:r>
    </w:p>
    <w:p>
      <w:pPr>
        <w:spacing w:before="0" w:after="0" w:line="360" w:lineRule="auto"/>
        <w:ind w:firstLine="709"/>
        <w:jc w:val="both"/>
      </w:pPr>
      <w:r>
        <w:rPr>
          <w:rFonts w:ascii="Arial" w:eastAsia="Arial" w:hAnsi="Arial" w:cs="Arial"/>
          <w:color w:val="000000"/>
          <w:sz w:val="24"/>
          <w:szCs w:val="24"/>
        </w:rPr>
        <w:t xml:space="preserve">La diferencia funcional entre sana crítica y estándar puede formularse con claridad. La sana crítica rige el procedimiento intelectivo que el juzgador sigue al examinar las pruebas. El estándar rige la suficiencia del resultado de ese procedimiento. La primera figura es un método de razonamiento y la segunda es una regla de decisión. Ferrer Beltrán expresa esa diferencia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El juzgador valora primero la prueba y determina el grado de corroboración de cada hipótesis, y solo después procede aplicar el estándar para decidir si ese grado basta. Por consiguiente, la afirmación de que un tribunal valora conforme a la sana crítica nada informa sobre el umbral aplicable. Esta conclusión enfrenta una objeción que pretende derivar el estándar de preponderancia directamente de la valoración racional.</w:t>
      </w:r>
    </w:p>
    <w:p>
      <w:pPr>
        <w:spacing w:before="0" w:after="0" w:line="360" w:lineRule="auto"/>
        <w:ind w:firstLine="709"/>
        <w:jc w:val="both"/>
      </w:pPr>
      <w:r>
        <w:rPr>
          <w:rFonts w:ascii="Arial" w:eastAsia="Arial" w:hAnsi="Arial" w:cs="Arial"/>
          <w:color w:val="000000"/>
          <w:sz w:val="24"/>
          <w:szCs w:val="24"/>
        </w:rPr>
        <w:t xml:space="preserve">Esa objeción sostiene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razón es que tener por probada la hipótesis más confirmada ya supone un estándar por defecto. La segunda razón es que la preponderancia tampoco es un criterio unívoco, porque debe precisarse qué hipótesis se comparan y si se exige un mínimo de peso probatorio. Ninguna de esas preguntas puede responderse con criterios de valoración. En síntesis, incluso el estándar más modesto es una regla jurídica distinta del método. Esa regla jurídica tampoco puede reducirse a la convicción del juzgador, que la práctica invoca con frecuencia como criterio de suficiencia.</w:t>
      </w:r>
    </w:p>
    <w:p>
      <w:pPr>
        <w:spacing w:before="0" w:after="0" w:line="360" w:lineRule="auto"/>
        <w:ind w:firstLine="709"/>
        <w:jc w:val="both"/>
      </w:pPr>
      <w:r>
        <w:rPr>
          <w:rFonts w:ascii="Arial" w:eastAsia="Arial" w:hAnsi="Arial" w:cs="Arial"/>
          <w:color w:val="000000"/>
          <w:sz w:val="24"/>
          <w:szCs w:val="24"/>
        </w:rPr>
        <w:t xml:space="preserve">La apelación a la convicción del juzgador como criterio de suficiencia es la manifestación más visible de la confusión examinada. Ferrer Beltrán ofrece tres razones independientes para rechazar ese criterio.</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razón es que los juzgadores deciden con frecuencia en contra de sus propias creencias. Un juez puede creer que el acusado cometió el hecho y, aun así, considerar insuficiente la prueba disponible para condenarlo. La segunda razón es que tener una creencia no posee capacidad justificativa alguna frente a las partes. La tercera razón es que las creencias son involuntarias, y si no se decide creer, tampoco puede justificarse el acto de creer. En consecuencia, un criterio basado en la creencia hace imposible la justificación de la decisión. Esa imposibilidad tiene una consecuencia constitucional que Ferrer desarrolla con detalle.</w:t>
      </w:r>
    </w:p>
    <w:p>
      <w:pPr>
        <w:spacing w:before="0" w:after="0" w:line="360" w:lineRule="auto"/>
        <w:ind w:firstLine="709"/>
        <w:jc w:val="both"/>
      </w:pPr>
      <w:r>
        <w:rPr>
          <w:rFonts w:ascii="Arial" w:eastAsia="Arial" w:hAnsi="Arial" w:cs="Arial"/>
          <w:color w:val="000000"/>
          <w:sz w:val="24"/>
          <w:szCs w:val="24"/>
        </w:rPr>
        <w:t xml:space="preserve">Ferrer extrae una consecuencia constitucional de la imposibilidad de justificar una creencia.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Por ello la concepción subjetivista de la prueba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referidos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 la prueba depende de un estado psicológico del juzgador. La tradición angloamericana ofrece una crítica paralela que confirma esta conclusión.</w:t>
      </w:r>
    </w:p>
    <w:p>
      <w:pPr>
        <w:spacing w:before="0" w:after="0" w:line="360" w:lineRule="auto"/>
        <w:ind w:firstLine="709"/>
        <w:jc w:val="both"/>
      </w:pPr>
      <w:r>
        <w:rPr>
          <w:rFonts w:ascii="Arial" w:eastAsia="Arial" w:hAnsi="Arial" w:cs="Arial"/>
          <w:color w:val="000000"/>
          <w:sz w:val="24"/>
          <w:szCs w:val="24"/>
        </w:rPr>
        <w:t xml:space="preserve">Laudan formula una crítica paralela desde la tradición angloamericana. El autor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el autor sostiene que la pregunta relevante no es si los jurados están convencidos, sino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Esa pregunta versa sobre una relación entre enunciados y no sobre un estado psicológico. La relación entre enunciados obliga a revisar el orden lógico que presupone el modelo subjetivo.</w:t>
      </w:r>
    </w:p>
    <w:p>
      <w:pPr>
        <w:spacing w:before="0" w:after="0" w:line="360" w:lineRule="auto"/>
        <w:ind w:firstLine="709"/>
        <w:jc w:val="both"/>
      </w:pPr>
      <w:r>
        <w:rPr>
          <w:rFonts w:ascii="Arial" w:eastAsia="Arial" w:hAnsi="Arial" w:cs="Arial"/>
          <w:color w:val="000000"/>
          <w:sz w:val="24"/>
          <w:szCs w:val="24"/>
        </w:rPr>
        <w:t xml:space="preserve">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el autor propone fórmulas que atienden a las propiedades del caso, y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 La epistemología continental llega a una conclusión semejante por una vía distinta.</w:t>
      </w:r>
    </w:p>
    <w:p>
      <w:pPr>
        <w:spacing w:before="0" w:after="0" w:line="360" w:lineRule="auto"/>
        <w:ind w:firstLine="709"/>
        <w:jc w:val="both"/>
      </w:pPr>
      <w:r>
        <w:rPr>
          <w:rFonts w:ascii="Arial" w:eastAsia="Arial" w:hAnsi="Arial" w:cs="Arial"/>
          <w:color w:val="000000"/>
          <w:sz w:val="24"/>
          <w:szCs w:val="24"/>
        </w:rPr>
        <w:t xml:space="preserve">La crítica al modelo subjetivo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y admitiría consecuencias asombrosas como un conocimiento fiable contrario al principio de no contradicción. El autor descarta las tres justificaciones posibles de esa tesis. Los hechos no impactan directamente en la conciencia del juez. Los criterios de racionalidad para controlar el razonamiento sí existen.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pPr>
        <w:spacing w:before="0" w:after="0" w:line="360" w:lineRule="auto"/>
        <w:ind w:firstLine="709"/>
        <w:jc w:val="both"/>
      </w:pPr>
      <w:r>
        <w:rPr>
          <w:rFonts w:ascii="Arial" w:eastAsia="Arial" w:hAnsi="Arial" w:cs="Arial"/>
          <w:color w:val="000000"/>
          <w:sz w:val="24"/>
          <w:szCs w:val="24"/>
        </w:rPr>
        <w:t xml:space="preserve">Las críticas anteriores permiten examinar la recepción de la distinción en el derecho mexicano. 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del mismo artículo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y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segundo precepto permite apreciar su estructura. El artículo 402 del código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pPr>
        <w:spacing w:before="0" w:after="0" w:line="360" w:lineRule="auto"/>
        <w:ind w:firstLine="709"/>
        <w:jc w:val="both"/>
      </w:pPr>
      <w:r>
        <w:rPr>
          <w:rFonts w:ascii="Arial" w:eastAsia="Arial" w:hAnsi="Arial" w:cs="Arial"/>
          <w:color w:val="000000"/>
          <w:sz w:val="24"/>
          <w:szCs w:val="24"/>
        </w:rPr>
        <w:t xml:space="preserve">La lectura de ambos preceptos revela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cita por su parte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Esos preceptos exigen al mismo tiempo una motivación que permita reproducir el razonamiento, y esa exigencia apunta a una concepción racional de la prueba. Sin embargo, el umbral sigue definido por un estado mental. Por tanto, el derecho penal mexicano ocupa una posición intermedia e inestable entre la concepción racional y la concepción subjetiva de la prueba. La doctrina nacional reciente refleja esa misma posición intermedia.</w:t>
      </w:r>
    </w:p>
    <w:p>
      <w:pPr>
        <w:spacing w:before="0" w:after="0" w:line="360" w:lineRule="auto"/>
        <w:ind w:firstLine="709"/>
        <w:jc w:val="both"/>
      </w:pPr>
      <w:r>
        <w:rPr>
          <w:rFonts w:ascii="Arial" w:eastAsia="Arial" w:hAnsi="Arial" w:cs="Arial"/>
          <w:color w:val="000000"/>
          <w:sz w:val="24"/>
          <w:szCs w:val="24"/>
        </w:rPr>
        <w:t xml:space="preserve">La doctrina nacional reciente refleja la ambivalencia del derecho penal mexicano.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El autor enumera a la vez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Esa coexistencia refleja la dificultad de la cultura jurídica mexicana para separar el método del umbral. La expresión estándar objetivo de valoración reproduce la confusión señalada por Tuzet, porque un estándar es una regla de decisión posterior a la valoración. La materia electoral presenta una indeterminación todavía mayor que la materia penal.</w:t>
      </w:r>
    </w:p>
    <w:p>
      <w:pPr>
        <w:spacing w:before="0" w:after="0" w:line="360" w:lineRule="auto"/>
        <w:ind w:firstLine="709"/>
        <w:jc w:val="both"/>
      </w:pPr>
      <w:r>
        <w:rPr>
          <w:rFonts w:ascii="Arial" w:eastAsia="Arial" w:hAnsi="Arial" w:cs="Arial"/>
          <w:color w:val="000000"/>
          <w:sz w:val="24"/>
          <w:szCs w:val="24"/>
        </w:rPr>
        <w:t xml:space="preserve">La situación de la materia electoral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 Ese vacío normativo ha trasladado a la jurisprudencia la tarea de fijar la exigencia.</w:t>
      </w:r>
    </w:p>
    <w:p>
      <w:pPr>
        <w:spacing w:before="0" w:after="0" w:line="360" w:lineRule="auto"/>
        <w:ind w:firstLine="709"/>
        <w:jc w:val="both"/>
      </w:pPr>
      <w:r>
        <w:rPr>
          <w:rFonts w:ascii="Arial" w:eastAsia="Arial" w:hAnsi="Arial" w:cs="Arial"/>
          <w:color w:val="000000"/>
          <w:sz w:val="24"/>
          <w:szCs w:val="24"/>
        </w:rPr>
        <w:t xml:space="preserve">La jurisprudencia electoral ha fijado la exigencia probatoria de manera casuística ante ese vacío normativo.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La parte actora adujo que era imposible demostrar de manera directa las irregularidades denunciadas en la elección.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la Sala exigió la plena acreditación de los hechos. Ese razonamiento es en sustancia una decisión sobre la distribución del riesgo del error, porque la Sala prefirió tolerar una nulidad no declarada antes que anular una elección válida. Esa decisión política, sin embargo, no se explicitó como tal en la sentencia.</w:t>
      </w:r>
    </w:p>
    <w:p>
      <w:pPr>
        <w:spacing w:before="0" w:after="0" w:line="360" w:lineRule="auto"/>
        <w:ind w:firstLine="709"/>
        <w:jc w:val="both"/>
      </w:pPr>
      <w:r>
        <w:rPr>
          <w:rFonts w:ascii="Arial" w:eastAsia="Arial" w:hAnsi="Arial" w:cs="Arial"/>
          <w:color w:val="000000"/>
          <w:sz w:val="24"/>
          <w:szCs w:val="24"/>
        </w:rPr>
        <w:t xml:space="preserve">La decisión política de la Sala Superior quedó implícita. En la misma sentencia, la Sala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la Sala afirmó que debía guiarse por reglas lógicas y criterios que permitan una formulación racional y controlable. La sentencia combina de ese modo el vocabulario de la convicción con el de la racionalidad.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pero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r>
        <w:rPr>
          <w:rFonts w:ascii="Arial" w:eastAsia="Arial" w:hAnsi="Arial" w:cs="Arial"/>
          <w:color w:val="000000"/>
          <w:sz w:val="24"/>
          <w:szCs w:val="24"/>
        </w:rPr>
        <w:t xml:space="preserve"> Esa decisión sin reglas previas produce consecuencias prácticas que trascienden el plano teórico.</w:t>
      </w:r>
    </w:p>
    <w:p>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La primera consecuencia de esa confusión es la imprevisibilidad de las decisiones judiciales.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El Estado de derecho decae incluso, pues ninguna norma sustantiva ni ninguna carga tendría sentido si la suficiencia quedara a discreción del juzgador. En materia electoral esa imprevisibilidad afecta a partidos, candidaturas y autoridades administrativas. Ninguno de esos actores puede saber de antemano cuánta prueba necesita para sostener una pretensión de nulidad. La misma prueba puede resultar suficiente para un órgano e insuficiente para otro. Ambos órganos pueden afirmar al mismo tiempo que aplicaron la sana crítica, y esa coincidencia verbal oculta la diferencia real entre sus umbrales.</w:t>
      </w:r>
    </w:p>
    <w:p>
      <w:pPr>
        <w:spacing w:before="0" w:after="0" w:line="360" w:lineRule="auto"/>
        <w:ind w:firstLine="709"/>
        <w:jc w:val="both"/>
      </w:pPr>
      <w:r>
        <w:rPr>
          <w:rFonts w:ascii="Arial" w:eastAsia="Arial" w:hAnsi="Arial" w:cs="Arial"/>
          <w:color w:val="000000"/>
          <w:sz w:val="24"/>
          <w:szCs w:val="24"/>
        </w:rPr>
        <w:t xml:space="preserve">La segunda consecuencia de la confusión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a detectar arbitrariedades evidentes, porque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la Sala Superior revisa a las Salas Regionales y a los tribunales locales, y por ello esta consecuencia es especialmente relevante. La uniformidad de criterios depende de la existencia de reglas de suficiencia comunes. La ausencia de esas reglas repercute en la presunción de validez de los actos electorales.</w:t>
      </w:r>
    </w:p>
    <w:p>
      <w:pPr>
        <w:spacing w:before="0" w:after="0" w:line="360" w:lineRule="auto"/>
        <w:ind w:firstLine="709"/>
        <w:jc w:val="both"/>
      </w:pPr>
      <w:r>
        <w:rPr>
          <w:rFonts w:ascii="Arial" w:eastAsia="Arial" w:hAnsi="Arial" w:cs="Arial"/>
          <w:color w:val="000000"/>
          <w:sz w:val="24"/>
          <w:szCs w:val="24"/>
        </w:rPr>
        <w:t xml:space="preserve">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de la irregularidad alegada. Ferrer advierte que toda presunción que admite prueba en contrario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la presunción puede volverse prácticamente inderrotable, y en otros puede ceder ante indicios débiles. En ambos supuestos se afecta la igualdad en la aplicación de la ley entre los justiciables. Estas tres consecuencias justifican la formulación de criterios precisos para diagnosticar si una disposición establece un verdadero estándar de prueba.</w:t>
      </w:r>
    </w:p>
    <w:p>
      <w:pPr>
        <w:spacing w:before="0" w:after="0" w:line="360" w:lineRule="auto"/>
        <w:ind w:firstLine="709"/>
        <w:jc w:val="both"/>
      </w:pPr>
      <w:r>
        <w:rPr>
          <w:rFonts w:ascii="Arial" w:eastAsia="Arial" w:hAnsi="Arial" w:cs="Arial"/>
          <w:color w:val="000000"/>
          <w:sz w:val="24"/>
          <w:szCs w:val="24"/>
        </w:rPr>
        <w:t xml:space="preserve">El análisis precedente permite formular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El estándar debe fijar un umbral a partir del cual una hipótesis se considera probada y emplear criterios cualitativos propios de la probabilidad no matemática.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Estos requisitos exigen un examen detallado, porque cada uno responde a una función distinta del estándar. Con fines diagnósticos, esos requisitos pueden convertirse desde ahora en preguntas de control aplicables a las disposiciones analizadas.</w:t>
      </w:r>
    </w:p>
    <w:p>
      <w:pPr>
        <w:spacing w:before="0" w:after="0" w:line="360" w:lineRule="auto"/>
        <w:ind w:firstLine="709"/>
        <w:jc w:val="both"/>
      </w:pPr>
      <w:r>
        <w:rPr>
          <w:rFonts w:ascii="Arial" w:eastAsia="Arial" w:hAnsi="Arial" w:cs="Arial"/>
          <w:color w:val="000000"/>
          <w:sz w:val="24"/>
          <w:szCs w:val="24"/>
        </w:rPr>
        <w:t xml:space="preserve">Los requisitos de Ferrer Beltrán pueden convertirse en preguntas de control con fines exclusivamente diagnósticos. La primera pregunta es si la norma describe cómo razonar sobre las pruebas o cuándo decidir sobre los hechos. La segunda pregunta es si el criterio de decisión alude a propiedades del acervo o a estados del juzgador. La tercera pregunta es si la norma indica una relación de corroboración entre hipótesis rivales. La cuarta pregunta es si la norma distingue su exigencia de la regla de carga que opera en caso de insuficiencia. Esas preguntas pueden aplicarse a las disposiciones analizadas, y su resultado es una interpretación propia de esta investigación. Esa interpretación no pretende sustituir el análisis doctrinal, sino ordenarlo. La aplicación de las cuatro preguntas a las normas penales y electorales arroja un resultado consistente.</w:t>
      </w:r>
    </w:p>
    <w:p>
      <w:pPr>
        <w:spacing w:before="0" w:after="0" w:line="360" w:lineRule="auto"/>
        <w:ind w:firstLine="709"/>
        <w:jc w:val="both"/>
      </w:pPr>
      <w:r>
        <w:rPr>
          <w:rFonts w:ascii="Arial" w:eastAsia="Arial" w:hAnsi="Arial" w:cs="Arial"/>
          <w:color w:val="000000"/>
          <w:sz w:val="24"/>
          <w:szCs w:val="24"/>
        </w:rPr>
        <w:t xml:space="preserve">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esas normas tampoco precisan el grado de corroboración exigido. El artículo 16 de la Ley General de Medios mezcla método y suficiencia y remite esta última a la convicción. Esta conclusión no descalifica las decisiones concretas de los tribunales, sino que señala un déficit del diseño normativo. De ahí se sigue que el sistema electoral mexicano carece de un estándar de prueba en sentido estricto. Ese déficit del diseño normativo obliga a sintetizar las diferencias entre las figuras examinadas.</w:t>
      </w:r>
    </w:p>
    <w:p>
      <w:pPr>
        <w:spacing w:before="0" w:after="0" w:line="360" w:lineRule="auto"/>
        <w:ind w:firstLine="709"/>
        <w:jc w:val="both"/>
      </w:pPr>
      <w:r>
        <w:rPr>
          <w:rFonts w:ascii="Arial" w:eastAsia="Arial" w:hAnsi="Arial" w:cs="Arial"/>
          <w:color w:val="000000"/>
          <w:sz w:val="24"/>
          <w:szCs w:val="24"/>
        </w:rPr>
        <w:t xml:space="preserve">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plano de la valoración, y el umbral de suficiencia pertenece al plano de la decisión. La carga de la prueba presupone ese umbral y opera cuando no se alcanza. La legislación mexicana, penal y electoral, confunde estos planos o deja vacío el segundo. Esta constatación crítica no agota la tarea teórica de la investigación. La tarea pendiente consiste en precisar los requisitos que un estándar debe satisfacer para cumplir sus funciones de justificación, garantía y distribución del error.</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investigación ha establecido dos premisas sobre la prueba indiciaria. La primera premisa sostiene que la adminiculación explica cómo se construye la inferencia indiciaria, pero no cuánta corroboración basta para decidir. La segunda premisa sostiene que la valoración de la prueba y el estándar de prueba son operaciones distintas, pues la primera asigna grados de corroboración y el segundo fija el grado exigido para tener una hipótesis por probada. La aceptación de ambas premisas plantea una pregunta ulterior de carácter técnico. La simple enunciación de una fórmula de suficiencia por el legislador o por la jurisprudencia no basta para que exista, en sentido propio, un estándar de prueba. Esa fórmula debe reunir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Cada uno de esos requisitos, las objeciones que ha recibido y su utilidad para evaluar las reglas electorales de suficiencia merecen un examen detenido.</w:t>
      </w:r>
    </w:p>
    <w:p>
      <w:pPr>
        <w:spacing w:before="0" w:after="0" w:line="360" w:lineRule="auto"/>
        <w:ind w:firstLine="709"/>
        <w:jc w:val="both"/>
      </w:pPr>
      <w:r>
        <w:rPr>
          <w:rFonts w:ascii="Arial" w:eastAsia="Arial" w:hAnsi="Arial" w:cs="Arial"/>
          <w:color w:val="000000"/>
          <w:sz w:val="24"/>
          <w:szCs w:val="24"/>
        </w:rPr>
        <w:t xml:space="preserve">La hipótesis que orienta ese examen sostiene que los requisitos metodológicos operan como condiciones de validez del estándar. Por ello los requisitos funcionan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El análisis se detiene después en cada uno de los cuatro requisitos que la doctrina propone. Ese análisis conduce a la función distributiva del estándar, a las razones para fijar el umbral y a algunos ejemplos de estándares válidos. Las objeciones más relevantes reciben una respuesta específica en cada caso. En consecuencia, los requisitos pueden aplicarse con seguridad a la prueba indiciaria en materia electoral. Esa aplicación exige aclarar desde el inicio qué significa calificar estos requisitos como metodológicos y en qué se distinguen de las decisiones políticas sobre el nivel de exigencia.</w:t>
      </w:r>
    </w:p>
    <w:p>
      <w:pPr>
        <w:spacing w:before="0" w:after="0" w:line="360" w:lineRule="auto"/>
        <w:ind w:firstLine="709"/>
        <w:jc w:val="both"/>
      </w:pPr>
      <w:r>
        <w:rPr>
          <w:rFonts w:ascii="Arial" w:eastAsia="Arial" w:hAnsi="Arial" w:cs="Arial"/>
          <w:color w:val="000000"/>
          <w:sz w:val="24"/>
          <w:szCs w:val="24"/>
        </w:rPr>
        <w:t xml:space="preserve">Los requisitos metodológicos no son exigencias sobre el contenido político del estándar. El contenido político es el nivel concreto de exigencia que decida el legislador. Los requisitos metodológicos son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requisitos son la apelación a la capacidad justificativa del acervo, la aptitud para fijar un umbral de suficiencia y el uso de criterios cualitativos de probabilidad no matemática. El cuarto requisito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Esa presuposición sostiene la distinción entre lo metodológico y lo político.</w:t>
      </w:r>
    </w:p>
    <w:p>
      <w:pPr>
        <w:spacing w:before="0" w:after="0" w:line="360" w:lineRule="auto"/>
        <w:ind w:firstLine="709"/>
        <w:jc w:val="both"/>
      </w:pPr>
      <w:r>
        <w:rPr>
          <w:rFonts w:ascii="Arial" w:eastAsia="Arial" w:hAnsi="Arial" w:cs="Arial"/>
          <w:color w:val="000000"/>
          <w:sz w:val="24"/>
          <w:szCs w:val="24"/>
        </w:rPr>
        <w:t xml:space="preserve">La distinción entre lo metodológico y lo político orienta todo el análisis posterior. Esa distinción permite afirmar que una fórmula puede ser defectuosa por su estructura aun cuando el nivel de exigencia que pretende expresar resulte razonable. El primer requisito exige que el estándar remita a criterios relativos a la capacidad justificativa del acervo probatorio respecto de las hipótesis en conflicto. Ese requisito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el autor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disposición combina la convicción del tribunal con la fórmula de la duda razonable.</w:t>
      </w:r>
      <w:r>
        <w:rPr>
          <w:rFonts w:ascii="Arial" w:eastAsia="Arial" w:hAnsi="Arial" w:cs="Arial"/>
          <w:color w:val="000000"/>
          <w:sz w:val="24"/>
          <w:szCs w:val="24"/>
          <w:vertAlign w:val="superscript"/>
        </w:rPr>
        <w:footnoteReference w:id="174"/>
      </w:r>
    </w:p>
    <w:p>
      <w:pPr>
        <w:spacing w:before="0" w:after="0" w:line="360" w:lineRule="auto"/>
        <w:ind w:firstLine="709"/>
        <w:jc w:val="both"/>
      </w:pPr>
      <w:r>
        <w:rPr>
          <w:rFonts w:ascii="Arial" w:eastAsia="Arial" w:hAnsi="Arial" w:cs="Arial"/>
          <w:color w:val="000000"/>
          <w:sz w:val="24"/>
          <w:szCs w:val="24"/>
        </w:rPr>
        <w:t xml:space="preserve">El problema de esas disposiciones es estructural. Una regla que depende del estado mental del decisor no puede ser controlada intersubjetivamente. La convicción no es observable ni susceptible de revisión por un tribunal de alzada. En consecuencia, una fórmula de ese tipo no ofrece un criterio de justificación ni una garantía para las partes. La razón epistemológica del primer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Ninguna evidencia indica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p>
    <w:p>
      <w:pPr>
        <w:spacing w:before="0" w:after="0" w:line="360" w:lineRule="auto"/>
        <w:ind w:firstLine="709"/>
        <w:jc w:val="both"/>
      </w:pPr>
      <w:r>
        <w:rPr>
          <w:rFonts w:ascii="Arial" w:eastAsia="Arial" w:hAnsi="Arial" w:cs="Arial"/>
          <w:color w:val="000000"/>
          <w:sz w:val="24"/>
          <w:szCs w:val="24"/>
        </w:rPr>
        <w:t xml:space="preserve">Laudan había formulado la misma exigencia en términos semejantes. El autor señaló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Por tanto, el requisito desplaza el objeto del estándar desde la mente del decisor hacia la relación inferencial entre pruebas e hipótesis. Ese desplazamiento es coherente con la concepción racional de la prueba que sostiene esta investigación. El desplazamiento es coherente con la exigencia constitucional de motivación, pues solo puede motivarse aquello que es susceptible de expresarse en razones públicas. La convicción puede describirse, pero no justificarse por sí misma. La relación inferencial entre pruebas e hipótesis sí admite una justificación pública y un control externo. La jurisprudencia mexicana ofrece un antecedente relevante que se orienta en esa misma dirección.</w:t>
      </w:r>
    </w:p>
    <w:p>
      <w:pPr>
        <w:spacing w:before="0" w:after="0" w:line="360" w:lineRule="auto"/>
        <w:ind w:firstLine="709"/>
        <w:jc w:val="both"/>
      </w:pPr>
      <w:r>
        <w:rPr>
          <w:rFonts w:ascii="Arial" w:eastAsia="Arial" w:hAnsi="Arial" w:cs="Arial"/>
          <w:color w:val="000000"/>
          <w:sz w:val="24"/>
          <w:szCs w:val="24"/>
        </w:rPr>
        <w:t xml:space="preserve">Ferrer Beltrán destaca un criterio de la Primera Sala de la Suprema Corte. Esa Sala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conforme al cual la duda favorece al acusado no debe entenderse como la falta de convicción del juzgador. Esa duda debe entenderse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pues el artículo 16, párrafo 3, de la ley de medios condiciona la plena eficacia de las pruebas no documentales públicas a que los elementos del expediente generen convicción.</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que comprende las presuncionales, incumple el primer requisito en su letra.</w:t>
      </w:r>
    </w:p>
    <w:p>
      <w:pPr>
        <w:spacing w:before="0" w:after="0" w:line="360" w:lineRule="auto"/>
        <w:ind w:firstLine="709"/>
        <w:jc w:val="both"/>
      </w:pPr>
      <w:r>
        <w:rPr>
          <w:rFonts w:ascii="Arial" w:eastAsia="Arial" w:hAnsi="Arial" w:cs="Arial"/>
          <w:color w:val="000000"/>
          <w:sz w:val="24"/>
          <w:szCs w:val="24"/>
        </w:rPr>
        <w:t xml:space="preserve">El segundo requisito exige que el estándar sea capaz de determinar un umbral a partir del cual una hipótesis se considerará probada. Este requisito es distinto de una simple exigencia de claridad conceptual en la redacción de la norma. El requisito exige la existencia de un umbral de suficiencia, y la precisión solo interesa como condición para que ese umbral sea identificable. Ferrer Beltrán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Las exigencias probatorias para abrir juicio, adoptar una medida cautelar o dictar sentencia son y deben ser distintas. De ahí que no baste con afirmar que una decisión debe estar inductivamente justificada. El legislador debe determinar el umbral a partir del cual esa decisión se entenderá justificada.</w:t>
      </w:r>
    </w:p>
    <w:p>
      <w:pPr>
        <w:spacing w:before="0" w:after="0" w:line="360" w:lineRule="auto"/>
        <w:ind w:firstLine="709"/>
        <w:jc w:val="both"/>
      </w:pPr>
      <w:r>
        <w:rPr>
          <w:rFonts w:ascii="Arial" w:eastAsia="Arial" w:hAnsi="Arial" w:cs="Arial"/>
          <w:color w:val="000000"/>
          <w:sz w:val="24"/>
          <w:szCs w:val="24"/>
        </w:rPr>
        <w:t xml:space="preserve">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con la conclusión alcanzada sobre el artículo 16, párrafo 1, de la ley de medios, que remite a la lógica, a la sana crítica y a la experiencia. El segundo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y minimizar su vaguedad. En términos comparativos, un estándar será mejor que otro cuanto mayor sea el ámbito de casos claros que permita identificar. La gravedad del problema de la vaguedad se aprecia en la práctica de los tribunales angloamericanos.</w:t>
      </w:r>
    </w:p>
    <w:p>
      <w:pPr>
        <w:spacing w:before="0" w:after="0" w:line="360" w:lineRule="auto"/>
        <w:ind w:firstLine="709"/>
        <w:jc w:val="both"/>
      </w:pPr>
      <w:r>
        <w:rPr>
          <w:rFonts w:ascii="Arial" w:eastAsia="Arial" w:hAnsi="Arial" w:cs="Arial"/>
          <w:color w:val="000000"/>
          <w:sz w:val="24"/>
          <w:szCs w:val="24"/>
        </w:rPr>
        <w:t xml:space="preserve">Ferrer Beltrán ilustra la gravedad del problema con una opinión emitida en la Cámara de los Lores. Según esa opinión,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Los estudios empíricos muestran interpretaciones muy dispares de las fórmulas vigentes.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el autor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En suma, la vaguedad extrema equivale funcionalmente a la ausencia de umbral. Una fórmula que admite lecturas tan distantes no orienta al juez ni permite a las partes prever el resultado de su actividad probatoria. Esta conclusión explica que el segundo requisito haya recibido las objeciones más elaboradas de la doctrina contemporánea.</w:t>
      </w:r>
    </w:p>
    <w:p>
      <w:pPr>
        <w:spacing w:before="0" w:after="0" w:line="360" w:lineRule="auto"/>
        <w:ind w:firstLine="709"/>
        <w:jc w:val="both"/>
      </w:pPr>
      <w:r>
        <w:rPr>
          <w:rFonts w:ascii="Arial" w:eastAsia="Arial" w:hAnsi="Arial" w:cs="Arial"/>
          <w:color w:val="000000"/>
          <w:sz w:val="24"/>
          <w:szCs w:val="24"/>
        </w:rPr>
        <w:t xml:space="preserve">El segundo requisito ha recibido objeciones.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desplaza la formulación del estándar desde los criterios de valoración hacia los resultados probatorios mínimos. Esos resultados varían de un estándar a otro. Un estándar puede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resultado presupone la aplicación del conjunto de criterios epistémicos, pero identifica el resultado mínimo requerido. Esta respuesta enfrenta, sin embargo, la objeción del regreso al infinito.</w:t>
      </w:r>
    </w:p>
    <w:p>
      <w:pPr>
        <w:spacing w:before="0" w:after="0" w:line="360" w:lineRule="auto"/>
        <w:ind w:firstLine="709"/>
        <w:jc w:val="both"/>
      </w:pPr>
      <w:r>
        <w:rPr>
          <w:rFonts w:ascii="Arial" w:eastAsia="Arial" w:hAnsi="Arial" w:cs="Arial"/>
          <w:color w:val="000000"/>
          <w:sz w:val="24"/>
          <w:szCs w:val="24"/>
        </w:rPr>
        <w:t xml:space="preserve">La objeción del regreso al infinito sostiene que cada criterio requeriría a su vez un estándar. Ferrer Beltrán responde a esa objeción con dos argumentos. El primer argumento apela al problema general de la inducción, que afecta por igual a todo conocimiento empírico. El segundo argumento apela a la división del trabajo cognitivo entre quien formula el estándar y quien lo aplica.</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r>
        <w:rPr>
          <w:rFonts w:ascii="Arial" w:eastAsia="Arial" w:hAnsi="Arial" w:cs="Arial"/>
          <w:color w:val="000000"/>
          <w:sz w:val="24"/>
          <w:szCs w:val="24"/>
        </w:rPr>
        <w:t xml:space="preserve"> En consecuencia, la vaguedad residual no invalida la exigencia de un umbral, sino que obliga a formularlo con referencia a resultados probatorios verificables. Una segunda línea de objeción renuncia a esa formulación general y defiende estándares que el juzgador ajuste a cada caso.</w:t>
      </w:r>
    </w:p>
    <w:p>
      <w:pPr>
        <w:spacing w:before="0" w:after="0" w:line="360" w:lineRule="auto"/>
        <w:ind w:firstLine="709"/>
        <w:jc w:val="both"/>
      </w:pPr>
      <w:r>
        <w:rPr>
          <w:rFonts w:ascii="Arial" w:eastAsia="Arial" w:hAnsi="Arial" w:cs="Arial"/>
          <w:color w:val="000000"/>
          <w:sz w:val="24"/>
          <w:szCs w:val="24"/>
        </w:rPr>
        <w:t xml:space="preserve">La segunda línea de objeción defiende la conveniencia de estándares flexibles.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El autor reconoce que el particularismo permite atender a las peculiaridades del caso. Sin embargo, el particularismo sacrifica la previsibilidad, la igualdad y el control de las decisiones. El autor propone que el legislador adopte una razón subyacente según la cual,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razón subyacente conserva la sensibilidad a la gravedad del daño sin renunciar a la generalidad de la regla. Esta propuesta tiene una consecuencia normativa relevante para la tesis que sostiene esta investigación.</w:t>
      </w:r>
    </w:p>
    <w:p>
      <w:pPr>
        <w:spacing w:before="0" w:after="0" w:line="360" w:lineRule="auto"/>
        <w:ind w:firstLine="709"/>
        <w:jc w:val="both"/>
      </w:pPr>
      <w:r>
        <w:rPr>
          <w:rFonts w:ascii="Arial" w:eastAsia="Arial" w:hAnsi="Arial" w:cs="Arial"/>
          <w:color w:val="000000"/>
          <w:sz w:val="24"/>
          <w:szCs w:val="24"/>
        </w:rPr>
        <w:t xml:space="preserve">La consecuencia normativa de la propuesta de Ferrer Beltrán se refiere a los derechos procesales de las partes.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de esta tesis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xml:space="preserve">. Según esa doctrina,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Un litigante que desconoce el umbral no puede decidir qué pruebas ofrecer ni valorar la conveniencia de litigar, y por ello la fijación anticipada del estándar es una condición de la defensa eficaz y no una mera preferencia técnica. Este argumento será central para evaluar la determinación casuística de la suficiencia en materia electoral. La fijación anticipada del umbral exige, a su vez, un lenguaje adecuado para expresarlo.</w:t>
      </w:r>
    </w:p>
    <w:p>
      <w:pPr>
        <w:spacing w:before="0" w:after="0" w:line="360" w:lineRule="auto"/>
        <w:ind w:firstLine="709"/>
        <w:jc w:val="both"/>
      </w:pPr>
      <w:r>
        <w:rPr>
          <w:rFonts w:ascii="Arial" w:eastAsia="Arial" w:hAnsi="Arial" w:cs="Arial"/>
          <w:color w:val="000000"/>
          <w:sz w:val="24"/>
          <w:szCs w:val="24"/>
        </w:rPr>
        <w:t xml:space="preserve">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y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Un umbral numérico parecería resolver la vaguedad. El autor examina, sin embargo, los ejemplos clásicos que muestran los inconvenientes de la estadística aplicada a casos individuales. En el caso de los autobuses azules, la única prueba es que el ochenta por ciento de los autobuses azules de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Ambos ejemplos preguntan si una frecuencia estadística basta para condenar a un individuo.</w:t>
      </w:r>
    </w:p>
    <w:p>
      <w:pPr>
        <w:spacing w:before="0" w:after="0" w:line="360" w:lineRule="auto"/>
        <w:ind w:firstLine="709"/>
        <w:jc w:val="both"/>
      </w:pPr>
      <w:r>
        <w:rPr>
          <w:rFonts w:ascii="Arial" w:eastAsia="Arial" w:hAnsi="Arial" w:cs="Arial"/>
          <w:color w:val="000000"/>
          <w:sz w:val="24"/>
          <w:szCs w:val="24"/>
        </w:rPr>
        <w:t xml:space="preserve">Allen ha defendido que condenar en los casos de los autobuses y del espectáculo minimizaría los errores en el conjunto de las decisiones. Esa defensa atiende al número total de aciertos y no a la justificación de cada decisión individual. Ferrer Beltrán replica que la justificación de una decisión sobre los hechos tiene una cara material y otra procedimental.</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Al derecho no le interesa el acierto por casualidad. Una decisión no está justificada si declara probada la hipótesis verdadera sin disponer de corroboración suficiente respecto del caso concreto. En consecuencia, la frecuencia estadística no sustituye la corroboración individual de la hipótesis. La decisión judicial debe apoyarse en pruebas que se refieran al caso y no solo a la clase de casos en la que se inscribe. A esa objeción se suma el llamado problema de la clase de referencia, que afecta a toda frecuencia estadística.</w:t>
      </w:r>
    </w:p>
    <w:p>
      <w:pPr>
        <w:spacing w:before="0" w:after="0" w:line="360" w:lineRule="auto"/>
        <w:ind w:firstLine="709"/>
        <w:jc w:val="both"/>
      </w:pPr>
      <w:r>
        <w:rPr>
          <w:rFonts w:ascii="Arial" w:eastAsia="Arial" w:hAnsi="Arial" w:cs="Arial"/>
          <w:color w:val="000000"/>
          <w:sz w:val="24"/>
          <w:szCs w:val="24"/>
        </w:rPr>
        <w:t xml:space="preserve">Toda frecuencia estadística se predica de una clase de sucesos.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La autora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esa tesis se sigue, en su criterio, que el probabilismo jurídico es erróneo, entendido como la identificación de los grados de prueba con las probabilidades del cálculo matemático.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p>
    <w:p>
      <w:pPr>
        <w:spacing w:before="0" w:after="0" w:line="360" w:lineRule="auto"/>
        <w:ind w:firstLine="709"/>
        <w:jc w:val="both"/>
      </w:pPr>
      <w:r>
        <w:rPr>
          <w:rFonts w:ascii="Arial" w:eastAsia="Arial" w:hAnsi="Arial" w:cs="Arial"/>
          <w:color w:val="000000"/>
          <w:sz w:val="24"/>
          <w:szCs w:val="24"/>
        </w:rPr>
        <w:t xml:space="preserve">La diferencia entre el uso epistemológico y el uso estadístico de lo probable explica por qué la cuantificación del umbral desplaza el problema sin resolverlo. Ferrer Beltrán adopta como alternativa la probabilidad inductiva de tipo baconiano desarrollada por L. J. Cohen. Esta probabilidad es ordinal y no numérica, y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En ella no rigen los principios de complementariedad para la negación ni de multiplicación para la conjunción. La razón es que la probabilidad baconiana no mide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La probabilidad baconiana trata la conjunción de un modo distinto y más adecuado para la prueba judicial.</w:t>
      </w:r>
    </w:p>
    <w:p>
      <w:pPr>
        <w:spacing w:before="0" w:after="0" w:line="360" w:lineRule="auto"/>
        <w:ind w:firstLine="709"/>
        <w:jc w:val="both"/>
      </w:pPr>
      <w:r>
        <w:rPr>
          <w:rFonts w:ascii="Arial" w:eastAsia="Arial" w:hAnsi="Arial" w:cs="Arial"/>
          <w:color w:val="000000"/>
          <w:sz w:val="24"/>
          <w:szCs w:val="24"/>
        </w:rPr>
        <w:t xml:space="preserve">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Ferrer Beltrán ilustra esa regla con el delito de estafa. En ese delito deben probarse el engaño y el menoscabo patrimonial. La probabilidad de que se hayan dado ambos elementos es igual a la del elemento menos corroborado. Esta regla evita la paradoja según la cual tres elementos probados cada uno con una probabilidad de 0.7 arrojarían una probabilidad conjunta de apenas 0.343. Haack ofrece un ejemplo equivalente y advierte que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Ese resultado haría casi imposible probar cualquier hecho complejo. Haack lleva el argumento un paso más allá que Cohen y admite que la conjunción puede tener un aval superior al de sus componentes.</w:t>
      </w:r>
    </w:p>
    <w:p>
      <w:pPr>
        <w:spacing w:before="0" w:after="0" w:line="360" w:lineRule="auto"/>
        <w:ind w:firstLine="709"/>
        <w:jc w:val="both"/>
      </w:pPr>
      <w:r>
        <w:rPr>
          <w:rFonts w:ascii="Arial" w:eastAsia="Arial" w:hAnsi="Arial" w:cs="Arial"/>
          <w:color w:val="000000"/>
          <w:sz w:val="24"/>
          <w:szCs w:val="24"/>
        </w:rPr>
        <w:t xml:space="preserve">Haack sostiene que el grado de aval de una conjunción puede ser más alto que el de sus componentes. Las pruebas se entrelazan, según la autora,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y en formular el estándar mediante relaciones cualitativas de apoyo. Para el propósito de esta investigación basta retener que el tercer requisito excluye los umbrales numéricos y exige criterios compatibles con la convergencia de pruebas. La probabilidad inductiva requiere, sin embargo, un método que permita medirla.</w:t>
      </w:r>
    </w:p>
    <w:p>
      <w:pPr>
        <w:spacing w:before="0" w:after="0" w:line="360" w:lineRule="auto"/>
        <w:ind w:firstLine="709"/>
        <w:jc w:val="both"/>
      </w:pPr>
      <w:r>
        <w:rPr>
          <w:rFonts w:ascii="Arial" w:eastAsia="Arial" w:hAnsi="Arial" w:cs="Arial"/>
          <w:color w:val="000000"/>
          <w:sz w:val="24"/>
          <w:szCs w:val="24"/>
        </w:rPr>
        <w:t xml:space="preserve">Ferrer Beltrán articula la probabilidad inductiva con el método de la inducción eliminativa. El autor ilustra ese método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Por consiguiente, el estándar de prueba debe indicar en qué escalón de esa escala de soporte inductivo puede considerarse probada una hipótesis en un tipo de proceso determinado. La escala de soporte inductivo guarda una afinidad estrecha con la estructura de la prueba indiciaria. Esa afinidad se advierte en la tipología de indicios construida a partir de las hipótesis alternativas.</w:t>
      </w:r>
    </w:p>
    <w:p>
      <w:pPr>
        <w:spacing w:before="0" w:after="0" w:line="360" w:lineRule="auto"/>
        <w:ind w:firstLine="709"/>
        <w:jc w:val="both"/>
      </w:pPr>
      <w:r>
        <w:rPr>
          <w:rFonts w:ascii="Arial" w:eastAsia="Arial" w:hAnsi="Arial" w:cs="Arial"/>
          <w:color w:val="000000"/>
          <w:sz w:val="24"/>
          <w:szCs w:val="24"/>
        </w:rPr>
        <w:t xml:space="preserve">La prueba indiciaria comparte con la inducción eliminativa la lógica de descartar explicaciones rivales. Igartua Salaverría gradúa la eficacia de los indicios según las hipótesis alternativas que dejan abiertas.</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Esa gradación va desde los indicios equiprobables hasta los indicios necesarios, que excluyen cualquier alternativa. Cada escalón de esa tipología corresponde a un grado mayor de eliminación de hipótesis rivales. La coincidencia entre ambas escalas no es casual, porque las dos miden la fiabilidad de la inferencia por el número de alternativas descartadas. En consecuencia, el tercer requisito ofrece el lenguaje conceptual adecuado para formular estándares aplicables a los indicios. Un estándar formulado en ese lenguaje puede exigir, por ejemplo, la eliminación de las hipótesis alternativas plausibles antes de tener por probada la irregularidad. Ese lenguaje cualitativo debe articularse con los demás estándares que rigen un mismo procedimiento, y esa articulación es el objeto del cuarto requisito.</w:t>
      </w:r>
    </w:p>
    <w:p>
      <w:pPr>
        <w:spacing w:before="0" w:after="0" w:line="360" w:lineRule="auto"/>
        <w:ind w:firstLine="709"/>
        <w:jc w:val="both"/>
      </w:pPr>
      <w:r>
        <w:rPr>
          <w:rFonts w:ascii="Arial" w:eastAsia="Arial" w:hAnsi="Arial" w:cs="Arial"/>
          <w:color w:val="000000"/>
          <w:sz w:val="24"/>
          <w:szCs w:val="24"/>
        </w:rPr>
        <w:t xml:space="preserve">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El autor sostiene que el grado de exigencia de los estándares aplicables a distintas fases debe seguir una tendencia ascendente. En el proceso penal,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de esa progresión es epistémica antes que política. En un estadio inicial el juez no dispone todavía de todas las pruebas relevantes, y esas pruebas no han sido practicadas en contradicción. Por ello no es exigible un estándar de máxima exigencia en las primeras fases del proceso.</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La progresión ascendente impone al legislador un orden preciso para fijar los distintos umbrales.</w:t>
      </w:r>
    </w:p>
    <w:p>
      <w:pPr>
        <w:spacing w:before="0" w:after="0" w:line="360" w:lineRule="auto"/>
        <w:ind w:firstLine="709"/>
        <w:jc w:val="both"/>
      </w:pPr>
      <w:r>
        <w:rPr>
          <w:rFonts w:ascii="Arial" w:eastAsia="Arial" w:hAnsi="Arial" w:cs="Arial"/>
          <w:color w:val="000000"/>
          <w:sz w:val="24"/>
          <w:szCs w:val="24"/>
        </w:rPr>
        <w:t xml:space="preserve">El legislador debe determinar primero el grado de exigencia para la decisión final. A partir de ese grado, el legislador debe ordenar en progresiva disminución los estándares de las decisiones intermedias. Esa ordenación debe considerar la relativa gravedad de los errores de cada decisión. Una condena errónea no cuesta lo mismo que una prisión preventiva, una suspensión de derechos o un embargo preventivo. Por consiguiente, cada decisión intermedia requiere un umbral proporcionado al daño que su error puede causar. Ferrer Beltrán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r>
        <w:rPr>
          <w:rFonts w:ascii="Arial" w:eastAsia="Arial" w:hAnsi="Arial" w:cs="Arial"/>
          <w:color w:val="000000"/>
          <w:sz w:val="24"/>
          <w:szCs w:val="24"/>
        </w:rPr>
        <w:t xml:space="preserve"> Ese sesgo exige que cada estándar se aplique con independencia de lo resuelto en las fases anteriores. La progresión de estándares completa la estructura formal de un estándar válido y prepara el examen de su función distributiva.</w:t>
      </w:r>
    </w:p>
    <w:p>
      <w:pPr>
        <w:spacing w:before="0" w:after="0" w:line="360" w:lineRule="auto"/>
        <w:ind w:firstLine="709"/>
        <w:jc w:val="both"/>
      </w:pPr>
      <w:r>
        <w:rPr>
          <w:rFonts w:ascii="Arial" w:eastAsia="Arial" w:hAnsi="Arial" w:cs="Arial"/>
          <w:color w:val="000000"/>
          <w:sz w:val="24"/>
          <w:szCs w:val="24"/>
        </w:rPr>
        <w:t xml:space="preserve">El cuarto requisito tiene proyección directa sobre el contencioso electoral, aunque su estructura procesal difiera de la penal. Los medios de impugnación exigen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Por ello no puede verificarse si esas decisiones guardan entre sí la progresión exigida. La ausencia de estándares intermedios impide distinguir entre la exigencia para suspender provisionalmente un acto y la exigencia para anular una elección. Esa indistinción coloca en el mismo plano decisiones cuyo error produce daños de magnitud muy diferente. La crítica de Ferrer Beltrán a la tesis del concepto único de prueba precisa la gravedad de esta omisión.</w:t>
      </w:r>
    </w:p>
    <w:p>
      <w:pPr>
        <w:spacing w:before="0" w:after="0" w:line="360" w:lineRule="auto"/>
        <w:ind w:firstLine="709"/>
        <w:jc w:val="both"/>
      </w:pPr>
      <w:r>
        <w:rPr>
          <w:rFonts w:ascii="Arial" w:eastAsia="Arial" w:hAnsi="Arial" w:cs="Arial"/>
          <w:color w:val="000000"/>
          <w:sz w:val="24"/>
          <w:szCs w:val="24"/>
        </w:rPr>
        <w:t xml:space="preserve">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Esa tesis ignora que cada decisión se adopta con un acervo distinto y con consecuencias distintas. Si la exigencia fuese única, las decisiones iniciales se volverían de cumplimiento imposible o la decisión final se tornaría indebidamente laxa. Ambos resultados son inaceptables para un sistema que pretenda decidir con racionalidad. En materia electoral, la plena acreditación exigida para la nulidad no puede trasladarse sin más a otras decisiones del procedimiento. La exigencia final no puede rebajarse por el hecho de que las decisiones previas se hayan adoptado con estándares menos exigentes. Por consiguiente, el sistema electoral requiere una escala de estándares diferenciados y ordenados de manera ascendente. Esa escala, como los demás requisitos, no determina por sí misma dónde debe situarse cada umbral, y esa determinación remite a la función distributiva del estándar.</w:t>
      </w:r>
    </w:p>
    <w:p>
      <w:pPr>
        <w:spacing w:before="0" w:after="0" w:line="360" w:lineRule="auto"/>
        <w:ind w:firstLine="709"/>
        <w:jc w:val="both"/>
      </w:pPr>
      <w:r>
        <w:rPr>
          <w:rFonts w:ascii="Arial" w:eastAsia="Arial" w:hAnsi="Arial" w:cs="Arial"/>
          <w:color w:val="000000"/>
          <w:sz w:val="24"/>
          <w:szCs w:val="24"/>
        </w:rPr>
        <w:t xml:space="preserve">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Esas dos funciones se cumplen por la mera existencia de un estándar que satisfaga los requisitos metodológicos. La distribución del riesgo es consecuencia del umbral concreto fijado por cada estándar. Las limitaciones epistémicas del razonamiento sobre los hechos solo permiten atribuir a las hipótesis una cierta probabilidad inductiva. En consecuencia, la posibilidad del error nunca desaparece del todo. La magnitud de ese riesgo y su reparto entre las partes dependen del lugar en que el legislador sitúe el umbral de cada decisión.</w:t>
      </w:r>
    </w:p>
    <w:p>
      <w:pPr>
        <w:spacing w:before="0" w:after="0" w:line="360" w:lineRule="auto"/>
        <w:ind w:firstLine="709"/>
        <w:jc w:val="both"/>
      </w:pPr>
      <w:r>
        <w:rPr>
          <w:rFonts w:ascii="Arial" w:eastAsia="Arial" w:hAnsi="Arial" w:cs="Arial"/>
          <w:color w:val="000000"/>
          <w:sz w:val="24"/>
          <w:szCs w:val="24"/>
        </w:rPr>
        <w:t xml:space="preserve">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Esa relación inversa convierte la fijación del umbral en una elección entre dos clases de error. La pregunta sobre qué parte debe soportar en mayor medida ese riesgo es, según Ferrer Beltrán,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r>
        <w:rPr>
          <w:rFonts w:ascii="Arial" w:eastAsia="Arial" w:hAnsi="Arial" w:cs="Arial"/>
          <w:color w:val="000000"/>
          <w:sz w:val="24"/>
          <w:szCs w:val="24"/>
        </w:rPr>
        <w:t xml:space="preserve"> El énfasis exclusivo en esta tercera función encierra, sin embargo, un riesgo teórico.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Ferrer Beltrán considera que esa focalización es una de las equivocaciones que deben destacarse. El error consiste en oscurecer el papel de los estándares como criterio de justificación de las decisiones y como garantía para las partes.</w:t>
      </w:r>
    </w:p>
    <w:p>
      <w:pPr>
        <w:spacing w:before="0" w:after="0" w:line="360" w:lineRule="auto"/>
        <w:ind w:firstLine="709"/>
        <w:jc w:val="both"/>
      </w:pPr>
      <w:r>
        <w:rPr>
          <w:rFonts w:ascii="Arial" w:eastAsia="Arial" w:hAnsi="Arial" w:cs="Arial"/>
          <w:color w:val="000000"/>
          <w:sz w:val="24"/>
          <w:szCs w:val="24"/>
        </w:rPr>
        <w:t xml:space="preserve">La focalización en la función distributiva olvida que disponer de estándares correctamente formulados es parte sustancial del debido proceso. Si el estándar se concibe solo como un instrumento para repartir errores, podría aceptarse cualquier fórmula que produzca la distribución deseada. Esa fórmula podría ser aceptable aunque no permitiera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 La distribución del riesgo exige, por ello, razones explícitas para situar el umbral en un punto determinado.</w:t>
      </w:r>
    </w:p>
    <w:p>
      <w:pPr>
        <w:spacing w:before="0" w:after="0" w:line="360" w:lineRule="auto"/>
        <w:ind w:firstLine="709"/>
        <w:jc w:val="both"/>
      </w:pPr>
      <w:r>
        <w:rPr>
          <w:rFonts w:ascii="Arial" w:eastAsia="Arial" w:hAnsi="Arial" w:cs="Arial"/>
          <w:color w:val="000000"/>
          <w:sz w:val="24"/>
          <w:szCs w:val="24"/>
        </w:rPr>
        <w:t xml:space="preserve">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La igualdad y la irretroactividad obligan a expresar los estándares en reglas generales. El autor advierte que la decisión se adopta en un contexto de incertidumbre en el sentido de Knight, en el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Ningún mecanismo permite cuantificar globalmente los errores judiciales ni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La información sobre el sistema no es inútil, pero no establece con certeza relaciones causales entre estándares y resultados. En consecuencia, la decisión sobre el umbral debe apoyarse en razones sustantivas explícitas, y el autor propone una lista abierta de seis razones.</w:t>
      </w:r>
      <w:r>
        <w:rPr>
          <w:rFonts w:ascii="Arial" w:eastAsia="Arial" w:hAnsi="Arial" w:cs="Arial"/>
          <w:color w:val="000000"/>
          <w:sz w:val="24"/>
          <w:szCs w:val="24"/>
          <w:vertAlign w:val="superscript"/>
        </w:rPr>
        <w:footnoteReference w:id="225"/>
      </w:r>
    </w:p>
    <w:p>
      <w:pPr>
        <w:spacing w:before="0" w:after="0" w:line="360" w:lineRule="auto"/>
        <w:ind w:firstLine="709"/>
        <w:jc w:val="both"/>
      </w:pPr>
      <w:r>
        <w:rPr>
          <w:rFonts w:ascii="Arial" w:eastAsia="Arial" w:hAnsi="Arial" w:cs="Arial"/>
          <w:color w:val="000000"/>
          <w:sz w:val="24"/>
          <w:szCs w:val="24"/>
        </w:rPr>
        <w:t xml:space="preserve">Las razones de Ferrer Beltrán producen varias consecuencias para el diseño de estándares. La primera consecuencia es que la gravedad del error depende de la importancia del bien afectado y del grado de su afectación.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que comprende desde sanciones de tráfico hasta infracciones a la competencia. La segunda consecuencia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Esa mención resulta relevante para las irregularidades electorales. Las dos consecuencias restantes atañen a razones opuestas y al desequilibrio entre partes.</w:t>
      </w:r>
    </w:p>
    <w:p>
      <w:pPr>
        <w:spacing w:before="0" w:after="0" w:line="360" w:lineRule="auto"/>
        <w:ind w:firstLine="709"/>
        <w:jc w:val="both"/>
      </w:pPr>
      <w:r>
        <w:rPr>
          <w:rFonts w:ascii="Arial" w:eastAsia="Arial" w:hAnsi="Arial" w:cs="Arial"/>
          <w:color w:val="000000"/>
          <w:sz w:val="24"/>
          <w:szCs w:val="24"/>
        </w:rPr>
        <w:t xml:space="preserve">La tercera consecuencia es que pueden concurrir razones opuestas en un mismo tipo de casos. Esa concurrencia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para ponderar la gravedad de la consecuencia frente a la dificultad de la prueba. Un diseño que combine ambas características corre el riesgo de resultar ineficaz. La cuarta consecuencia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ella contienden partidos, candidaturas y, en ocasiones, actores que disponen de recursos públicos y de una posición institucional ventajosa. La aplicación de estas cuatro consecuencias al contencioso electoral revela tensiones que la ley no resuelve y que la jurisprudencia ha enfrentado sin una regla general.</w:t>
      </w:r>
    </w:p>
    <w:p>
      <w:pPr>
        <w:spacing w:before="0" w:after="0" w:line="360" w:lineRule="auto"/>
        <w:ind w:firstLine="709"/>
        <w:jc w:val="both"/>
      </w:pPr>
      <w:r>
        <w:rPr>
          <w:rFonts w:ascii="Arial" w:eastAsia="Arial" w:hAnsi="Arial" w:cs="Arial"/>
          <w:color w:val="000000"/>
          <w:sz w:val="24"/>
          <w:szCs w:val="24"/>
        </w:rPr>
        <w:t xml:space="preserve">La nulidad de una elección afecta la eficacia del sufragio ciudadano, un bien de máxima relevancia constitucional. Esa gravedad justificaría, conforme a la primera razón, un umbral elevado para declarar probadas las irregularidades que la fundan. Sin embargo, las irregularidades que sustentan la nulidad son difíciles de probar. Sus dificultades probatorias son comparables a las de la corrupción. Esas irregularidades son el exceso del gasto de campaña, la compra o adquisición de cobertura informativa o de tiempos en radio y televisión, el uso de recursos ilícitos o públicos y, desde la reforma de 2026, la injerencia extranjera.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distribuye el riesgo según la cuarta razón, junto con el estándar. La jurisprudencia resuelve esta tensión caso por caso.</w:t>
      </w:r>
    </w:p>
    <w:p>
      <w:pPr>
        <w:spacing w:before="0" w:after="0" w:line="360" w:lineRule="auto"/>
        <w:ind w:firstLine="709"/>
        <w:jc w:val="both"/>
      </w:pPr>
      <w:r>
        <w:rPr>
          <w:rFonts w:ascii="Arial" w:eastAsia="Arial" w:hAnsi="Arial" w:cs="Arial"/>
          <w:color w:val="000000"/>
          <w:sz w:val="24"/>
          <w:szCs w:val="24"/>
        </w:rPr>
        <w:t xml:space="preserve">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Ese ajuste se produjo sin una regla general previa que lo autorizara o lo delimitara. Conforme al segundo requisito y a la exigencia de generalidad, esa ponderación corresponde al legislador y debe expresarse con anticipación. Por consiguiente, la solución casuística es comprensible, pero no satisface las condiciones de un estándar válido. La viabilidad de los requisitos no depende, sin embargo, de la práctica mexicana. Esa viabilidad se demuestra con la posibilidad de formular estándares que satisfagan los cuatro requisitos. Ferrer Beltrán ofrece precisamente un conjunto de formulaciones que permite comprobar que un estándar metodológicamente correcto no es una construcción imposible.</w:t>
      </w:r>
    </w:p>
    <w:p>
      <w:pPr>
        <w:spacing w:before="0" w:after="0" w:line="360" w:lineRule="auto"/>
        <w:ind w:firstLine="709"/>
        <w:jc w:val="both"/>
      </w:pPr>
      <w:r>
        <w:rPr>
          <w:rFonts w:ascii="Arial" w:eastAsia="Arial" w:hAnsi="Arial" w:cs="Arial"/>
          <w:color w:val="000000"/>
          <w:sz w:val="24"/>
          <w:szCs w:val="24"/>
        </w:rPr>
        <w:t xml:space="preserve">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Las tres primeras formulaciones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Las cuatro restantes combinan la comparación de probabilidades con la exigencia de completitud del peso probatorio. Todas remiten a propiedades del acervo y no a estados mentales, con lo cual satisfacen el primer requisito. Todas identifican resultados probatorios mínimos y satisfacen el segundo requisito en la medida en que ello es posible. Ninguna emplea valores numéricos, de modo que satisfacen el tercer requisito.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pPr>
        <w:spacing w:before="0" w:after="0" w:line="360" w:lineRule="auto"/>
        <w:ind w:firstLine="709"/>
        <w:jc w:val="both"/>
      </w:pPr>
      <w:r>
        <w:rPr>
          <w:rFonts w:ascii="Arial" w:eastAsia="Arial" w:hAnsi="Arial" w:cs="Arial"/>
          <w:color w:val="000000"/>
          <w:sz w:val="24"/>
          <w:szCs w:val="24"/>
        </w:rPr>
        <w:t xml:space="preserve">Las formulaciones de Ferrer Beltrán no son meras construcciones académicas. El autor informa que la jurisprudencia penal portuguesa adoptó la primera de ellas.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La Primera Sala de la Suprema Corte mexicana adoptó la exigencia de la segunda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el juez debe cerciorarse de que las pruebas de cargo desvirtúen la hipótesis de inocencia efectivamente alegada por la defensa para considerar que hay prueba de cargo suficiente. El juez debe verificar que se descarten las pruebas de descargo o contraindicios que den lugar a una duda razonable. La recepción de este criterio muestra que el ordenamiento mexicano conoce ya una formulación de estándar compatible con los requisitos metodológicos. Sin embargo, esa formulación se ha desarrollado en sede penal y no ha sido trasladada de forma explícita al contencioso electoral. El contraste entre ambas materias permite precisar la naturaleza del defecto que afecta a la justicia electoral.</w:t>
      </w:r>
    </w:p>
    <w:p>
      <w:pPr>
        <w:spacing w:before="0" w:after="0" w:line="360" w:lineRule="auto"/>
        <w:ind w:firstLine="709"/>
        <w:jc w:val="both"/>
      </w:pPr>
      <w:r>
        <w:rPr>
          <w:rFonts w:ascii="Arial" w:eastAsia="Arial" w:hAnsi="Arial" w:cs="Arial"/>
          <w:color w:val="000000"/>
          <w:sz w:val="24"/>
          <w:szCs w:val="24"/>
        </w:rPr>
        <w:t xml:space="preserve">El defecto de la materia electoral es de omisión normativa y no de imposibilidad conceptual. La Primera Sala demostró que un estándar metodológicamente correcto puede formularse para la presunción de inocencia. Ese mismo tipo de estándar puede formularse para la nulidad de una elección fundada en indicios. La propuesta de Ferrer Beltrán ha recibido, con todo, críticas que delimitan el alcance de su utilidad. La primera crítica proviene de Ronald J. Allen, quien cuestiona el primer estándar propuesto por el autor. Allen sostiene que la exigencia de confirmar predicciones y de refutar hipótesis alternativas, con la excepción de las hipótesis construidas para el caso, permite descalificar de ese modo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esa teoría, el proceso consiste en comparar historias alternativas y aceptar como verdadera la más plausible.</w:t>
      </w:r>
    </w:p>
    <w:p>
      <w:pPr>
        <w:spacing w:before="0" w:after="0" w:line="360" w:lineRule="auto"/>
        <w:ind w:firstLine="709"/>
        <w:jc w:val="both"/>
      </w:pPr>
      <w:r>
        <w:rPr>
          <w:rFonts w:ascii="Arial" w:eastAsia="Arial" w:hAnsi="Arial" w:cs="Arial"/>
          <w:color w:val="000000"/>
          <w:sz w:val="24"/>
          <w:szCs w:val="24"/>
        </w:rPr>
        <w:t xml:space="preserve">La teoría de la plausibilidad relativa distribuye la tarea explicativa entre las partes. En el proceso penal, la acusación debe ofrecer una explicación plausible de la culpabilidad. Si la acusación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r>
        <w:rPr>
          <w:rFonts w:ascii="Arial" w:eastAsia="Arial" w:hAnsi="Arial" w:cs="Arial"/>
          <w:color w:val="000000"/>
          <w:sz w:val="24"/>
          <w:szCs w:val="24"/>
        </w:rPr>
        <w:t xml:space="preserve"> Allen formula, con todo, una observación adicional sobre las diferencias entre la ciencia y el derecho que merece ser atendida.</w:t>
      </w:r>
    </w:p>
    <w:p>
      <w:pPr>
        <w:spacing w:before="0" w:after="0" w:line="360" w:lineRule="auto"/>
        <w:ind w:firstLine="709"/>
        <w:jc w:val="both"/>
      </w:pPr>
      <w:r>
        <w:rPr>
          <w:rFonts w:ascii="Arial" w:eastAsia="Arial" w:hAnsi="Arial" w:cs="Arial"/>
          <w:color w:val="000000"/>
          <w:sz w:val="24"/>
          <w:szCs w:val="24"/>
        </w:rPr>
        <w:t xml:space="preserve">Allen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El autor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Por tanto, existe un margen de apreciación judicial que ningún estándar puede eliminar. El estándar consigue que ese margen se ejerza mediante razones controlables y no mediante la invocación de una convicción. Por consiguiente, la objeción de Allen fortalece la exigencia de motivación antes que debilitarla.</w:t>
      </w:r>
    </w:p>
    <w:p>
      <w:pPr>
        <w:spacing w:before="0" w:after="0" w:line="360" w:lineRule="auto"/>
        <w:ind w:firstLine="709"/>
        <w:jc w:val="both"/>
      </w:pPr>
      <w:r>
        <w:rPr>
          <w:rFonts w:ascii="Arial" w:eastAsia="Arial" w:hAnsi="Arial" w:cs="Arial"/>
          <w:color w:val="000000"/>
          <w:sz w:val="24"/>
          <w:szCs w:val="24"/>
        </w:rPr>
        <w:t xml:space="preserve">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El autor cree que el juez, aun sujeto a ellos, solo argumentará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La crítica pierde fuerza frente a estándares que remiten a resultados probatorios verificables, como la refutación de la hipótesis de la defensa. La crítica no alcanza a la probabilidad baconiana, que por definición no suma ni multiplica valores numéricos. Su diagnóstico de la práctica judicial admite otra lectura.</w:t>
      </w:r>
    </w:p>
    <w:p>
      <w:pPr>
        <w:spacing w:before="0" w:after="0" w:line="360" w:lineRule="auto"/>
        <w:ind w:firstLine="709"/>
        <w:jc w:val="both"/>
      </w:pPr>
      <w:r>
        <w:rPr>
          <w:rFonts w:ascii="Arial" w:eastAsia="Arial" w:hAnsi="Arial" w:cs="Arial"/>
          <w:color w:val="000000"/>
          <w:sz w:val="24"/>
          <w:szCs w:val="24"/>
        </w:rPr>
        <w:t xml:space="preserve">Nieva-Fenoll sostiene que los jueces seleccionan la información que confirma una conclusión preconcebida. Ese diagnóstico describe un sesgo real del razonamiento judicial. El sesgo de confirmación constituye, más bien, un argumento a favor de estándares que obliguen a considerar las hipótesis alternativas. Un estándar que exige refutar la hipótesis de la parte contraria impide que el juez se limite a reunir los datos que confirman su conclusión inicial. En consecuencia, la objeción describe los defectos de los estándares que no satisfacen los requisitos metodológicos. Esa descripción no alcanza a los estándares que sí los satisfacen. La crítica de Nieva-Fenoll confirma de este modo la utilidad del primer requisito y del segundo. La tercera objeción, extraída del análisis de Haack, se refiere al valor de la precisión como exigencia de los estándares.</w:t>
      </w:r>
    </w:p>
    <w:p>
      <w:pPr>
        <w:spacing w:before="0" w:after="0" w:line="360" w:lineRule="auto"/>
        <w:ind w:firstLine="709"/>
        <w:jc w:val="both"/>
      </w:pPr>
      <w:r>
        <w:rPr>
          <w:rFonts w:ascii="Arial" w:eastAsia="Arial" w:hAnsi="Arial" w:cs="Arial"/>
          <w:color w:val="000000"/>
          <w:sz w:val="24"/>
          <w:szCs w:val="24"/>
        </w:rPr>
        <w:t xml:space="preserve">Haack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La autora admite que ningún estándar vigente es preciso y sugiere que la precisión podría no ser deseable. Esta posición coincide con Ferrer Beltrán en el carácter político de la decisión y en el rechazo del probabilismo matemático. Sin embargo, la posición de Haack diverge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En la prueba indiciaria, el estándar puede indicar qué hipótesis deben descartarse sin dar a cada indicio un valor numérico.</w:t>
      </w:r>
    </w:p>
    <w:p>
      <w:pPr>
        <w:spacing w:before="0" w:after="0" w:line="360" w:lineRule="auto"/>
        <w:ind w:firstLine="709"/>
        <w:jc w:val="both"/>
      </w:pPr>
      <w:r>
        <w:rPr>
          <w:rFonts w:ascii="Arial" w:eastAsia="Arial" w:hAnsi="Arial" w:cs="Arial"/>
          <w:color w:val="000000"/>
          <w:sz w:val="24"/>
          <w:szCs w:val="24"/>
        </w:rPr>
        <w:t xml:space="preserve">Los requisitos metodológicos permiten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del expediente, las afirmaciones de las partes, la verdad conocida y el recto raciocinio de la relación que guardan entre sí. Esa enumeración describe en rigor un método de valoración conjunta análogo a la adminiculación. El umbral se expresa en términos de convicción, lo que vulnera el primer requisito. La disposición no identifica resultado probatorio mínimo alguno y por ello no satisface el segundo requisito. El examen de los requisitos tercero y cuarto completa el diagnóstico.</w:t>
      </w:r>
    </w:p>
    <w:p>
      <w:pPr>
        <w:spacing w:before="0" w:after="0" w:line="360" w:lineRule="auto"/>
        <w:ind w:firstLine="709"/>
        <w:jc w:val="both"/>
      </w:pPr>
      <w:r>
        <w:rPr>
          <w:rFonts w:ascii="Arial" w:eastAsia="Arial" w:hAnsi="Arial" w:cs="Arial"/>
          <w:color w:val="000000"/>
          <w:sz w:val="24"/>
          <w:szCs w:val="24"/>
        </w:rPr>
        <w:t xml:space="preserve">La disposición no emplea valores numéricos y, por ello, no vulnera el tercer requisito. Sin embargo, la disposición tampoco ofrece criterios inductivos que permitan determinar cuándo el conjunto de pruebas es suficiente. En cuanto al cuarto requisito, la ley no prevé estándares diferenciados para las decisiones intermedias del procedimiento. 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w:t>
      </w:r>
      <w:r>
        <w:rPr>
          <w:rFonts w:ascii="Arial" w:eastAsia="Arial" w:hAnsi="Arial" w:cs="Arial"/>
          <w:i/>
          <w:iCs/>
          <w:color w:val="000000"/>
          <w:sz w:val="24"/>
          <w:szCs w:val="24"/>
        </w:rPr>
        <w:t xml:space="preserve">probatio plena</w:t>
      </w:r>
      <w:r>
        <w:rPr>
          <w:rFonts w:ascii="Arial" w:eastAsia="Arial" w:hAnsi="Arial" w:cs="Arial"/>
          <w:color w:val="000000"/>
          <w:sz w:val="24"/>
          <w:szCs w:val="24"/>
        </w:rPr>
        <w:t xml:space="preserve">,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El contenido de esa expresión no está definido por la ley y, en consecuencia, no indica qué resultado probatorio debe alcanzarse.</w:t>
      </w:r>
    </w:p>
    <w:p>
      <w:pPr>
        <w:spacing w:before="0" w:after="0" w:line="360" w:lineRule="auto"/>
        <w:ind w:firstLine="709"/>
        <w:jc w:val="both"/>
      </w:pPr>
      <w:r>
        <w:rPr>
          <w:rFonts w:ascii="Arial" w:eastAsia="Arial" w:hAnsi="Arial" w:cs="Arial"/>
          <w:color w:val="000000"/>
          <w:sz w:val="24"/>
          <w:szCs w:val="24"/>
        </w:rPr>
        <w:t xml:space="preserve">La exigencia constitucional de acreditación objetiva y material se aproxima al primer requisito, porque desplaza la atención hacia el acervo. Esa exigencia no establece, sin embargo, un umbral y por ello no satisface el segundo requisito.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r>
        <w:rPr>
          <w:rFonts w:ascii="Arial" w:eastAsia="Arial" w:hAnsi="Arial" w:cs="Arial"/>
          <w:color w:val="000000"/>
          <w:sz w:val="24"/>
          <w:szCs w:val="24"/>
        </w:rPr>
        <w:t xml:space="preserve"> Estas deficiencias afectan con especial intensidad a la prueba indiciaria.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w:t>
      </w:r>
    </w:p>
    <w:p>
      <w:pPr>
        <w:spacing w:before="0" w:after="0" w:line="360" w:lineRule="auto"/>
        <w:ind w:firstLine="709"/>
        <w:jc w:val="both"/>
      </w:pPr>
      <w:r>
        <w:rPr>
          <w:rFonts w:ascii="Arial" w:eastAsia="Arial" w:hAnsi="Arial" w:cs="Arial"/>
          <w:color w:val="000000"/>
          <w:sz w:val="24"/>
          <w:szCs w:val="24"/>
        </w:rPr>
        <w:t xml:space="preserve">La misma constelación indiciaria puede conducir a decisiones opuestas sin que ninguna de ellas pueda calificarse de incorrecta conforme a la ley. Esa consecuencia es el resultado directo de un umbral indefinido. Los requisitos metodológicos sugieren, en cambio, una formulación alternativa. Un estándar para la nulidad fundada en indicios podría exigir que la hipótesis de la irregularidad explique de manera coherente los indicios acreditados. Ese mismo estándar podría exigir que se hayan confirmado las predicciones contrastables de la hipótesis y que se haya refutado la hipótesis alternativa sostenida por la parte contraria. La formulación se inspira en el segundo de los estándares propuestos por Ferrer Beltrán. En consecuencia, esa formulación remite al acervo, identifica un resultado mínimo y se expresa en términos de probabilidad inductiva. Una formulación de este tipo permitiría a las partes y a los tribunales revisores verificar si la cadena indiciaria alcanzó el resultado que la regla exige.</w:t>
      </w:r>
    </w:p>
    <w:p>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conclusión es que un estándar de prueba válido debe satisfacer cuatro requisitos metodológicos. Esos requisitos consisten en remitir a la capacidad justificativa del acervo, fijar un umbral de suficiencia con vaguedad minimizada, emplear criterios de probabilidad inductiva y guardar una progresión coherente con los demás estándares del proceso. La segunda conclusión es que esos requisitos son independientes del nivel de exigencia. La fijación de ese nivel responde a una decisión política que debe atender a razones como la gravedad de los errores, las dificultades probatorias y la distribución de poder entre las partes. La tercera conclusión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Un estándar correcto consigue que ese margen se ejerza mediante razones controlables.</w:t>
      </w:r>
    </w:p>
    <w:p>
      <w:pPr>
        <w:spacing w:before="0" w:after="0" w:line="360" w:lineRule="auto"/>
        <w:ind w:firstLine="709"/>
        <w:jc w:val="both"/>
      </w:pPr>
      <w:r>
        <w:rPr>
          <w:rFonts w:ascii="Arial" w:eastAsia="Arial" w:hAnsi="Arial" w:cs="Arial"/>
          <w:color w:val="000000"/>
          <w:sz w:val="24"/>
          <w:szCs w:val="24"/>
        </w:rPr>
        <w:t xml:space="preserve">El artículo 16 de la ley de medios combina un método de valoración racional con un umbral de convicción subjetiva. Esa combinación recibe en adelante el nombre de cláusula híbrida. La cláusula reúne dos figuras que la teoría exige separar. El método de valoración de esa cláusula satisface las exigencias de la sana crítica y de la adminiculación. El umbral de esa cláusula incumple el primer requisito y el segundo, porque remite a la convicción del órgano y no identifica un resultado probatorio mínimo. Por consiguiente, la cláusula híbrida constituye el punto exacto en que la justicia electoral mexicana confunde la valoración con el estándar. Esa confusión se proyecta en cada sentencia que valora indicios para decidir una nulidad. La manera en que la Sala Superior ha interpretado la cláusula híbrida al valorar la prueba indiciaria en los juicios de nulidad electoral exige, por ello, un diagnóstico crítico detallado.</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distinción entre la valoración de la prueba y el estándar de prueba ofrece una herramienta de diagnóstico para el derecho electoral mexicano. Esa distinción se acompaña de los requisitos metodológicos que un estándar debe satisfacer para ser válido. La doctrina mexicana sobre la determinancia electoral constituye el primer campo de aplicación de esa herramienta. El diagnóstico muestra que dicha doctrina opera sin el aparato conceptual que la teoría del estándar de prueba exige. A partir de ese diagnóstico se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Ese origen se documenta en su primera aplicación judicial, la sentencia SUP-JRC-487/2000. El voto particular emitido en ese mismo asunto recibe después un análisis detenido, y ese análisis precisa con exactitud el punto sobre el que recae el disenso. Esta secuencia une el diagnóstico conceptual con el análisis empírico de la práctica jurisdiccional posterior.</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acreditación de una irregularidad no produce por sí misma la nulidad en el sistema mexicano. Una irregularidad probada no invalida por sí sola la votación recibida en una casilla ni anula una elección. Entre la conducta irregular probada y la sanción anulatoria media un requisito adicional, que la jurisprudencia denomina carácter determinante de la violación.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Una confusión análoga afecta a la determinancia. En su configuración jurisprudencial, la determinancia combina dos cuestiones distintas. La primera cuestión es sustantiva y pregunta si la irregularidad tuvo entidad suficiente para alterar el resultado o comprometer los principios de la elección. La segunda cuestión es probatoria y pregunta con qué grado de corroboración debe acreditarse ese impacto, y su separación de la primera es la clave del análisis que sigue.</w:t>
      </w:r>
    </w:p>
    <w:p>
      <w:pPr>
        <w:spacing w:before="0" w:after="0" w:line="360" w:lineRule="auto"/>
        <w:ind w:firstLine="709"/>
        <w:jc w:val="both"/>
      </w:pPr>
      <w:r>
        <w:rPr>
          <w:rFonts w:ascii="Arial" w:eastAsia="Arial" w:hAnsi="Arial" w:cs="Arial"/>
          <w:color w:val="000000"/>
          <w:sz w:val="24"/>
          <w:szCs w:val="24"/>
        </w:rPr>
        <w:t xml:space="preserve">La tesis que aquí se defiende sostiene que los tres factores de la determinancia responden a la cuestión sustantiva. Esos factores se aplican, sin embargo, como si resolvieran la cuestión probatoria. El análisis se apoya en los requisitos metodológicos de un estándar válido, en la jurisprudencia de la Sala Superior y en la doctrina disponible sobre la materia. El examen parte del fundamento de la institución y de la genealogía de sus factores. Ese punto de partida permite analizar por separado los factores cuantitativo, cualitativo y constitucional. En consecuencia, el error de categoría puede proyectarse sobre cada factor con precisión. Las consecuencias de ese error se advierten en los casos resueltos y en su paralelismo con el artículo 16. El fundamento de la institución, que es el principio de conservación de los actos públicos, ofrece la primera evidencia de la duplicidad entre la exigencia probatoria y la exigencia sustantiva.</w:t>
      </w:r>
    </w:p>
    <w:p>
      <w:pPr>
        <w:spacing w:before="0" w:after="0" w:line="360" w:lineRule="auto"/>
        <w:ind w:firstLine="709"/>
        <w:jc w:val="both"/>
      </w:pPr>
      <w:r>
        <w:rPr>
          <w:rFonts w:ascii="Arial" w:eastAsia="Arial" w:hAnsi="Arial" w:cs="Arial"/>
          <w:color w:val="000000"/>
          <w:sz w:val="24"/>
          <w:szCs w:val="24"/>
        </w:rPr>
        <w:t xml:space="preserve">El fundamento dogmático de la determinancia es el principio de conservación de los actos públicos válidamente celebrados. La jurisprudencia 9/98 de la Sala Superior recoge ese principio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La justificación de ese criterio es la protección del voto válidamente emitido por la mayoría de los electores. Esa protección opera frente a las imperfecciones menores de un órgano electoral no profesional, integrado por ciudadanos insaculados. La nulidad por cualquier infracción haría nugatorio el derecho de votar. Esa nulidad indiscriminada propiciaría faltas dirigidas a impedir la participación efectiva del pueblo.</w:t>
      </w:r>
    </w:p>
    <w:p>
      <w:pPr>
        <w:spacing w:before="0" w:after="0" w:line="360" w:lineRule="auto"/>
        <w:ind w:firstLine="709"/>
        <w:jc w:val="both"/>
      </w:pPr>
      <w:r>
        <w:rPr>
          <w:rFonts w:ascii="Arial" w:eastAsia="Arial" w:hAnsi="Arial" w:cs="Arial"/>
          <w:color w:val="000000"/>
          <w:sz w:val="24"/>
          <w:szCs w:val="24"/>
        </w:rPr>
        <w:t xml:space="preserve">La jurisprudencia 9/98 exige dos cosas distintas. La primera exigencia es la acreditación plena de la causal. La segunda exigencia es el carácter determinante de la irregularidad. La acreditación plena es una exigencia probatoria sobre el hecho irregular. El carácter determinante es una exigencia sustantiva sobre la trascendencia de ese hecho. Esta duplicidad está presente desde el origen de la institución y constituye el punto de partida del análisis. Por consiguiente, cualquier examen de la determinancia debe distinguir el juicio sobre la existencia del hecho del juicio sobre su peso en el resultado. Esa distinción se confirma en el fundamento legal de la determinancia, que la ley de medios distribuye de manera desigual entre las distintas causales de nulidad y que la Constitución completa con un sistema propio de nulidades por violaciones graves, dolosas y determinantes.</w:t>
      </w:r>
    </w:p>
    <w:p>
      <w:pPr>
        <w:spacing w:before="0" w:after="0" w:line="360" w:lineRule="auto"/>
        <w:ind w:firstLine="709"/>
        <w:jc w:val="both"/>
      </w:pPr>
      <w:r>
        <w:rPr>
          <w:rFonts w:ascii="Arial" w:eastAsia="Arial" w:hAnsi="Arial" w:cs="Arial"/>
          <w:color w:val="000000"/>
          <w:sz w:val="24"/>
          <w:szCs w:val="24"/>
        </w:rPr>
        <w:t xml:space="preserve">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Los autores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consecuencia, la determinancia opera como requisito general de toda nulidad de votación. Esa generalidad no depende del texto de cada causal sino de la jurisprudencia. La Constitución añade un fundamento de rango superior para las nulidades de elección.</w:t>
      </w:r>
    </w:p>
    <w:p>
      <w:pPr>
        <w:spacing w:before="0" w:after="0" w:line="360" w:lineRule="auto"/>
        <w:ind w:firstLine="709"/>
        <w:jc w:val="both"/>
      </w:pPr>
      <w:r>
        <w:rPr>
          <w:rFonts w:ascii="Arial" w:eastAsia="Arial" w:hAnsi="Arial" w:cs="Arial"/>
          <w:color w:val="000000"/>
          <w:sz w:val="24"/>
          <w:szCs w:val="24"/>
        </w:rPr>
        <w:t xml:space="preserve">El artículo 41, base VI, de la Constitución establece un sistema de nulidades por violaciones graves, dolosas y determinantes. Esas violaciones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El artículo 78 bis de la ley de medios reproduce esa regla.</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la base VI son el exceso del gasto de campaña, la compra o adquisición de cobertura informativa o de tiempos en radio y televisión y el uso de recursos ilícitos o públicos. Desde 2026 la injerencia extranjera integra esa lista. Por tanto, el sistema combina causales legales de nulidad de votación con causales constitucionales de nulidad de elección, y en ambas la determinancia ocupa una posición central. La distinción entre sus factores cualitativo y cuantitativo resultó de una construcción jurisprudencial progresiva.</w:t>
      </w:r>
    </w:p>
    <w:p>
      <w:pPr>
        <w:spacing w:before="0" w:after="0" w:line="360" w:lineRule="auto"/>
        <w:ind w:firstLine="709"/>
        <w:jc w:val="both"/>
      </w:pPr>
      <w:r>
        <w:rPr>
          <w:rFonts w:ascii="Arial" w:eastAsia="Arial" w:hAnsi="Arial" w:cs="Arial"/>
          <w:color w:val="000000"/>
          <w:sz w:val="24"/>
          <w:szCs w:val="24"/>
        </w:rPr>
        <w:t xml:space="preserve">La distinción entre factores cualitativo y cuantitativo no surgió de una sola decisión.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Ese criterio admite atender a la conculcación significativa de los principios rectores, a la finalidad de la norma, a la gravedad de la falta y a sus circunstancias.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El SUP-JRC-165/2008 articuló después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Sus elementos coinciden con los de la jurisprudencia 44/2024.</w:t>
      </w:r>
    </w:p>
    <w:p>
      <w:pPr>
        <w:spacing w:before="0" w:after="0" w:line="360" w:lineRule="auto"/>
        <w:ind w:firstLine="709"/>
        <w:jc w:val="both"/>
      </w:pPr>
      <w:r>
        <w:rPr>
          <w:rFonts w:ascii="Arial" w:eastAsia="Arial" w:hAnsi="Arial" w:cs="Arial"/>
          <w:color w:val="000000"/>
          <w:sz w:val="24"/>
          <w:szCs w:val="24"/>
        </w:rPr>
        <w:t xml:space="preserve">La reforma constitucional de 2014 añadió un tercer componente, que suele denominarse factor legal o constitucional. Ese componente es, con mayor precisión, una presunción de determinancia ligada a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Sala Superior fijó la naturaleza de la presunción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los cuatro elementos de la nulidad por violación a principios constitucionales, que son la existencia de hechos violatorios, su acreditación plena, el grado de afectación y su carácter cualitativa o cuantitativamente determinante.</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El segundo elemento es probatorio y el cuarto es sustantivo. Ningún criterio precisa la corroboración exigida para el cuarto.</w:t>
      </w:r>
    </w:p>
    <w:p>
      <w:pPr>
        <w:spacing w:before="0" w:after="0" w:line="360" w:lineRule="auto"/>
        <w:ind w:firstLine="709"/>
        <w:jc w:val="both"/>
      </w:pPr>
      <w:r>
        <w:rPr>
          <w:rFonts w:ascii="Arial" w:eastAsia="Arial" w:hAnsi="Arial" w:cs="Arial"/>
          <w:color w:val="000000"/>
          <w:sz w:val="24"/>
          <w:szCs w:val="24"/>
        </w:rPr>
        <w:t xml:space="preserve">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La irregularidad es determinante si alcanza a definir el resultado. Por consiguiente, el factor cuantitativo reduce la determinancia a una comparación entre dos cifras. La calidad de esa comparación depende de la manera en que se obtiene la cifra de votos irregulares, y un precedente de 2006 muestra la versión más depurada de este método.</w:t>
      </w:r>
    </w:p>
    <w:p>
      <w:pPr>
        <w:spacing w:before="0" w:after="0" w:line="360" w:lineRule="auto"/>
        <w:ind w:firstLine="709"/>
        <w:jc w:val="both"/>
      </w:pPr>
      <w:r>
        <w:rPr>
          <w:rFonts w:ascii="Arial" w:eastAsia="Arial" w:hAnsi="Arial" w:cs="Arial"/>
          <w:color w:val="000000"/>
          <w:sz w:val="24"/>
          <w:szCs w:val="24"/>
        </w:rPr>
        <w:t xml:space="preserve">El juicio de inconformidad SUP-JIN-212/2006, relativo a la elección presidencial de ese año en un distrito de la Ciudad de México, ilustra la versión más depurada del método cuantitativo.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La irregularidad misma es numérica y está documentada en las actas y en la lista nominal. Ninguna inferencia se interpone entre el documento y la cifra que se compara con el margen. Esa condición favorable desaparece cuando la irregularidad no tiene una expresión numérica directa.</w:t>
      </w:r>
    </w:p>
    <w:p>
      <w:pPr>
        <w:spacing w:before="0" w:after="0" w:line="360" w:lineRule="auto"/>
        <w:ind w:firstLine="709"/>
        <w:jc w:val="both"/>
      </w:pPr>
      <w:r>
        <w:rPr>
          <w:rFonts w:ascii="Arial" w:eastAsia="Arial" w:hAnsi="Arial" w:cs="Arial"/>
          <w:color w:val="000000"/>
          <w:sz w:val="24"/>
          <w:szCs w:val="24"/>
        </w:rPr>
        <w:t xml:space="preserve">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Los autores señalan que, por ello, en algunas ocasiones se invalidan sufragios con el argumento de que la violación fue tan grave que se presume su influencia en el resultado. En otras ocasiones se deja de anular ante la imposibilidad de cuantificar los votos emitidos irregularmente. Los autores concluyen que no existe un método definitivo e infalible para conocer con exactitud la cantidad de votos emitidos de manera irregular. Esa conclusión revela que el factor cuantitativo pierde su precisión aparente cuando carece de un registro documental. En consecuencia, la misma clase de irregularidad puede producir decisiones opuestas. Los autores proponen un remedio técnico para reducir esa incertidumbre.</w:t>
      </w:r>
    </w:p>
    <w:p>
      <w:pPr>
        <w:spacing w:before="0" w:after="0" w:line="360" w:lineRule="auto"/>
        <w:ind w:firstLine="709"/>
        <w:jc w:val="both"/>
      </w:pPr>
      <w:r>
        <w:rPr>
          <w:rFonts w:ascii="Arial" w:eastAsia="Arial" w:hAnsi="Arial" w:cs="Arial"/>
          <w:color w:val="000000"/>
          <w:sz w:val="24"/>
          <w:szCs w:val="24"/>
        </w:rPr>
        <w:t xml:space="preserve">La propuesta de Rodarte Nava y sus coautores consiste en añadir la hora al sello con la leyenda votó que se estampa en la lista nominal. Ese registro permitiría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Los autores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El registro horario solo sirve cuando la irregularidad está acotada en el tiempo. Las irregularidades difusas, como la coacción o la propaganda ilícita, no dejan una huella horaria en la lista nominal. El diagnóstico de los autores permite, sin embargo, precisar dónde reside el problema epistémico del factor cuantitativo.</w:t>
      </w:r>
    </w:p>
    <w:p>
      <w:pPr>
        <w:spacing w:before="0" w:after="0" w:line="360" w:lineRule="auto"/>
        <w:ind w:firstLine="709"/>
        <w:jc w:val="both"/>
      </w:pPr>
      <w:r>
        <w:rPr>
          <w:rFonts w:ascii="Arial" w:eastAsia="Arial" w:hAnsi="Arial" w:cs="Arial"/>
          <w:color w:val="000000"/>
          <w:sz w:val="24"/>
          <w:szCs w:val="24"/>
        </w:rPr>
        <w:t xml:space="preserve">El problema epistémico del factor cuantitativo reside en la cifra de votos irregulares.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magnitud, el número de votos irregulares, depende de una inferencia cuya suficiencia no se controla. Esa asimetría entre las dos magnitudes exige precisar la relación del factor cuantitativo con los requisitos metodológicos.</w:t>
      </w:r>
    </w:p>
    <w:p>
      <w:pPr>
        <w:spacing w:before="0" w:after="0" w:line="360" w:lineRule="auto"/>
        <w:ind w:firstLine="709"/>
        <w:jc w:val="both"/>
      </w:pPr>
      <w:r>
        <w:rPr>
          <w:rFonts w:ascii="Arial" w:eastAsia="Arial" w:hAnsi="Arial" w:cs="Arial"/>
          <w:color w:val="000000"/>
          <w:sz w:val="24"/>
          <w:szCs w:val="24"/>
        </w:rPr>
        <w:t xml:space="preserve">El factor cuantitativo no vulnera por sí mismo el tercer requisito metodológico. Ese requisito prohíbe cuantificar la probabilidad de la hipótesis, y el factor cuantitativo no pretende hacerlo. El factor cuenta votos y no asigna valores numéricos al grado de prueba de la hipótesis. Su defecto es de otra naturaleza. El factor desplaza la atención hacia una cifra y oculta la decisión previa sobre la suficiencia de la prueba que la sustenta. Por tanto, la exactitud del cálculo encubre la inexactitud de la inferencia que alimenta uno de sus términos. El juzgador compara con rigor un dato probado con un dato inferido sin declarar el umbral que autorizó la inferencia. El factor cualitativo presenta un defecto distinto, porque no desplaza la atención hacia una cifra sino hacia la gravedad de la violación.</w:t>
      </w:r>
    </w:p>
    <w:p>
      <w:pPr>
        <w:spacing w:before="0" w:after="0" w:line="360" w:lineRule="auto"/>
        <w:ind w:firstLine="709"/>
        <w:jc w:val="both"/>
      </w:pPr>
      <w:r>
        <w:rPr>
          <w:rFonts w:ascii="Arial" w:eastAsia="Arial" w:hAnsi="Arial" w:cs="Arial"/>
          <w:color w:val="000000"/>
          <w:sz w:val="24"/>
          <w:szCs w:val="24"/>
        </w:rPr>
        <w:t xml:space="preserve">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esos principios la tesis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Por consiguiente, el factor cualitativo no prescinde de los datos cuantitativos, sino que los integra en una apreciación más amplia. La Sala combinó esos elementos para distinguir cuatro situaciones típicas. Cada situación exige una combinación distinta de gravedad y cantidad.</w:t>
      </w:r>
    </w:p>
    <w:p>
      <w:pPr>
        <w:spacing w:before="0" w:after="0" w:line="360" w:lineRule="auto"/>
        <w:ind w:firstLine="709"/>
        <w:jc w:val="both"/>
      </w:pPr>
      <w:r>
        <w:rPr>
          <w:rFonts w:ascii="Arial" w:eastAsia="Arial" w:hAnsi="Arial" w:cs="Arial"/>
          <w:color w:val="000000"/>
          <w:sz w:val="24"/>
          <w:szCs w:val="24"/>
        </w:rPr>
        <w:t xml:space="preserve">La Sala distinguió cuatro situaciones en la sentencia de Colima. La primera situación comprende irregularidades generalizadas que no son cualitativamente determinantes. La segunda comprende violaciones graves pero aisladas que carecen del elemento cuantitativo. La tercera comprende violaciones graves y extendidas que se traducen en una cantidad calculable de votos. La cuarta comprende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incluye, por ejemplo, el escrutinio realizado en el domicilio de militantes de un partido sin la presencia de los demás representantes. En ese supuesto la irregularidad destruye la certeza del resultado sin necesidad de contar votos, porque impide verificar la autenticidad del escrutinio. La misma sentencia contiene, junto a esa tipología, una formulación sobre el grado de prueba que interesa directamente a esta investigación y que revela un estándar implícito.</w:t>
      </w:r>
    </w:p>
    <w:p>
      <w:pPr>
        <w:spacing w:before="0" w:after="0" w:line="360" w:lineRule="auto"/>
        <w:ind w:firstLine="709"/>
        <w:jc w:val="both"/>
      </w:pPr>
      <w:r>
        <w:rPr>
          <w:rFonts w:ascii="Arial" w:eastAsia="Arial" w:hAnsi="Arial" w:cs="Arial"/>
          <w:color w:val="000000"/>
          <w:sz w:val="24"/>
          <w:szCs w:val="24"/>
        </w:rPr>
        <w:t xml:space="preserve">La sentencia de Colima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La Sala añadió, como alternativa, que las irregularidades generen una duda fundada y razonable sobre el resultado electoral. Más adelante la Sala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Por tanto, esas expresiones constituyen un estándar de prueba formulado en el interior del factor cualitativo, aunque la Sala no lo identificó como tal. El estándar implícito presenta una inestabilidad interna. Esa inestabilidad se advierte en la alternancia entre fórmulas de exigencia muy distinta.</w:t>
      </w:r>
    </w:p>
    <w:p>
      <w:pPr>
        <w:spacing w:before="0" w:after="0" w:line="360" w:lineRule="auto"/>
        <w:ind w:firstLine="709"/>
        <w:jc w:val="both"/>
      </w:pPr>
      <w:r>
        <w:rPr>
          <w:rFonts w:ascii="Arial" w:eastAsia="Arial" w:hAnsi="Arial" w:cs="Arial"/>
          <w:color w:val="000000"/>
          <w:sz w:val="24"/>
          <w:szCs w:val="24"/>
        </w:rPr>
        <w:t xml:space="preserve">La sentencia de Colima alterna entre la acreditación plena y la duda razonable. Esas fórmulas expresan umbrales de exigencia muy distinta. La acreditación plena exige que el impacto de la irregularidad sobre el resultado quede demostrado con las pruebas del expediente. La duda razonable solo exige que el resultado quede en entredicho, aunque el impacto no se haya demostrado. Esa alternancia confirma que la suficiencia probatoria de la determinancia se decide en cada caso concreto y no mediante una regla general. En consecuencia, la formulación incumple el segundo requisito metodológico, porque no identifica un resultado probatorio mínimo. El juzgador puede escoger la fórmula más exigente o la más laxa según su apreciación del caso sin rendir cuentas de esa elección. El riesgo que se deriva de esa indeterminación fue descrito con precisión por la doctrina electoral mexicana.</w:t>
      </w:r>
    </w:p>
    <w:p>
      <w:pPr>
        <w:spacing w:before="0" w:after="0" w:line="360" w:lineRule="auto"/>
        <w:ind w:firstLine="709"/>
        <w:jc w:val="both"/>
      </w:pPr>
      <w:r>
        <w:rPr>
          <w:rFonts w:ascii="Arial" w:eastAsia="Arial" w:hAnsi="Arial" w:cs="Arial"/>
          <w:color w:val="000000"/>
          <w:sz w:val="24"/>
          <w:szCs w:val="24"/>
        </w:rPr>
        <w:t xml:space="preserve">Rodarte Nava y sus coautores describieron con precisión el riesgo de esa indeterminación.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produce efectos en dos direcciones opuestas.</w:t>
      </w:r>
    </w:p>
    <w:p>
      <w:pPr>
        <w:spacing w:before="0" w:after="0" w:line="360" w:lineRule="auto"/>
        <w:ind w:firstLine="709"/>
        <w:jc w:val="both"/>
      </w:pPr>
      <w:r>
        <w:rPr>
          <w:rFonts w:ascii="Arial" w:eastAsia="Arial" w:hAnsi="Arial" w:cs="Arial"/>
          <w:color w:val="000000"/>
          <w:sz w:val="24"/>
          <w:szCs w:val="24"/>
        </w:rPr>
        <w:t xml:space="preserve">La confusión entre el juicio causal y la regla de invalidez permite que la gravedad opere en dos direcciones. En una dirección, la gravedad opera como sustituto de la prueba del impacto. En la otra dirección, la gravedad opera como razón para exigir una prueba más rigurosa. El mismo dato normativo puede de ese modo abaratar o encarecer la prueba según la apreciación del juzgador en cada asunto. En ambas direcciones la decisión probatoria queda sin un criterio controlable. Por consiguiente, el factor cualitativo no puede cumplir la función de un estándar, aunque la práctica le atribuya esa función. Las partes no pueden anticipar en cuál de las dos direcciones operará la gravedad de la violación que alegan. La presunción de determinancia del artículo 41, base VI, parecería ofrecer una solución a esa incertidumbre.</w:t>
      </w:r>
    </w:p>
    <w:p>
      <w:pPr>
        <w:spacing w:before="0" w:after="0" w:line="360" w:lineRule="auto"/>
        <w:ind w:firstLine="709"/>
        <w:jc w:val="both"/>
      </w:pPr>
      <w:r>
        <w:rPr>
          <w:rFonts w:ascii="Arial" w:eastAsia="Arial" w:hAnsi="Arial" w:cs="Arial"/>
          <w:color w:val="000000"/>
          <w:sz w:val="24"/>
          <w:szCs w:val="24"/>
        </w:rPr>
        <w:t xml:space="preserve">La Sala Superior ha interpretado la presunción de determinancia del artículo 41, base VI,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La previsión es un parámetro mínimo a partir del cual se puede estimar, salvo prueba en contrario, que la violación es determinante. La Sala argumentó que el Constituyente habría evitado el verbo presumir si hubiese querido una regla absoluta.</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La Sala añadió que la invalidez de la voluntad ciudadana exige el mayor grado de certeza de que las violaciones son efectivamente determinantes. Cuando la diferencia es igual o mayor al cinco por ciento, la presunción no opera. En ese supuesto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de victoria.</w:t>
      </w:r>
    </w:p>
    <w:p>
      <w:pPr>
        <w:spacing w:before="0" w:after="0" w:line="360" w:lineRule="auto"/>
        <w:ind w:firstLine="709"/>
        <w:jc w:val="both"/>
      </w:pPr>
      <w:r>
        <w:rPr>
          <w:rFonts w:ascii="Arial" w:eastAsia="Arial" w:hAnsi="Arial" w:cs="Arial"/>
          <w:color w:val="000000"/>
          <w:sz w:val="24"/>
          <w:szCs w:val="24"/>
        </w:rPr>
        <w:t xml:space="preserve">La regla del cinco por ciento deja al juzgador la decisión final sobre la actualización del elemento en ambos supuestos.</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La presunción asigna quién debe probar, pero no fija cuánto debe probarse. Esta interpretación obliga a corregir dos objeciones frecuentes contra la regla del cinco por ciento. La primera objeción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objeción sostiene que, dentro del umbral, cualquier indicio leve basta para anular. Esa objeción tampoco es exacta,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real de la regla es de otra naturaleza.</w:t>
      </w:r>
    </w:p>
    <w:p>
      <w:pPr>
        <w:spacing w:before="0" w:after="0" w:line="360" w:lineRule="auto"/>
        <w:ind w:firstLine="709"/>
        <w:jc w:val="both"/>
      </w:pPr>
      <w:r>
        <w:rPr>
          <w:rFonts w:ascii="Arial" w:eastAsia="Arial" w:hAnsi="Arial" w:cs="Arial"/>
          <w:color w:val="000000"/>
          <w:sz w:val="24"/>
          <w:szCs w:val="24"/>
        </w:rPr>
        <w:t xml:space="preserve">El defecto de la regla del cinco por ciento reside en la relación entre carga y estándar. La presunción del cinco por ciento es una regla de carga de la prueba. Las cargas presuponen un estándar de suficiencia que les dé contenido y que indique cuándo la parte gravada ha cumplido. El sistema establece con claridad quién soporta el riesgo de la falta de prueba. Sin embargo, el sistema no indica qué grado de corroboración desvirtúa la presunción ni qué grado la establece fuera del umbral. La expresión mayor grado de certeza, empleada por la propia Sala, carece de un umbral identificable. En consecuencia, el factor constitucional distribuye el riesgo sin definir la medida con la que ese riesgo se materializa. El análisis de la determinancia en un caso de violencia política confirma este diagnóstico con especial claridad.</w:t>
      </w:r>
    </w:p>
    <w:p>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el diagnóstico sobre la regla de carga.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Al examinar unos videos difundidos en redes sociales, la Sala sostuvo que no bastaba conocer cuántas veces fueron vistos. Según la Sala, era necesario conocer la influencia que esos videos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la Sala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de ese modo un estándar mínimo y exige después una prueba de influencia sobre el voto. Esa prueba es, según el diagnóstico de Rodarte Nava, de muy difícil obtención.</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razonado que la exigencia de probar la influencia sobre el voto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el estándar mínimo anunciado y la prueba exigida solo puede explicarse por la ausencia de un umbral previamente definido. Los requisitos metodológicos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Los tres factores fueron concebidos como criterios sustantivos de trascendencia. Por tanto, el error consiste en atribuir a los factores una función que no pueden cumplir. Esa atribución indebida adopta una forma específica en cada uno de los factores.</w:t>
      </w:r>
    </w:p>
    <w:p>
      <w:pPr>
        <w:spacing w:before="0" w:after="0" w:line="360" w:lineRule="auto"/>
        <w:ind w:firstLine="709"/>
        <w:jc w:val="both"/>
      </w:pPr>
      <w:r>
        <w:rPr>
          <w:rFonts w:ascii="Arial" w:eastAsia="Arial" w:hAnsi="Arial" w:cs="Arial"/>
          <w:color w:val="000000"/>
          <w:sz w:val="24"/>
          <w:szCs w:val="24"/>
        </w:rPr>
        <w:t xml:space="preserve">En el factor constitucional, la presunción del cinco por ciento se trata como si resolviera la suficiencia probatoria. Esa presunción solo distribuye la carga de la prueba. En el factor cuantitativo, la exactitud del margen se trata como si confiriera exactitud al número de votos irregulares. Ese número depende en realidad de una inferencia no controlada. En el factor cualitativo, la gravedad del principio vulnerado se trata como si acreditara el impacto de la conducta. En los tres casos la cuestión probatoria queda absorbida por una categoría sustantiva. En consecuencia, el sistema carece de un lugar propio para decidir cuánta prueba basta y resuelve esa pregunta en el interior de categorías diseñadas para otra función. Ese error de categoría tiene consecuencias prácticas, porque permite que el umbral varíe de un caso a otro.</w:t>
      </w:r>
    </w:p>
    <w:p>
      <w:pPr>
        <w:spacing w:before="0" w:after="0" w:line="360" w:lineRule="auto"/>
        <w:ind w:firstLine="709"/>
        <w:jc w:val="both"/>
      </w:pPr>
      <w:r>
        <w:rPr>
          <w:rFonts w:ascii="Arial" w:eastAsia="Arial" w:hAnsi="Arial" w:cs="Arial"/>
          <w:color w:val="000000"/>
          <w:sz w:val="24"/>
          <w:szCs w:val="24"/>
        </w:rPr>
        <w:t xml:space="preserve">La sentencia de Colima ofrece la ilustración más clara de la variación del umbral.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la mayoría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la mayoría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La minoría llegó a la conclusión opuesta a partir de las mismas pruebas. Esa conclusión opuesta se apoyó en una comparación distinta de los resultados electorales.</w:t>
      </w:r>
    </w:p>
    <w:p>
      <w:pPr>
        <w:spacing w:before="0" w:after="0" w:line="360" w:lineRule="auto"/>
        <w:ind w:firstLine="709"/>
        <w:jc w:val="both"/>
      </w:pPr>
      <w:r>
        <w:rPr>
          <w:rFonts w:ascii="Arial" w:eastAsia="Arial" w:hAnsi="Arial" w:cs="Arial"/>
          <w:color w:val="000000"/>
          <w:sz w:val="24"/>
          <w:szCs w:val="24"/>
        </w:rPr>
        <w:t xml:space="preserve">Los magistrados disidentes compararon la votación de gobernador con la de las elecciones concurrentes de ayuntamientos y diputaciones locales. Los disidentes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de la ley de medios. Ambas posiciones invocaron los mismos criterios de la lógica, la sana crítica y la experiencia. La diferencia entre ellas residió en el umbral exigido, porque la mayoría se conformó con una probabilidad seria y la minoría reclamó una demostración fehaciente. En consecuencia, la divergencia no fue metodológica sino de estándar. Ninguna regla previa permitía decidir cuál de los dos umbrales era el correcto para anular una elección de gobernador. Otros precedentes muestran el mismo fenómeno en contextos diversos.</w:t>
      </w:r>
    </w:p>
    <w:p>
      <w:pPr>
        <w:spacing w:before="0" w:after="0" w:line="360" w:lineRule="auto"/>
        <w:ind w:firstLine="709"/>
        <w:jc w:val="both"/>
      </w:pPr>
      <w:r>
        <w:rPr>
          <w:rFonts w:ascii="Arial" w:eastAsia="Arial" w:hAnsi="Arial" w:cs="Arial"/>
          <w:color w:val="000000"/>
          <w:sz w:val="24"/>
          <w:szCs w:val="24"/>
        </w:rPr>
        <w:t xml:space="preserve">El SUP-JRC-604/2007 ofrece un contraste útil con la sentencia de Colima. En ese asunto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y el tribunal local les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según el cual la duda favorece la validez de la elección.</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Estos precedentes permiten una conclusión prudente sobre la variación del umbral.</w:t>
      </w:r>
    </w:p>
    <w:p>
      <w:pPr>
        <w:spacing w:before="0" w:after="0" w:line="360" w:lineRule="auto"/>
        <w:ind w:firstLine="709"/>
        <w:jc w:val="both"/>
      </w:pPr>
      <w:r>
        <w:rPr>
          <w:rFonts w:ascii="Arial" w:eastAsia="Arial" w:hAnsi="Arial" w:cs="Arial"/>
          <w:color w:val="000000"/>
          <w:sz w:val="24"/>
          <w:szCs w:val="24"/>
        </w:rPr>
        <w:t xml:space="preserve">La comparación de los precedentes permite una conclusión prudente. Esta investigación no sostiene que alguna de estas decisiones sea incorrecta, ni que exista una tendencia política en el sentido de los fallos. Los casos difieren en sus hechos, en sus pruebas y en el marco normativo aplicable, por lo que no son directamente comparables en cuanto a su resultado. Los casos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En consecuencia, la variedad de fórmulas refleja la ausencia de un umbral común y no la diversidad de los hechos. La doctrina ha advertido esa carencia y ha propuesto remedios institucionales.</w:t>
      </w:r>
    </w:p>
    <w:p>
      <w:pPr>
        <w:spacing w:before="0" w:after="0" w:line="360" w:lineRule="auto"/>
        <w:ind w:firstLine="709"/>
        <w:jc w:val="both"/>
      </w:pPr>
      <w:r>
        <w:rPr>
          <w:rFonts w:ascii="Arial" w:eastAsia="Arial" w:hAnsi="Arial" w:cs="Arial"/>
          <w:color w:val="000000"/>
          <w:sz w:val="24"/>
          <w:szCs w:val="24"/>
        </w:rPr>
        <w:t xml:space="preserve">Olaiz González advierte la ausencia de una doctrina robusta sobre la determinancia en la jurisprudencia electoral mexicana. El autor propone otorgar a la Sala Superior facultades expresas para articular esa doctrina.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Esa doctrina debería comenzar por distinguir el juicio sustantivo de trascendencia del estándar de prueba aplicable a su acreditación. Sin esa distinción, la previsibilidad de las nulidades depende de la integración y de la sensibilidad de cada órgano jurisdiccional. La determinancia y el artículo 16 presentan una estructura análoga que merece destacarse. En ambos casos una herramienta de análisis se emplea como si fuera una regla de decisión. Por consiguiente, el defecto de la determinancia no es aislado, sino que reproduce el defecto de la regla general de valoración. La comparación entre ambas figuras permite identificar esa raíz común con precisión.</w:t>
      </w:r>
    </w:p>
    <w:p>
      <w:pPr>
        <w:spacing w:before="0" w:after="0" w:line="360" w:lineRule="auto"/>
        <w:ind w:firstLine="709"/>
        <w:jc w:val="both"/>
      </w:pPr>
      <w:r>
        <w:rPr>
          <w:rFonts w:ascii="Arial" w:eastAsia="Arial" w:hAnsi="Arial" w:cs="Arial"/>
          <w:color w:val="000000"/>
          <w:sz w:val="24"/>
          <w:szCs w:val="24"/>
        </w:rPr>
        <w:t xml:space="preserve">El artículo 16 combina la sana crítica, que es un método de valoración,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La determinancia aplica los factores cualitativo y cuantitativo, que son criterios de trascendencia, como si fijaran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En ese ámbito el error afecta la eficacia del sufragio de toda una comunidad política. En suma, las dos figuras comparten una misma raíz, que consiste en la falta de separación entre el método y la regla de decisión. Esa raíz común permite formular tres conclusiones sobre la determinancia.</w:t>
      </w:r>
    </w:p>
    <w:p>
      <w:pPr>
        <w:spacing w:before="0" w:after="0" w:line="360" w:lineRule="auto"/>
        <w:ind w:firstLine="709"/>
        <w:jc w:val="both"/>
      </w:pPr>
      <w:r>
        <w:rPr>
          <w:rFonts w:ascii="Arial" w:eastAsia="Arial" w:hAnsi="Arial" w:cs="Arial"/>
          <w:color w:val="000000"/>
          <w:sz w:val="24"/>
          <w:szCs w:val="24"/>
        </w:rPr>
        <w:t xml:space="preserve">La primera conclusión sostiene que la determinancia, desde la jurisprudencia 9/98 hasta la jurisprudencia 44/2024, combina una exigencia probatoria sobre el hecho irregular con una exigencia sustantiva sobre su trascendencia. La segunda conclusión sostiene que los tres factores responden a la cuestión sustantiva, pero se aplican como si resolvieran la cuestión probatoria. El factor cuantitativo oculta la inferencia que produce el número de votos irregulares. El cualitativo permite que la gravedad sustituya a la prueba, y el constitucional reparte la carga sin fijar el umbral. La tercera conclusión sostiene que la propia Sala Superior ha formulado, sin reconocerlos como tales, estándares diversos para la determinancia. Esos estándares van de la probabilidad seria a la influencia sobre el voto. Por tanto, el déficit deriva de la falta de un criterio previo que permita controlar las decisiones y no del acierto de cada una. Ese rasgo del diseño normativo exige examinar el origen de la cláusula híbrida del artículo 16.</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determinancia reproduce la confusión entre método de valoración y regla de suficiencia. Esa confusión tiene su origen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Esta investigación denomina cláusula híbrida al conjunto formado por sus tres primeros párrafos. La denominación obedece a que el precepto combina tres lógicas distintas, que son un método racional de valoración, una tasación legal de las documentales públicas y un umbral de suficiencia expresado en términos de convicción. El origen de esa cláusula se reconstruye en tres planos. El plano normativo comprende la reforma de 1996 y la genealogía de la fórmula de la sana crítica. El plano jurisprudencial se centra en la sentencia del caso Tabasco, dictada en diciembre de 2000, y en la jurisprudencia 38/2002 y sus precedentes, que fijaron los criterios para valorar las notas periodísticas como indicios.</w:t>
      </w:r>
    </w:p>
    <w:p>
      <w:pPr>
        <w:spacing w:before="0" w:after="0" w:line="360" w:lineRule="auto"/>
        <w:ind w:firstLine="709"/>
        <w:jc w:val="both"/>
      </w:pPr>
      <w:r>
        <w:rPr>
          <w:rFonts w:ascii="Arial" w:eastAsia="Arial" w:hAnsi="Arial" w:cs="Arial"/>
          <w:color w:val="000000"/>
          <w:sz w:val="24"/>
          <w:szCs w:val="24"/>
        </w:rPr>
        <w:t xml:space="preserve">La reconstrucción de ese origen exige precisar primero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la segunda un residuo de prueba tasada y la tercera un criterio subjetivo de suficiencia. Solo la tercera regla pretende operar como estándar de prueba, pero incumple el requisito de remitir a la capacidad justificativa del acervo. Las tres reglas conviven sin articulación legal, y esa estructura guía el análisis de los precedentes.</w:t>
      </w:r>
    </w:p>
    <w:p>
      <w:pPr>
        <w:spacing w:before="0" w:after="0" w:line="360" w:lineRule="auto"/>
        <w:ind w:firstLine="709"/>
        <w:jc w:val="both"/>
      </w:pPr>
      <w:r>
        <w:rPr>
          <w:rFonts w:ascii="Arial" w:eastAsia="Arial" w:hAnsi="Arial" w:cs="Arial"/>
          <w:color w:val="000000"/>
          <w:sz w:val="24"/>
          <w:szCs w:val="24"/>
        </w:rPr>
        <w:t xml:space="preserve">El primer plano del análisis es normativo. La ley de medios fue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El autor añade que el tribunal pudo conocer de conflictos locales, que el control de constitucionalidad se extendió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Esa reforma institucional profunda contrasta con la estabilidad de la regla de valoración que la ley introdujo.</w:t>
      </w:r>
    </w:p>
    <w:p>
      <w:pPr>
        <w:spacing w:before="0" w:after="0" w:line="360" w:lineRule="auto"/>
        <w:ind w:firstLine="709"/>
        <w:jc w:val="both"/>
      </w:pPr>
      <w:r>
        <w:rPr>
          <w:rFonts w:ascii="Arial" w:eastAsia="Arial" w:hAnsi="Arial" w:cs="Arial"/>
          <w:color w:val="000000"/>
          <w:sz w:val="24"/>
          <w:szCs w:val="24"/>
        </w:rPr>
        <w:t xml:space="preserve">La compilación oficial de la ley no registra reformas a los párrafos 1 a 3 del artículo 16. Por ello la redacción vigente de esos párrafos puede atribuirse al texto original de 1996. El análisis se limita al texto normativo, porque el examen de los antecedentes parlamentarios de 1996 excede el acervo documental de esta investigación. Esa estabilidad tiene una consecuencia relevante para la tesis. La cláusula híbrida no fue objeto de reformas durante casi tres décadas, pese a las profundas modificaciones del sistema de nulidades. La ley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En consecuencia, la estabilidad del precepto contrasta con la evolución de la jurisprudencia que lo aplica. Esa estabilidad sugiere que el legislador no ha percibido la cláusula como un problema.</w:t>
      </w:r>
    </w:p>
    <w:p>
      <w:pPr>
        <w:spacing w:before="0" w:after="0" w:line="360" w:lineRule="auto"/>
        <w:ind w:firstLine="709"/>
        <w:jc w:val="both"/>
      </w:pPr>
      <w:r>
        <w:rPr>
          <w:rFonts w:ascii="Arial" w:eastAsia="Arial" w:hAnsi="Arial" w:cs="Arial"/>
          <w:color w:val="000000"/>
          <w:sz w:val="24"/>
          <w:szCs w:val="24"/>
        </w:rPr>
        <w:t xml:space="preserve">La dificultad de la cláusula híbrida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 Esos hitos exigen rastrear antes la fórmula de la sana crítica, que procede del derecho español del siglo XIX. Benfeld ha reconstruido ese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La fórmula pasó después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legislación posterior conservó la fórmula sin precisar su contenido.</w:t>
      </w:r>
    </w:p>
    <w:p>
      <w:pPr>
        <w:spacing w:before="0" w:after="0" w:line="360" w:lineRule="auto"/>
        <w:ind w:firstLine="709"/>
        <w:jc w:val="both"/>
      </w:pPr>
      <w:r>
        <w:rPr>
          <w:rFonts w:ascii="Arial" w:eastAsia="Arial" w:hAnsi="Arial" w:cs="Arial"/>
          <w:color w:val="000000"/>
          <w:sz w:val="24"/>
          <w:szCs w:val="24"/>
        </w:rPr>
        <w:t xml:space="preserve">La Ley de Enjuiciamiento Civil de 1881 reprodujo la fórmula de la sana crítica en su artículo 659. Esa ley añadió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r>
        <w:rPr>
          <w:rFonts w:ascii="Arial" w:eastAsia="Arial" w:hAnsi="Arial" w:cs="Arial"/>
          <w:color w:val="000000"/>
          <w:sz w:val="24"/>
          <w:szCs w:val="24"/>
        </w:rPr>
        <w:t xml:space="preserve"> Por tanto, la sana crítica quedó sin contenido definido y sin control casacional desde su primera etapa. Esta genealogía ilumina el defecto del artículo 16.</w:t>
      </w:r>
    </w:p>
    <w:p>
      <w:pPr>
        <w:spacing w:before="0" w:after="0" w:line="360" w:lineRule="auto"/>
        <w:ind w:firstLine="709"/>
        <w:jc w:val="both"/>
      </w:pPr>
      <w:r>
        <w:rPr>
          <w:rFonts w:ascii="Arial" w:eastAsia="Arial" w:hAnsi="Arial" w:cs="Arial"/>
          <w:color w:val="000000"/>
          <w:sz w:val="24"/>
          <w:szCs w:val="24"/>
        </w:rPr>
        <w:t xml:space="preserve">La sana crítica no nació como un estándar de suficiencia. La fórmula nació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esta investigación. Basta advertir que la cláusula híbrida hereda una expresión cuyo contenido nunca fue precisado. Esa herencia se manifestó en la primera aplicación relevante de la cláusula, que corresponde al caso Tabasco.</w:t>
      </w:r>
    </w:p>
    <w:p>
      <w:pPr>
        <w:spacing w:before="0" w:after="0" w:line="360" w:lineRule="auto"/>
        <w:ind w:firstLine="709"/>
        <w:jc w:val="both"/>
      </w:pPr>
      <w:r>
        <w:rPr>
          <w:rFonts w:ascii="Arial" w:eastAsia="Arial" w:hAnsi="Arial" w:cs="Arial"/>
          <w:color w:val="000000"/>
          <w:sz w:val="24"/>
          <w:szCs w:val="24"/>
        </w:rPr>
        <w:t xml:space="preserve">El segundo plano del análisis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w:t>
      </w:r>
    </w:p>
    <w:p>
      <w:pPr>
        <w:spacing w:before="0" w:after="0" w:line="360" w:lineRule="auto"/>
        <w:ind w:firstLine="709"/>
        <w:jc w:val="both"/>
      </w:pPr>
      <w:r>
        <w:rPr>
          <w:rFonts w:ascii="Arial" w:eastAsia="Arial" w:hAnsi="Arial" w:cs="Arial"/>
          <w:color w:val="000000"/>
          <w:sz w:val="24"/>
          <w:szCs w:val="24"/>
        </w:rPr>
        <w:t xml:space="preserve">La sentencia del caso Tabasco tiene una relevancia que excede la materia probatoria. Zamacona Madrigal y García Rodríguez identifican esta sentencia como el primer precedente de nulidad de elección por la llamada causa abstracta. Esa figura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la figura quedó superada por la reforma constitucional de 2007 al artículo 99.</w:t>
      </w:r>
      <w:r>
        <w:rPr>
          <w:rFonts w:ascii="Arial" w:eastAsia="Arial" w:hAnsi="Arial" w:cs="Arial"/>
          <w:color w:val="000000"/>
          <w:sz w:val="24"/>
          <w:szCs w:val="24"/>
          <w:vertAlign w:val="superscript"/>
        </w:rPr>
        <w:footnoteReference w:id="316"/>
      </w:r>
      <w:r>
        <w:rPr>
          <w:rFonts w:ascii="Arial" w:eastAsia="Arial" w:hAnsi="Arial" w:cs="Arial"/>
          <w:color w:val="000000"/>
          <w:sz w:val="24"/>
          <w:szCs w:val="24"/>
        </w:rPr>
        <w:t xml:space="preserve"> 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En consecuencia, la cláusula híbrida gobernó la valoración del caso tanto por vía local como por vía federal.</w:t>
      </w:r>
    </w:p>
    <w:p>
      <w:pPr>
        <w:spacing w:before="0" w:after="0" w:line="360" w:lineRule="auto"/>
        <w:ind w:firstLine="709"/>
        <w:jc w:val="both"/>
      </w:pPr>
      <w:r>
        <w:rPr>
          <w:rFonts w:ascii="Arial" w:eastAsia="Arial" w:hAnsi="Arial" w:cs="Arial"/>
          <w:color w:val="000000"/>
          <w:sz w:val="24"/>
          <w:szCs w:val="24"/>
        </w:rPr>
        <w:t xml:space="preserve">El artículo 321, fracción II, del código de Tabasco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en la ley local y en la ley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etapa analizaba cada prueba en forma particular. En la segunda etapa valoraba las pruebas de manera concatenada para poner de relieve sus concordancias o discordancias. Este método corresponde a la adminiculación descrita en el marco teórico. El análisis individual de las pruebas muestra un uso cuidadoso de criterios racionales. Ese uso se advierte en el tratamiento que la Sala dio a los testimonios, a las denuncias penales y a los documentos privados.</w:t>
      </w:r>
    </w:p>
    <w:p>
      <w:pPr>
        <w:spacing w:before="0" w:after="0" w:line="360" w:lineRule="auto"/>
        <w:ind w:firstLine="709"/>
        <w:jc w:val="both"/>
      </w:pPr>
      <w:r>
        <w:rPr>
          <w:rFonts w:ascii="Arial" w:eastAsia="Arial" w:hAnsi="Arial" w:cs="Arial"/>
          <w:color w:val="000000"/>
          <w:sz w:val="24"/>
          <w:szCs w:val="24"/>
        </w:rPr>
        <w:t xml:space="preserve">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La Sala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la Sala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la Sala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En suma, el método fue racional y controlable en la valoración individual. El vocabulario de la suficiencia siguió otro camino.</w:t>
      </w:r>
    </w:p>
    <w:p>
      <w:pPr>
        <w:spacing w:before="0" w:after="0" w:line="360" w:lineRule="auto"/>
        <w:ind w:firstLine="709"/>
        <w:jc w:val="both"/>
      </w:pPr>
      <w:r>
        <w:rPr>
          <w:rFonts w:ascii="Arial" w:eastAsia="Arial" w:hAnsi="Arial" w:cs="Arial"/>
          <w:color w:val="000000"/>
          <w:sz w:val="24"/>
          <w:szCs w:val="24"/>
        </w:rPr>
        <w:t xml:space="preserve">El vocabulario de la suficiencia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La Sala sostuvo que otras pruebas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de ese modo la coexistencia de los dos planos de la cláusula híbrida, porque la valoración es explícita y controlable mientras la suficiencia se expresa como estado de convencimiento del órgano resolutor. Este desdoblamiento es la primera manifestación jurisprudencial documentada del problema que esta investigación examina. El desdoblamiento se aprecia con mayor claridad en la conclusión del caso, que se apoyó en la concurrencia de varias irregularidades.</w:t>
      </w:r>
    </w:p>
    <w:p>
      <w:pPr>
        <w:spacing w:before="0" w:after="0" w:line="360" w:lineRule="auto"/>
        <w:ind w:firstLine="709"/>
        <w:jc w:val="both"/>
      </w:pPr>
      <w:r>
        <w:rPr>
          <w:rFonts w:ascii="Arial" w:eastAsia="Arial" w:hAnsi="Arial" w:cs="Arial"/>
          <w:color w:val="000000"/>
          <w:sz w:val="24"/>
          <w:szCs w:val="24"/>
        </w:rPr>
        <w:t xml:space="preserve">La conclusión del caso Tabasco se apoyó en la concurrencia de varias irregularidades. La primera irregularidad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 xml:space="preserve">Homo videns</w:t>
      </w:r>
      <w:r>
        <w:rPr>
          <w:rFonts w:ascii="Arial" w:eastAsia="Arial" w:hAnsi="Arial" w:cs="Arial"/>
          <w:color w:val="000000"/>
          <w:sz w:val="24"/>
          <w:szCs w:val="24"/>
        </w:rPr>
        <w:t xml:space="preserve"> de Giovanni Sartori. La segunda irregularidad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Por consiguiente, la Sala aplicó en este punto el criterio de eliminación de alternativas que exige la prueba indiciaria. Las demás irregularidades completaron el cuadro indiciario del caso.</w:t>
      </w:r>
    </w:p>
    <w:p>
      <w:pPr>
        <w:spacing w:before="0" w:after="0" w:line="360" w:lineRule="auto"/>
        <w:ind w:firstLine="709"/>
        <w:jc w:val="both"/>
      </w:pPr>
      <w:r>
        <w:rPr>
          <w:rFonts w:ascii="Arial" w:eastAsia="Arial" w:hAnsi="Arial" w:cs="Arial"/>
          <w:color w:val="000000"/>
          <w:sz w:val="24"/>
          <w:szCs w:val="24"/>
        </w:rPr>
        <w:t xml:space="preserve">Las demás irregularidades del caso Tabasco incluyeron la quema de papelería electoral y los hechos ocurridos en las instalaciones de una empresa de cómputo. El cuadro incluyó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w:t>
      </w:r>
      <w:r>
        <w:rPr>
          <w:rFonts w:ascii="Arial" w:eastAsia="Arial" w:hAnsi="Arial" w:cs="Arial"/>
          <w:color w:val="000000"/>
          <w:sz w:val="24"/>
          <w:szCs w:val="24"/>
          <w:vertAlign w:val="superscript"/>
        </w:rPr>
        <w:footnoteReference w:id="332"/>
      </w:r>
      <w:r>
        <w:rPr>
          <w:rFonts w:ascii="Arial" w:eastAsia="Arial" w:hAnsi="Arial" w:cs="Arial"/>
          <w:color w:val="000000"/>
          <w:sz w:val="24"/>
          <w:szCs w:val="24"/>
        </w:rPr>
        <w:t xml:space="preserve"> Esa concurrencia daba relevancia a los indicios aportados por el resto del acervo. El razonamiento de la Sala corresponde a la valoración conjunta de un haz de indicios. La determinancia se estableció después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ese dato la Sala concluyó que el resultado podría haber sido otro si las anomalías no se hubieran producido.</w:t>
      </w:r>
    </w:p>
    <w:p>
      <w:pPr>
        <w:spacing w:before="0" w:after="0" w:line="360" w:lineRule="auto"/>
        <w:ind w:firstLine="709"/>
        <w:jc w:val="both"/>
      </w:pPr>
      <w:r>
        <w:rPr>
          <w:rFonts w:ascii="Arial" w:eastAsia="Arial" w:hAnsi="Arial" w:cs="Arial"/>
          <w:color w:val="000000"/>
          <w:sz w:val="24"/>
          <w:szCs w:val="24"/>
        </w:rPr>
        <w:t xml:space="preserve">La formulación de la determinancia en el caso Tabasco interesa directamente a esta investigación. El umbral empleado no fue la certeza ni la probabilidad seria, sino la posibilidad de un resultado distinto. Tres años después, en el caso Colima, la misma Sala exigiría una probabilidad seria, fundada y razonable. La diferencia entre ambas formulaciones obedece a la redacción de cada sentencia. Ninguna regla previa explica por qué la posibilidad bastó en 2000 y la probabilidad seria se exigió en 2003. Los magistrados disidentes sostuvieron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En consecuencia, el desacuerdo sobre la suficiencia se formuló sobre el mismo expediente y con el mismo método de valoración. Ese desacuerdo merece un examen propio, pero antes debe analizarse el tercer plano del origen de la cláusula, que corresponde a la jurisprudencia 38/2002.</w:t>
      </w:r>
    </w:p>
    <w:p>
      <w:pPr>
        <w:spacing w:before="0" w:after="0" w:line="360" w:lineRule="auto"/>
        <w:ind w:firstLine="709"/>
        <w:jc w:val="both"/>
      </w:pPr>
      <w:r>
        <w:rPr>
          <w:rFonts w:ascii="Arial" w:eastAsia="Arial" w:hAnsi="Arial" w:cs="Arial"/>
          <w:color w:val="000000"/>
          <w:sz w:val="24"/>
          <w:szCs w:val="24"/>
        </w:rPr>
        <w:t xml:space="preserve">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Esas notas solo arrojan indicios, que el juzgador califica como simples o de mayor grado convictivo según las circunstancias del caso. Las circunstancias relevantes son la pluralidad de notas, su procedencia de distintos medios, su atribución a diferentes autores y su coincidencia sustancial. A esas circunstancias se suman la falta de un mentís del afectado y la conducta procesal de quien se limita a negar valor a las notas sin pronunciarse sobre la certeza de los hechos. Ponderadas esas circunstancias conforme a la lógica, la sana crítica y las máximas de experiencia, las notas adquieren mayor calidad indiciaria. En consecuencia, los elementos faltantes para alcanzar la fuerza probatoria plena son menores. La jurisprudencia se aprobó el 20 de mayo de 2002 y sus precedentes son tres asuntos de 2001 y 2002, no el caso Tabasco.</w:t>
      </w:r>
    </w:p>
    <w:p>
      <w:pPr>
        <w:spacing w:before="0" w:after="0" w:line="360" w:lineRule="auto"/>
        <w:ind w:firstLine="709"/>
        <w:jc w:val="both"/>
      </w:pPr>
      <w:r>
        <w:rPr>
          <w:rFonts w:ascii="Arial" w:eastAsia="Arial" w:hAnsi="Arial" w:cs="Arial"/>
          <w:color w:val="000000"/>
          <w:sz w:val="24"/>
          <w:szCs w:val="24"/>
        </w:rPr>
        <w:t xml:space="preserve">El examen de los precedentes de la jurisprudencia 38/2002 corrige una lectura frecuente de ese criterio.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ese asunto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citaba ya una tesis relevante de 2001 con el mismo rubro.</w:t>
      </w:r>
    </w:p>
    <w:p>
      <w:pPr>
        <w:spacing w:before="0" w:after="0" w:line="360" w:lineRule="auto"/>
        <w:ind w:firstLine="709"/>
        <w:jc w:val="both"/>
      </w:pPr>
      <w:r>
        <w:rPr>
          <w:rFonts w:ascii="Arial" w:eastAsia="Arial" w:hAnsi="Arial" w:cs="Arial"/>
          <w:color w:val="000000"/>
          <w:sz w:val="24"/>
          <w:szCs w:val="24"/>
        </w:rPr>
        <w:t xml:space="preserve">Una lectura frecuente sostiene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La aportación de la jurisprudencia es de otra naturaleza. La jurisprudencia establece criterios para graduar el peso de un tipo de indicio, como la pluralidad e independencia de las fuentes, su concordancia y la ausencia de desmentido. Esos criterios pertenecen al plano de la valoración y son compatibles con la adminiculación. En consecuencia, la jurisprudencia mejora el método sin tocar el umbral, y esa limitación se advierte en la escala que el criterio supone.</w:t>
      </w:r>
    </w:p>
    <w:p>
      <w:pPr>
        <w:spacing w:before="0" w:after="0" w:line="360" w:lineRule="auto"/>
        <w:ind w:firstLine="709"/>
        <w:jc w:val="both"/>
      </w:pPr>
      <w:r>
        <w:rPr>
          <w:rFonts w:ascii="Arial" w:eastAsia="Arial" w:hAnsi="Arial" w:cs="Arial"/>
          <w:color w:val="000000"/>
          <w:sz w:val="24"/>
          <w:szCs w:val="24"/>
        </w:rPr>
        <w:t xml:space="preserve">La jurisprudencia 38/2002 supone una escala que va del indicio simple al indicio de mayor grado y de este a la prueba plena. Sin embargo, la jurisprudencia no define en qué punto de esa escala se alcanza la plenitud. El criterio tampoco indica cuántos elementos faltantes deben reunirse para llegar a ella. Esta omisión confirma el diagnóstico de la tesis en uno de los primeros criterios obligatorios sobre prueba indiciaria en materia electoral. La jurisprudencia formaliza reglas de peso, pero deja intacto el umbral de suficiencia. Por tanto, el criterio ordena el cómo de la valoración sin determinar el cuánto de la decisión. La jurisprudencia incumple el segundo requisito metodológico, pues no identifica un resultado probatorio mínimo. El problema no se limita a las notas periodísticas, sino que se reproduce en cualquier indicio sujeto al artículo 16, párrafo 3.</w:t>
      </w:r>
    </w:p>
    <w:p>
      <w:pPr>
        <w:spacing w:before="0" w:after="0" w:line="360" w:lineRule="auto"/>
        <w:ind w:firstLine="709"/>
        <w:jc w:val="both"/>
      </w:pPr>
      <w:r>
        <w:rPr>
          <w:rFonts w:ascii="Arial" w:eastAsia="Arial" w:hAnsi="Arial" w:cs="Arial"/>
          <w:color w:val="000000"/>
          <w:sz w:val="24"/>
          <w:szCs w:val="24"/>
        </w:rPr>
        <w:t xml:space="preserve">La jurisprudencia 38/2002 tiene, con todo, un mérito que debe reconocerse. El criterio introduce elementos objetivos y controlables al exigir que se ponderen la independencia de las fuentes y la ausencia de desmentido. Su insuficiencia radica en que esos criterios gradúan el peso del indicio, pero no indican cuándo el conjunto basta para tener un hecho por probado. La tensión que se originó entre 2000 y 2002 persiste en las decisiones recientes de la Sala Superior. En el SUP-JIN-194/2025, sobre la elección de integrantes de la Suprema Corte,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la Sala añadió que la valoración debe guiarse por reglas lógicas y criterios que permitan su formulación racional y controlable. En consecuencia, la sentencia combina el vocabulario del convencimiento con el de la racionalidad controlable. El voto particular de ese asunto precisa el problema.</w:t>
      </w:r>
    </w:p>
    <w:p>
      <w:pPr>
        <w:spacing w:before="0" w:after="0" w:line="360" w:lineRule="auto"/>
        <w:ind w:firstLine="709"/>
        <w:jc w:val="both"/>
      </w:pPr>
      <w:r>
        <w:rPr>
          <w:rFonts w:ascii="Arial" w:eastAsia="Arial" w:hAnsi="Arial" w:cs="Arial"/>
          <w:color w:val="000000"/>
          <w:sz w:val="24"/>
          <w:szCs w:val="24"/>
        </w:rPr>
        <w:t xml:space="preserve">El magistrado Reyes Rodríguez Mondragón advirtió en su voto particular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El magistrado sostuvo que la expresión plenamente acreditadas se refiere al nivel de convicción que se alcanza tras aplicar el estándar. Por ello esa expresión no es un estándar en sí misma. En otro pasaje el magistrado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 Por consiguiente, ni la mayoría ni la disidencia han superado el vocabulario heredado de 1996. Esa persistencia permite formular cuatro conclusiones sobre el origen de la cláusula híbrida.</w:t>
      </w:r>
    </w:p>
    <w:p>
      <w:pPr>
        <w:spacing w:before="0" w:after="0" w:line="360" w:lineRule="auto"/>
        <w:ind w:firstLine="709"/>
        <w:jc w:val="both"/>
      </w:pPr>
      <w:r>
        <w:rPr>
          <w:rFonts w:ascii="Arial" w:eastAsia="Arial" w:hAnsi="Arial" w:cs="Arial"/>
          <w:color w:val="000000"/>
          <w:sz w:val="24"/>
          <w:szCs w:val="24"/>
        </w:rPr>
        <w:t xml:space="preserve">La primera conclusión sostiene que el artículo 16 combina desde 1996 un método racional, una tasación legal y un umbral subjetivo sin reglas que los articulen. La segunda conclusión sostiene que la fórmula de la sana crítica llegó al texto legal con una indeterminación de origen, que la práctica española ya había aproximado a la íntima convicción. La tercera conclusión sostiene que el caso Tabasco aplicó un método racional que consideró hipótesis alternativas. Ese caso expresó, sin embargo, la suficiencia como convencimiento y como posibilidad de un resultado distinto. La cuarta conclusión sostiene que la jurisprudencia 38/2002 graduó el peso de las notas periodísticas sin eliminar el lenguaje de la convicción ni fijar un umbral de plenitud. En consecuencia, la jurisdicción electoral desarrolló el método, pero no la regla de decisión. Esas conclusiones sugieren una hipótesis sobre la manera en que las fórmulas llegaron al texto legal. Esa hipótesis explica la convivencia de lógicas distintas en un mismo precepto.</w:t>
      </w:r>
    </w:p>
    <w:p>
      <w:pPr>
        <w:spacing w:before="0" w:after="0" w:line="360" w:lineRule="auto"/>
        <w:ind w:firstLine="709"/>
        <w:jc w:val="both"/>
      </w:pPr>
      <w:r>
        <w:rPr>
          <w:rFonts w:ascii="Arial" w:eastAsia="Arial" w:hAnsi="Arial" w:cs="Arial"/>
          <w:color w:val="000000"/>
          <w:sz w:val="24"/>
          <w:szCs w:val="24"/>
        </w:rPr>
        <w:t xml:space="preserve">La cláusula híbrida parece responder más a la recepción de fórmulas de contenido impreciso que a una decisión deliberada de combinar modelos. Esa hipótesis deberá contrastarse con los antecedentes parlamentarios de la ley de medios. La recepción de fórmulas imprecisas explica que el método y el umbral convivan sin articulación. La fragilidad de ese diseño se hizo visible en el propio caso Tabasco. En ese caso dos magistrados consideraron insuficiente el mismo acervo que la mayoría estimó bastante. Por tanto, la divergencia entre mayoría y minoría no derivó de hechos distintos ni de métodos distintos. La divergencia derivó de la ausencia de un umbral común que permitiera decidir cuándo el acervo bastaba. Los argumentos del voto particular frente a la sentencia mayoritaria permiten examinar esa divergencia con mayor detalle y precisar el punto exacto del disenso.</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es un disenso temprano sobre la suficiencia de la prueba indiciaria en una nulidad de elección de gobernador. Su examen permite contrastar dos lecturas del mismo acervo probatorio, formuladas por el mismo órgano y en la misma fecha. La primera tesis sostiene que el disenso discutió la solidez de cada inferencia de la mayoría y no solo la legalidad. La segunda tesis sostiene que el voto empleó el par cuantitativo y cualitativo, pero no lo creó, porque ese vocabulario ya circulaba en la jurisprudencia. La tercera tesis sostiene que mayoría y minoría compartieron el vocabulario de la convicción sin plantear un umbral. El análisis se apoya en el texto íntegro del voto, publicado por el propio Tribunal, y en la sentencia de Colima de 2003.</w:t>
      </w:r>
    </w:p>
    <w:p>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porque los magistrados coincidieron con la mayoría en que el sistema de nulidades de Tabasco comprendía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los disidentes enumeran los nueve elementos que la mayoría tomó en cuenta y responden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 y no se limitó a una objeción puntual.</w:t>
      </w:r>
    </w:p>
    <w:p>
      <w:pPr>
        <w:spacing w:before="0" w:after="0" w:line="360" w:lineRule="auto"/>
        <w:ind w:firstLine="709"/>
        <w:jc w:val="both"/>
      </w:pPr>
      <w:r>
        <w:rPr>
          <w:rFonts w:ascii="Arial" w:eastAsia="Arial" w:hAnsi="Arial" w:cs="Arial"/>
          <w:color w:val="000000"/>
          <w:sz w:val="24"/>
          <w:szCs w:val="24"/>
        </w:rPr>
        <w:t xml:space="preserve">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los hechos anteriores a la jornada debían soslayarse, porque las etapas del proceso electoral adquieren definitividad conforme se avanza de una a otra. Los disidentes advirtieron que los partidos actores invocaban irregularidades de la jornada y de la etapa de resultados, junto con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los disidentes se separaron de la mayoría. Este argumento no versa sobre la prueba, sino sobre el objeto de la nulidad. Sin embargo, el argumento tiene efectos probatorios indirectos, porque excluye de la valoración la mayor parte del acervo indiciario relativo a la campaña.</w:t>
      </w:r>
    </w:p>
    <w:p>
      <w:pPr>
        <w:spacing w:before="0" w:after="0" w:line="360" w:lineRule="auto"/>
        <w:ind w:firstLine="709"/>
        <w:jc w:val="both"/>
      </w:pPr>
      <w:r>
        <w:rPr>
          <w:rFonts w:ascii="Arial" w:eastAsia="Arial" w:hAnsi="Arial" w:cs="Arial"/>
          <w:color w:val="000000"/>
          <w:sz w:val="24"/>
          <w:szCs w:val="24"/>
        </w:rPr>
        <w:t xml:space="preserve">El segundo argumento del voto,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Los disidentes observaron que se ignoraba la audiencia de los programas y que, según la experiencia, el abuso de los medios televisivos no siempre asegura el triunfo. Los disidentes cuestionaron que los testimonios notariales sobre la participación estatal en la televisora fueran de varios años atrás. Por ello reclamaron información fehaciente sobre la composición actual de la concesionaria. Los disidentes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Ese dato introduce un contrapeso que la mayoría no había considerado. El contrapeso se apoyó en una comparación entre la cobertura de ambos medios en los hogares de la entidad.</w:t>
      </w:r>
    </w:p>
    <w:p>
      <w:pPr>
        <w:spacing w:before="0" w:after="0" w:line="360" w:lineRule="auto"/>
        <w:ind w:firstLine="709"/>
        <w:jc w:val="both"/>
      </w:pPr>
      <w:r>
        <w:rPr>
          <w:rFonts w:ascii="Arial" w:eastAsia="Arial" w:hAnsi="Arial" w:cs="Arial"/>
          <w:color w:val="000000"/>
          <w:sz w:val="24"/>
          <w:szCs w:val="24"/>
        </w:rPr>
        <w:t xml:space="preserve">Los disidentes emplearon datos del Instituto Nacional de Estadística, Geografía e Informática. Según esos datos, la proporción de hogares con radio y con televisión era prácticamente igual. De ahí los disidentes concluyeron que el impacto atribuido a la televisión debía reconocerse a los demás partidos en la radio. Este razonamiento opone a la inferencia mayoritaria una hipótesis alternativa. El razonamiento exige un dato empírico que el expediente no contenía, que es la audiencia de los programas. En consecuencia, la objeción no discute el método de la mayoría sino la suficiencia de la base empírica de su inferencia. La objeción muestra que una máxima de experiencia puede neutralizarse con otra igualmente plausible cuando falta el dato que permitiría decidir entre ellas. El mismo método crítico se aplicó a las demás irregularidades que la mayoría tuvo por acreditadas.</w:t>
      </w:r>
    </w:p>
    <w:p>
      <w:pPr>
        <w:spacing w:before="0" w:after="0" w:line="360" w:lineRule="auto"/>
        <w:ind w:firstLine="709"/>
        <w:jc w:val="both"/>
      </w:pPr>
      <w:r>
        <w:rPr>
          <w:rFonts w:ascii="Arial" w:eastAsia="Arial" w:hAnsi="Arial" w:cs="Arial"/>
          <w:color w:val="000000"/>
          <w:sz w:val="24"/>
          <w:szCs w:val="24"/>
        </w:rPr>
        <w:t xml:space="preserve">Los disidentes sostuvieron que la instrucción general para abrir 1,338 paquetes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Los disidentes propusieron una explicación alternativa, según la cual esa instrucción podría haberse girado para lograr mayor transparencia en los resultados. Los disidentes añadieron que, salvo en un número reducidísimo de casillas, los nuevos cómputos coincidieron con los de las mesas directivas. Con base en esa coincidencia invocaron la presunción de validez de los actos electorales. Sobre la quema de papelería, los disidentes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Sin ese dato, según los disidentes, no habría prueba de una relación de causa a efecto. Las objeciones restantes se refirieron a la oportunidad de ciertas pruebas y a la congruencia con otros asuntos.</w:t>
      </w:r>
    </w:p>
    <w:p>
      <w:pPr>
        <w:spacing w:before="0" w:after="0" w:line="360" w:lineRule="auto"/>
        <w:ind w:firstLine="709"/>
        <w:jc w:val="both"/>
      </w:pPr>
      <w:r>
        <w:rPr>
          <w:rFonts w:ascii="Arial" w:eastAsia="Arial" w:hAnsi="Arial" w:cs="Arial"/>
          <w:color w:val="000000"/>
          <w:sz w:val="24"/>
          <w:szCs w:val="24"/>
        </w:rPr>
        <w:t xml:space="preserve">Los disidentes sostuvieron que la declaración de un exfuncionario estatal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El contraste muestra que el voto no se agota en el argumento de legalidad. Los disidentes invocaron la legalidad estricta y discutieron la solidez de cada inferencia. Ambos disidentes identificaron hipótesis alternativas, exigieron datos empíricos concretos y señalaron problemas de oportunidad y de pertinencia de las pruebas. Por tanto, el voto contiene una crítica epistémica articulada de la sentencia mayoritaria. Esa crítica apunta en una dirección que la teoría del estándar de prueba permite identificar con precisión. La dirección de esas objeciones se aprecia al compararlas con los requisitos metodológicos.</w:t>
      </w:r>
    </w:p>
    <w:p>
      <w:pPr>
        <w:spacing w:before="0" w:after="0" w:line="360" w:lineRule="auto"/>
        <w:ind w:firstLine="709"/>
        <w:jc w:val="both"/>
      </w:pPr>
      <w:r>
        <w:rPr>
          <w:rFonts w:ascii="Arial" w:eastAsia="Arial" w:hAnsi="Arial" w:cs="Arial"/>
          <w:color w:val="000000"/>
          <w:sz w:val="24"/>
          <w:szCs w:val="24"/>
        </w:rPr>
        <w:t xml:space="preserve">Varias objeciones de los disidentes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Los disidentes presentaron esas exigencias como carencias del caso concreto y no como condiciones aplicables a cualquier nulidad.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había sostenido otra lectura del mismo acervo probatorio. Ninguna regla previa permitía decidir cuál de las dos lecturas era suficiente. En consecuencia, el voto contiene los elementos de un estándar sin llegar a formularlo, y esa omisión se aprecia en su manejo del par cuantitativo y cualitativo de la determinancia.</w:t>
      </w:r>
    </w:p>
    <w:p>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la conservación de los actos públicos y la que exige la determinancia aunque la causal no la mencione. Al reseñar los criterios sostenidos con anterioridad por la Sala, los disidentes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análisis cualitativo procede cuando se vulnera alguno de los principios constitucionales del proceso electoral, como la certeza. En otro pasaje transcribieron una tesis que admitía criterios no aritméticos.</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pPr>
        <w:spacing w:before="0" w:after="0" w:line="360" w:lineRule="auto"/>
        <w:ind w:firstLine="709"/>
        <w:jc w:val="both"/>
      </w:pPr>
      <w:r>
        <w:rPr>
          <w:rFonts w:ascii="Arial" w:eastAsia="Arial" w:hAnsi="Arial" w:cs="Arial"/>
          <w:color w:val="000000"/>
          <w:sz w:val="24"/>
          <w:szCs w:val="24"/>
        </w:rPr>
        <w:t xml:space="preserve">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Por tanto, la tesis recogió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pPr>
        <w:spacing w:before="0" w:after="0" w:line="360" w:lineRule="auto"/>
        <w:ind w:firstLine="709"/>
        <w:jc w:val="both"/>
      </w:pPr>
      <w:r>
        <w:rPr>
          <w:rFonts w:ascii="Arial" w:eastAsia="Arial" w:hAnsi="Arial" w:cs="Arial"/>
          <w:color w:val="000000"/>
          <w:sz w:val="24"/>
          <w:szCs w:val="24"/>
        </w:rPr>
        <w:t xml:space="preserve">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La minoría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Ambas discutieron el cómo de la valoración sin plantear el cuánto de la decisión. Esta coincidencia recibe aquí el nombre de ceguera compartida.</w:t>
      </w:r>
    </w:p>
    <w:p>
      <w:pPr>
        <w:spacing w:before="0" w:after="0" w:line="360" w:lineRule="auto"/>
        <w:ind w:firstLine="709"/>
        <w:jc w:val="both"/>
      </w:pPr>
      <w:r>
        <w:rPr>
          <w:rFonts w:ascii="Arial" w:eastAsia="Arial" w:hAnsi="Arial" w:cs="Arial"/>
          <w:color w:val="000000"/>
          <w:sz w:val="24"/>
          <w:szCs w:val="24"/>
        </w:rPr>
        <w:t xml:space="preserve">La ceguera compartida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Por tanto, la discrepancia versó sobre la suficiencia, aunque se expresó en el lenguaje del método, y en ausencia de un estándar se resolvió por el número de votos en el pleno.</w:t>
      </w:r>
    </w:p>
    <w:p>
      <w:pPr>
        <w:spacing w:before="0" w:after="0" w:line="360" w:lineRule="auto"/>
        <w:ind w:firstLine="709"/>
        <w:jc w:val="both"/>
      </w:pPr>
      <w:r>
        <w:rPr>
          <w:rFonts w:ascii="Arial" w:eastAsia="Arial" w:hAnsi="Arial" w:cs="Arial"/>
          <w:color w:val="000000"/>
          <w:sz w:val="24"/>
          <w:szCs w:val="24"/>
        </w:rPr>
        <w:t xml:space="preserve">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Los disidentes negaron, sin embargo, que esa intervención hubiera trascendido en la orientación del voto. Según los disidentes, la ciudadanía estaba mayormente politizada y era menos vulnerable a la influencia de los funcionarios.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Esa afirmación es una máxima de experiencia opuesta a la de la mayoría.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Los disidentes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consideró, en cambio, que existía una probabilidad seria, fundada y razonable de que las irregularidades hubieran alterado el resultado.</w:t>
      </w:r>
    </w:p>
    <w:p>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conclusión sostiene que el disenso de Tabasco combinó un argumento de legalidad con una crítica de cada inferencia de la mayoría. La segunda conclusión sostiene que sus objeciones apuntaron a exigencias concretas, como la audiencia de los medios o el número de electores presionados, sin formularlas como regla general. La tercera conclusión sostiene que el voto empleó el par cuantitativo y cualitativo como doctrina establecida y que la tesis XXXI/2004 derivó de la mayoría de Colima. La cuarta conclusión sostiene que mayoría y minoría compartieron el vocabulario de la convicción y resolvieron su desacuerdo con máximas de experiencia opuestas. Ningún umbral permitía arbitrar entre esas máximas. En consecuencia, la determinancia, la cláusula híbrida y el disenso del caso Tabasco comparten el mismo déficit. Ese déficit es la falta de una regla que indique cuánta corroboración basta, y su persistencia debe verificarse en la práctica reciente de la Sala Superior.</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del artículo 16 de la LGSMIME tiene su origen documentado en la sentencia SUP-JRC-487/2000. El voto particular emitido en ese asunto no cuestionó dicha cláusula, sino el criterio de determinancia aplicado al caso. El análisis se traslada ahora veinticinco años hacia adelante, a la sentencia SUP-JIN-194/2025. El propósito de ese traslado es comprobar si la cláusula híbrida se mantuvo sin variación sustancial durante ese periodo. A partir de esa comprobación se examina el voto particular emitido en el asunto más reciente. Ese voto se contrasta con la ausencia de una crítica equivalente en el voto de dos mil. En consecuencia, la comparación entre ambos votos permite medir el grado de conciencia que el propio tribunal ha alcanzado sobre el problema. La caracterización teórica de la cláusula del artículo 16 como una cláusula mixta reúne después los hallazgos de ambos momentos históricos en una síntesis conceptual.</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híbrida y la determinancia nacieron sin una regla sobre la corroboración suficiente para anular. El caso Tabasco mostró lecturas opuestas del mismo acervo sin regla para arbitrar entre ellas. Ese déficit debe verificarse en la primera elección judicial por voto popular. En el SUP-JIN-194/2025 y acumulados, la Sala Superior confirmó la validez de la elección de ministras y ministros de la Suprema Corte.</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sostiene que la sentencia avanza en el método, pero reproduce el error de categoría en la suficiencia. En el plano del método, la mayoría adoptó una doctrina de la prueba indiciaria con requisitos explícitos y controlables. En el plano de la suficiencia, la mayoría expresó el resultado en términos de convicción, certeza e irrefutabilidad, sin identificar un umbral. El análisis se apoya solo en la sentencia, los votos particulares y los preceptos aplicables.</w:t>
      </w:r>
    </w:p>
    <w:p>
      <w:pPr>
        <w:spacing w:before="0" w:after="0" w:line="360" w:lineRule="auto"/>
        <w:ind w:firstLine="709"/>
        <w:jc w:val="both"/>
      </w:pPr>
      <w:r>
        <w:rPr>
          <w:rFonts w:ascii="Arial" w:eastAsia="Arial" w:hAnsi="Arial" w:cs="Arial"/>
          <w:color w:val="000000"/>
          <w:sz w:val="24"/>
          <w:szCs w:val="24"/>
        </w:rPr>
        <w:t xml:space="preserve">El examen se desarrolla en un orden preciso. La exposición presenta primero el marco normativo, fáctico y procesal del caso. Después examina la doctrina probatoria de la mayoría, su aplicación al caudal probatorio y el umbral de suficiencia que empleó. El cotejo de la sentencia con el caso Tabasco y la verificación de la estabilidad del artículo 16 frente a las reformas posteriores cierran el examen. El marco normativo del caso se origina en la reforma constitucional publicada en el </w:t>
      </w:r>
      <w:r>
        <w:rPr>
          <w:rFonts w:ascii="Arial" w:eastAsia="Arial" w:hAnsi="Arial" w:cs="Arial"/>
          <w:i/>
          <w:iCs/>
          <w:color w:val="000000"/>
          <w:sz w:val="24"/>
          <w:szCs w:val="24"/>
        </w:rPr>
        <w:t xml:space="preserve">Diario Oficial de la Federación</w:t>
      </w:r>
      <w:r>
        <w:rPr>
          <w:rFonts w:ascii="Arial" w:eastAsia="Arial" w:hAnsi="Arial" w:cs="Arial"/>
          <w:color w:val="000000"/>
          <w:sz w:val="24"/>
          <w:szCs w:val="24"/>
        </w:rPr>
        <w:t xml:space="preserve"> el 15 de septiembre de 2024. Esa reforma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Esa transformación del origen de la judicatura exigió un régimen específico de nulidades para las nuevas elecciones.</w:t>
      </w:r>
    </w:p>
    <w:p>
      <w:pPr>
        <w:spacing w:before="0" w:after="0" w:line="360" w:lineRule="auto"/>
        <w:ind w:firstLine="709"/>
        <w:jc w:val="both"/>
      </w:pPr>
      <w:r>
        <w:rPr>
          <w:rFonts w:ascii="Arial" w:eastAsia="Arial" w:hAnsi="Arial" w:cs="Arial"/>
          <w:color w:val="000000"/>
          <w:sz w:val="24"/>
          <w:szCs w:val="24"/>
        </w:rPr>
        <w:t xml:space="preserve">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financiamiento distinto del permitido y el beneficio o perjuicio indebido de una campaña por partidos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Esos juicios se acumularon en un solo expediente. En consecuencia, la Sala Superior aplicó las nuevas causales a una elección nacional. Las alegaciones de los actores se centraron en un tipo de propaganda particular.</w:t>
      </w:r>
    </w:p>
    <w:p>
      <w:pPr>
        <w:spacing w:before="0" w:after="0" w:line="360" w:lineRule="auto"/>
        <w:ind w:firstLine="709"/>
        <w:jc w:val="both"/>
      </w:pPr>
      <w:r>
        <w:rPr>
          <w:rFonts w:ascii="Arial" w:eastAsia="Arial" w:hAnsi="Arial" w:cs="Arial"/>
          <w:color w:val="000000"/>
          <w:sz w:val="24"/>
          <w:szCs w:val="24"/>
        </w:rPr>
        <w:t xml:space="preserve">Los actores alegaron la producción y distribución masiva y sistemática de guías de votación, conocidas como acordeones, en las que se indicaba por qué candidaturas votar. Según los actores, participaron personas servidoras públicas y se usaron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los actores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r>
        <w:rPr>
          <w:rFonts w:ascii="Arial" w:eastAsia="Arial" w:hAnsi="Arial" w:cs="Arial"/>
          <w:color w:val="000000"/>
          <w:sz w:val="24"/>
          <w:szCs w:val="24"/>
        </w:rPr>
        <w:t xml:space="preserve"> 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votación final invierte la del caso Tabasco.</w:t>
      </w:r>
    </w:p>
    <w:p>
      <w:pPr>
        <w:spacing w:before="0" w:after="0" w:line="360" w:lineRule="auto"/>
        <w:ind w:firstLine="709"/>
        <w:jc w:val="both"/>
      </w:pPr>
      <w:r>
        <w:rPr>
          <w:rFonts w:ascii="Arial" w:eastAsia="Arial" w:hAnsi="Arial" w:cs="Arial"/>
          <w:color w:val="000000"/>
          <w:sz w:val="24"/>
          <w:szCs w:val="24"/>
        </w:rPr>
        <w:t xml:space="preserve">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Por tanto, la decisión se adoptó por tres votos contra dos, y el mismo acervo admitió lecturas opuestas dentro del órgano. Esta configuración reproduce la del caso Tabasco con el sentido invertido. En 2000 la mayoría anuló y la minoría validó. La coincidencia estructural justifica el cotejo entre ambas sentencias, separadas por un cuarto de siglo de práctica jurisdiccional. Ese cotejo exige examinar antes la doctrina probatoria que la mayoría construyó para decidir el caso y los criterios que empleó para valorar los indicios.</w:t>
      </w:r>
    </w:p>
    <w:p>
      <w:pPr>
        <w:spacing w:before="0" w:after="0" w:line="360" w:lineRule="auto"/>
        <w:ind w:firstLine="709"/>
        <w:jc w:val="both"/>
      </w:pPr>
      <w:r>
        <w:rPr>
          <w:rFonts w:ascii="Arial" w:eastAsia="Arial" w:hAnsi="Arial" w:cs="Arial"/>
          <w:color w:val="000000"/>
          <w:sz w:val="24"/>
          <w:szCs w:val="24"/>
        </w:rPr>
        <w:t xml:space="preserve">La doctrina probatoria de la mayoría partió de una premisa sobre la gravedad de la nulidad. Según la mayoría,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la mayoría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hecho consistía en que el alcance masivo de las guías y su entrega efectiva hubieran podido tener un impacto significativo en la intención del voto. La enumeración tiene un mérito metodológico que debe reconocerse. La enumeración descompone la hipótesis de la parte actora en proposiciones fácticas susceptibles de prueba independiente. En consecuencia, la enumeración permite controlar qué se tuvo por probado y qué no, aunque deja abierta otra cuestión.</w:t>
      </w:r>
    </w:p>
    <w:p>
      <w:pPr>
        <w:spacing w:before="0" w:after="0" w:line="360" w:lineRule="auto"/>
        <w:ind w:firstLine="709"/>
        <w:jc w:val="both"/>
      </w:pPr>
      <w:r>
        <w:rPr>
          <w:rFonts w:ascii="Arial" w:eastAsia="Arial" w:hAnsi="Arial" w:cs="Arial"/>
          <w:color w:val="000000"/>
          <w:sz w:val="24"/>
          <w:szCs w:val="24"/>
        </w:rPr>
        <w:t xml:space="preserve">La enumeración de los siete hechos identifica los hechos que deben probarse, pero no el grado de corroboración exigido para cada uno. La enumeración define el objeto de la prueba, pero no el cuánto de la decisión. La exigencia de comprobar plenamente cada hecho remite al lenguaje del artículo 16, párrafo 3, y del artículo 77 Ter, párrafo 2, de la ley de medios. Esa plenitud no recibe en la sentencia una definición en términos de resultados probatorios. La sentencia construyó enseguida un marco teórico sobre la prueba. Ese marco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La sentencia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Esa adhesión a la verdad como correspondencia orientó la posición de la mayoría sobre el sistema de valoración.</w:t>
      </w:r>
    </w:p>
    <w:p>
      <w:pPr>
        <w:spacing w:before="0" w:after="0" w:line="360" w:lineRule="auto"/>
        <w:ind w:firstLine="709"/>
        <w:jc w:val="both"/>
      </w:pPr>
      <w:r>
        <w:rPr>
          <w:rFonts w:ascii="Arial" w:eastAsia="Arial" w:hAnsi="Arial" w:cs="Arial"/>
          <w:color w:val="000000"/>
          <w:sz w:val="24"/>
          <w:szCs w:val="24"/>
        </w:rPr>
        <w:t xml:space="preserve">La mayoría sostuvo que la ley de medios adopta la escuela de libre investigación o libre convencimiento. En la misma línea afirmó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La mayoría reconoció que es poco probable que la parte actora disponga de pruebas directas de cada hecho. Por ello admitió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Con todo, la sentencia no cita a Ferrer Beltrán ni identifica su propio criterio de decisión como un estándar de prueba. La doctrina de la prueba indiciaria constituye, sin embargo, el núcleo del avance metodológico de la sentencia.</w:t>
      </w:r>
    </w:p>
    <w:p>
      <w:pPr>
        <w:spacing w:before="0" w:after="0" w:line="360" w:lineRule="auto"/>
        <w:ind w:firstLine="709"/>
        <w:jc w:val="both"/>
      </w:pPr>
      <w:r>
        <w:rPr>
          <w:rFonts w:ascii="Arial" w:eastAsia="Arial" w:hAnsi="Arial" w:cs="Arial"/>
          <w:color w:val="000000"/>
          <w:sz w:val="24"/>
          <w:szCs w:val="24"/>
        </w:rPr>
        <w:t xml:space="preserve">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La mayoría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La mayoría se apoyó en un criterio de la Primera Sala. Según ese criterio,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La mayoría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En consecuencia, la doctrina incorpora la pluralidad, la independencia y la motivación que exige la teoría. La exigencia de contrastar hipótesis completa esa doctrina.</w:t>
      </w:r>
    </w:p>
    <w:p>
      <w:pPr>
        <w:spacing w:before="0" w:after="0" w:line="360" w:lineRule="auto"/>
        <w:ind w:firstLine="709"/>
        <w:jc w:val="both"/>
      </w:pPr>
      <w:r>
        <w:rPr>
          <w:rFonts w:ascii="Arial" w:eastAsia="Arial" w:hAnsi="Arial" w:cs="Arial"/>
          <w:color w:val="000000"/>
          <w:sz w:val="24"/>
          <w:szCs w:val="24"/>
        </w:rPr>
        <w:t xml:space="preserve">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de un estándar válido. 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de la sentencia se localizan, por tanto, en los requisitos segundo y cuarto.</w:t>
      </w:r>
    </w:p>
    <w:p>
      <w:pPr>
        <w:spacing w:before="0" w:after="0" w:line="360" w:lineRule="auto"/>
        <w:ind w:firstLine="709"/>
        <w:jc w:val="both"/>
      </w:pPr>
      <w:r>
        <w:rPr>
          <w:rFonts w:ascii="Arial" w:eastAsia="Arial" w:hAnsi="Arial" w:cs="Arial"/>
          <w:color w:val="000000"/>
          <w:sz w:val="24"/>
          <w:szCs w:val="24"/>
        </w:rPr>
        <w:t xml:space="preserve">La sentencia no identifica qué resultado probatorio mínimo debía alcanzarse para tener por probado cada uno de los siete hechos. La sentencia tampoco distingue entre la exigencia aplicable a la existencia de la propaganda y la aplicable a la atribución de su autoría a personas determinadas. Todos los hechos quedan sometidos a la misma plenitud. Esa distinción fue precisamente la que planteó el proyecto rechazado. El proyecto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exige un examen propio de los votos particulares. Basta advertir por ahora que la mayoría resolvió el problema de la graduación de las exigencias sin enunciarlo como tal. La doctrina así construida se aplicó a un caudal probatorio de dimensiones considerables, integrado por pruebas de naturaleza muy diversa.</w:t>
      </w:r>
    </w:p>
    <w:p>
      <w:pPr>
        <w:spacing w:before="0" w:after="0" w:line="360" w:lineRule="auto"/>
        <w:ind w:firstLine="709"/>
        <w:jc w:val="both"/>
      </w:pPr>
      <w:r>
        <w:rPr>
          <w:rFonts w:ascii="Arial" w:eastAsia="Arial" w:hAnsi="Arial" w:cs="Arial"/>
          <w:color w:val="000000"/>
          <w:sz w:val="24"/>
          <w:szCs w:val="24"/>
        </w:rPr>
        <w:t xml:space="preserve">El caudal probatorio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Los procedimientos sancionadores y las denuncias penales no eran prueba directa. Ninguno tenía resolución firme sobre la distribución masiva.</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la mayoría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la mayoría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Esa conclusión condicionó el resto del análisis.</w:t>
      </w:r>
    </w:p>
    <w:p>
      <w:pPr>
        <w:spacing w:before="0" w:after="0" w:line="360" w:lineRule="auto"/>
        <w:ind w:firstLine="709"/>
        <w:jc w:val="both"/>
      </w:pPr>
      <w:r>
        <w:rPr>
          <w:rFonts w:ascii="Arial" w:eastAsia="Arial" w:hAnsi="Arial" w:cs="Arial"/>
          <w:color w:val="000000"/>
          <w:sz w:val="24"/>
          <w:szCs w:val="24"/>
        </w:rPr>
        <w:t xml:space="preserve">De la existencia de algunos acordeones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 La mayoría examinó después si los indicios satisfacían los requisitos de la prueba indiciaria. La mayoría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La mayoría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la mayoría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El paso siguiente de la sentencia tiene especial importancia para esta investigación.</w:t>
      </w:r>
    </w:p>
    <w:p>
      <w:pPr>
        <w:spacing w:before="0" w:after="0" w:line="360" w:lineRule="auto"/>
        <w:ind w:firstLine="709"/>
        <w:jc w:val="both"/>
      </w:pPr>
      <w:r>
        <w:rPr>
          <w:rFonts w:ascii="Arial" w:eastAsia="Arial" w:hAnsi="Arial" w:cs="Arial"/>
          <w:color w:val="000000"/>
          <w:sz w:val="24"/>
          <w:szCs w:val="24"/>
        </w:rPr>
        <w:t xml:space="preserve">La mayoría enumeró las pruebas que habrían permitido acreditar los hechos. Entre ellas mencionó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La mayoría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presenta esa enumeración como una ilustración casuística y no como una regla general. Por ello resulta imposible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r>
        <w:rPr>
          <w:rFonts w:ascii="Arial" w:eastAsia="Arial" w:hAnsi="Arial" w:cs="Arial"/>
          <w:color w:val="000000"/>
          <w:sz w:val="24"/>
          <w:szCs w:val="24"/>
        </w:rPr>
        <w:t xml:space="preserve"> La sentencia rechazó después la inferencia estadística propuesta por la parte actora.</w:t>
      </w:r>
    </w:p>
    <w:p>
      <w:pPr>
        <w:spacing w:before="0" w:after="0" w:line="360" w:lineRule="auto"/>
        <w:ind w:firstLine="709"/>
        <w:jc w:val="both"/>
      </w:pPr>
      <w:r>
        <w:rPr>
          <w:rFonts w:ascii="Arial" w:eastAsia="Arial" w:hAnsi="Arial" w:cs="Arial"/>
          <w:color w:val="000000"/>
          <w:sz w:val="24"/>
          <w:szCs w:val="24"/>
        </w:rPr>
        <w:t xml:space="preserve">La sentencia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La sentencia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La sentencia mencionó las pruebas de White, de Breusch-Pagan y de Shapiro-Wilk. Ninguna podía aplicarse, según la sentencia,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La sentencia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La mayoría rechazó una inferencia estadística sin base empírica y no la probabilidad como tal. Esa distinción es compatible con el tercer requisito metodológico, que privilegia la probabilidad inductiva sobre la matemática. El problema del razonamiento mayoritario se encuentra en otro lugar.</w:t>
      </w:r>
    </w:p>
    <w:p>
      <w:pPr>
        <w:spacing w:before="0" w:after="0" w:line="360" w:lineRule="auto"/>
        <w:ind w:firstLine="709"/>
        <w:jc w:val="both"/>
      </w:pPr>
      <w:r>
        <w:rPr>
          <w:rFonts w:ascii="Arial" w:eastAsia="Arial" w:hAnsi="Arial" w:cs="Arial"/>
          <w:color w:val="000000"/>
          <w:sz w:val="24"/>
          <w:szCs w:val="24"/>
        </w:rPr>
        <w:t xml:space="preserve">La sentencia descartó cada inferencia por separado sin indicar qué grado de corroboración del conjunto habría sido suficiente. El voto de Rodríguez Mondragón calificó esa operación como una fragmentación artificial del análisis probatorio.</w:t>
      </w:r>
      <w:r>
        <w:rPr>
          <w:rFonts w:ascii="Arial" w:eastAsia="Arial" w:hAnsi="Arial" w:cs="Arial"/>
          <w:color w:val="000000"/>
          <w:sz w:val="24"/>
          <w:szCs w:val="24"/>
          <w:vertAlign w:val="superscript"/>
        </w:rPr>
        <w:footnoteReference w:id="413"/>
      </w:r>
      <w:r>
        <w:rPr>
          <w:rFonts w:ascii="Arial" w:eastAsia="Arial" w:hAnsi="Arial" w:cs="Arial"/>
          <w:color w:val="000000"/>
          <w:sz w:val="24"/>
          <w:szCs w:val="24"/>
        </w:rPr>
        <w:t xml:space="preserve"> Las consideraciones conclusivas de la mayoría permiten identificar el umbral que efectivamente aplicó. Según la sentencia, las pruebas eran a lo sumo una presunción abstracta, lejos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La sentencia afirmó que no existían elementos de convicción inequívocos sobre la elaboración masiva, la distribución nacional y el impacto objetivo en el resultado. La sentencia sostuvo que la valoración racional descarta tener por existentes los hechos por la simple creencia de que ocurrieron o por un grado de probabilidad de su configuración. La sentencia agregó que la pluralidad de indicios no satisfacía el estándar de armonía y concordancia, y que la prueba indiciaria no producía convicción sobre un hecho verdadero y materializado. La sentencia añadió después un vocabulario distinto.</w:t>
      </w:r>
    </w:p>
    <w:p>
      <w:pPr>
        <w:spacing w:before="0" w:after="0" w:line="360" w:lineRule="auto"/>
        <w:ind w:firstLine="709"/>
        <w:jc w:val="both"/>
      </w:pPr>
      <w:r>
        <w:rPr>
          <w:rFonts w:ascii="Arial" w:eastAsia="Arial" w:hAnsi="Arial" w:cs="Arial"/>
          <w:color w:val="000000"/>
          <w:sz w:val="24"/>
          <w:szCs w:val="24"/>
        </w:rPr>
        <w:t xml:space="preserve">En los párrafos siguientes la sentencia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La mayoría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 vocabulario es psicológico y habla de la convicción que el acervo produce en el órgano. El segundo vocabulario es epistémico y habla de la justificación racional que las pruebas prestan a la hipótesis. El tercer vocabulario es de certeza absoluta y habla de irrefutabilidad e inequivocidad de los medios de convicción. La coexistencia de esos vocabularios tiene consecuencias precisas. El vocabulario epistémico de los párrafos 111 a 113 satisface el primer requisito metodológico, porque remite a la justificación que el acervo presta a la hipótesis.</w:t>
      </w:r>
    </w:p>
    <w:p>
      <w:pPr>
        <w:spacing w:before="0" w:after="0" w:line="360" w:lineRule="auto"/>
        <w:ind w:firstLine="709"/>
        <w:jc w:val="both"/>
      </w:pPr>
      <w:r>
        <w:rPr>
          <w:rFonts w:ascii="Arial" w:eastAsia="Arial" w:hAnsi="Arial" w:cs="Arial"/>
          <w:color w:val="000000"/>
          <w:sz w:val="24"/>
          <w:szCs w:val="24"/>
        </w:rPr>
        <w:t xml:space="preserve">El vocabulario psicológico incumple el primer requisito metodológico, porque remite al estado mental del órgano, del mismo modo que el artículo 16, párrafo 3, de la ley de medios. El vocabulario de la irrefutabilidad plantea un problema distinto. Exigir medios de convicción irrefutables e inequívocos equivale a exigir certeza. Esa exigencia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porque todo indicio solo aporta un grado de probabilidad. La propia mayoría definió la prueba indiciaria como la dirigida a demostrar la probabilidad de los indicios. La contradicción entre ambas afirmaciones de la sentencia admite una sola salida razonable desde la teoría de la prueba.</w:t>
      </w:r>
    </w:p>
    <w:p>
      <w:pPr>
        <w:spacing w:before="0" w:after="0" w:line="360" w:lineRule="auto"/>
        <w:ind w:firstLine="709"/>
        <w:jc w:val="both"/>
      </w:pPr>
      <w:r>
        <w:rPr>
          <w:rFonts w:ascii="Arial" w:eastAsia="Arial" w:hAnsi="Arial" w:cs="Arial"/>
          <w:color w:val="000000"/>
          <w:sz w:val="24"/>
          <w:szCs w:val="24"/>
        </w:rPr>
        <w:t xml:space="preserve">La contradicción se disuelve si se entiende que la mayoría rechazó la mera posibilidad y no la probabilidad cualificada. Esa lectura exige, sin embargo, una reconstrucción que la sentencia no ofrece. Ninguno de los tres vocabularios indica qué resultado probatorio mínimo debía alcanzarse. En consecuencia, el umbral queda sin definición. El voto particular del magistrado Rodríguez Mondragón formuló este diagnóstico en términos explícitos. El magistrado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El magistrado afirmó que resulta revelador que la mayoría nunca explicite qué estándar aplica, pues solo exige prueba plena o un convencimiento pleno. El magistrado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p>
    <w:p>
      <w:pPr>
        <w:spacing w:before="0" w:after="0" w:line="360" w:lineRule="auto"/>
        <w:ind w:firstLine="709"/>
        <w:jc w:val="both"/>
      </w:pPr>
      <w:r>
        <w:rPr>
          <w:rFonts w:ascii="Arial" w:eastAsia="Arial" w:hAnsi="Arial" w:cs="Arial"/>
          <w:color w:val="000000"/>
          <w:sz w:val="24"/>
          <w:szCs w:val="24"/>
        </w:rPr>
        <w:t xml:space="preserve">El análisis de los tres vocabularios respalda la lectura del magistrado en lo que se refiere a la ausencia de definición. Sin embargo, el alcance de esa lectura debe matizarse. La mayoría sí enunció criterios de valoración controlables sobre los indicios, las inferencias y el contraste de hipótesis. Por ello el déficit está en la determinación del umbral y no en la racionalidad del método. La sentencia ordenó el cómo de la valoración con un rigor mayor que el de los precedentes anteriores, pero dejó indeterminado el cuánto de la decisión. Esa es la forma que adopta el error de categoría en 2025. El cotejo con el SUP-JRC-487/2000 permite medir qué cambió y qué permaneció en veinticinco años. En el plano del método, el cambio entre ambas sentencias es notable y revela una maduración de la doctrina jurisdiccional.</w:t>
      </w:r>
    </w:p>
    <w:p>
      <w:pPr>
        <w:spacing w:before="0" w:after="0" w:line="360" w:lineRule="auto"/>
        <w:ind w:firstLine="709"/>
        <w:jc w:val="both"/>
      </w:pPr>
      <w:r>
        <w:rPr>
          <w:rFonts w:ascii="Arial" w:eastAsia="Arial" w:hAnsi="Arial" w:cs="Arial"/>
          <w:color w:val="000000"/>
          <w:sz w:val="24"/>
          <w:szCs w:val="24"/>
        </w:rPr>
        <w:t xml:space="preserve">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Ese catálogo comprende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Por tanto, el lenguaje de la convicción atravesó intacto el cuarto de siglo que separa ambas decisiones. La formulación del impacto sobre el resultado sí cambió entre ambas sentencias.</w:t>
      </w:r>
    </w:p>
    <w:p>
      <w:pPr>
        <w:spacing w:before="0" w:after="0" w:line="360" w:lineRule="auto"/>
        <w:ind w:firstLine="709"/>
        <w:jc w:val="both"/>
      </w:pPr>
      <w:r>
        <w:rPr>
          <w:rFonts w:ascii="Arial" w:eastAsia="Arial" w:hAnsi="Arial" w:cs="Arial"/>
          <w:color w:val="000000"/>
          <w:sz w:val="24"/>
          <w:szCs w:val="24"/>
        </w:rPr>
        <w:t xml:space="preserve">En Tabasco bastó que el resultado pudiera haber sido otro.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 La comparación confirma la hipótesis del análisis.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w:t>
      </w:r>
    </w:p>
    <w:p>
      <w:pPr>
        <w:spacing w:before="0" w:after="0" w:line="360" w:lineRule="auto"/>
        <w:ind w:firstLine="709"/>
        <w:jc w:val="both"/>
      </w:pPr>
      <w:r>
        <w:rPr>
          <w:rFonts w:ascii="Arial" w:eastAsia="Arial" w:hAnsi="Arial" w:cs="Arial"/>
          <w:color w:val="000000"/>
          <w:sz w:val="24"/>
          <w:szCs w:val="24"/>
        </w:rPr>
        <w:t xml:space="preserve">La diferencia de sentido entre las sentencias de 2000 y 2025 no altera esta conclusión. Lo que persiste es una estructura de decisión en la que el método racional convive con un umbral indefinido. Esa persistencia es lo que esta investigación denomina error de categoría. El error consiste en tratar los criterios de valoración como si resolvieran por sí mismos la suficiencia de la prueba. La persistencia del error no puede atribuirse únicamente a la jurisprudencia. El texto legal que sustenta esa jurisprudencia no ha cambiado. En consecuencia, la responsabilidad del déficit se comparte entre el legislador, que no definió el umbral, y los tribunales, que no lo formularon por vía interpretativa. La historia legislativa de la ley de medios confirma que el legislador tuvo múltiples ocasiones para corregir la cláusula y no lo hizo.</w:t>
      </w:r>
    </w:p>
    <w:p>
      <w:pPr>
        <w:spacing w:before="0" w:after="0" w:line="360" w:lineRule="auto"/>
        <w:ind w:firstLine="709"/>
        <w:jc w:val="both"/>
      </w:pPr>
      <w:r>
        <w:rPr>
          <w:rFonts w:ascii="Arial" w:eastAsia="Arial" w:hAnsi="Arial" w:cs="Arial"/>
          <w:color w:val="000000"/>
          <w:sz w:val="24"/>
          <w:szCs w:val="24"/>
        </w:rPr>
        <w:t xml:space="preserve">La ley de medios ha sido reformada en numerosas ocasiones desde 2008. Entre ellas figuran los decretos publicados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Esas violaciones deben acreditarse de manera objetiva y material. El precepto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Esas fórmulas constitucionales y legales no alteraron la cláusula híbrida del artículo 16.</w:t>
      </w:r>
    </w:p>
    <w:p>
      <w:pPr>
        <w:spacing w:before="0" w:after="0" w:line="360" w:lineRule="auto"/>
        <w:ind w:firstLine="709"/>
        <w:jc w:val="both"/>
      </w:pPr>
      <w:r>
        <w:rPr>
          <w:rFonts w:ascii="Arial" w:eastAsia="Arial" w:hAnsi="Arial" w:cs="Arial"/>
          <w:color w:val="000000"/>
          <w:sz w:val="24"/>
          <w:szCs w:val="24"/>
        </w:rPr>
        <w:t xml:space="preserve">La exigencia de acreditación objetiva y material pudo haber orientado el umbral hacia propiedades del acervo. Esa exigencia, sin embargo, no identifica los resultados probatorios mínimos que deben alcanzarse.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 En consecuencia, cada reforma reprodujo la indeterminación del umbral en lugar de corregirla. La reforma judicial de 2024 agravó incluso el problema en lugar de resolverlo. Ese agravamiento se explica por el tipo de conductas que la nueva causal sanciona.</w:t>
      </w:r>
    </w:p>
    <w:p>
      <w:pPr>
        <w:spacing w:before="0" w:after="0" w:line="360" w:lineRule="auto"/>
        <w:ind w:firstLine="709"/>
        <w:jc w:val="both"/>
      </w:pPr>
      <w:r>
        <w:rPr>
          <w:rFonts w:ascii="Arial" w:eastAsia="Arial" w:hAnsi="Arial" w:cs="Arial"/>
          <w:color w:val="000000"/>
          <w:sz w:val="24"/>
          <w:szCs w:val="24"/>
        </w:rPr>
        <w:t xml:space="preserve">El artículo 77 Ter sanciona conductas como el uso de financiamiento distinto del legalmente permitido y el beneficio o perjuicio indebido de una campaña por partidos políticos o personas servidoras públicas. Estas conductas suelen ser de difícil prueba directa. La propia mayoría reconoció esa dificultad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plena acreditación sin precisar la corroboración que la satisface con prueba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Por consiguiente, la indeterminación se resolvió por mayoría de votos, como en el caso Tabasco.</w:t>
      </w:r>
    </w:p>
    <w:p>
      <w:pPr>
        <w:spacing w:before="0" w:after="0" w:line="360" w:lineRule="auto"/>
        <w:ind w:firstLine="709"/>
        <w:jc w:val="both"/>
      </w:pPr>
      <w:r>
        <w:rPr>
          <w:rFonts w:ascii="Arial" w:eastAsia="Arial" w:hAnsi="Arial" w:cs="Arial"/>
          <w:color w:val="000000"/>
          <w:sz w:val="24"/>
          <w:szCs w:val="24"/>
        </w:rPr>
        <w:t xml:space="preserve">El análisis del SUP-JIN-194/2025 permite formular cuatro conclusiones. La primera conclusión sostiene que la sentencia avanza respecto del caso Tabasco en el método, pues enuncia requisitos controlables y exige el contraste de hipótesis. La segunda conclusión sostiene que ese avance no alcanzó el plano de la suficiencia. El resultado se expresó en tres vocabularios, psicológico, epistémico y de certeza, sin identificar resultados probatorios mínimos. La tercera conclusión sostiene que la enumeración de las pruebas que pudieron aportarse insinúa un estándar formulado en términos de resultados, pero la sentencia no lo generalizó. La cuarta conclusión sostiene que el artículo 16 no ha cambiado desde 1996 y que las reformas reprodujeron la plena acreditación sin definirla. Un cuarto de siglo después, el error de categoría persiste en su forma más depurada, que es un método racional sin regla de decisión. El propio órgano dejó constancia de esa carencia a través de los votos particulares.</w:t>
      </w:r>
    </w:p>
    <w:p>
      <w:pPr>
        <w:spacing w:before="0" w:after="0" w:line="360" w:lineRule="auto"/>
        <w:ind w:firstLine="709"/>
        <w:jc w:val="both"/>
      </w:pPr>
      <w:r>
        <w:rPr>
          <w:rFonts w:ascii="Arial" w:eastAsia="Arial" w:hAnsi="Arial" w:cs="Arial"/>
          <w:color w:val="000000"/>
          <w:sz w:val="24"/>
          <w:szCs w:val="24"/>
        </w:rPr>
        <w:t xml:space="preserve">El voto del magistrado Rodríguez Mondragón identificó la ausencia de un estándar explícito. Ese voto propuso estándares diferenciados para los distintos hechos del caso. El voto criticó la fragmentación del análisis probatorio que practicó la mayoría al examinar cada indicio. Esas tres aportaciones colocan al voto de 2025 en un plano distinto del disenso formulado en el caso Tabasco. El voto de Tabasco discutió la solidez de cada inferencia de la mayoría, pero no planteó la necesidad de un umbral general. El voto de 2025, en cambio, plantea expresamente esa necesidad. Por consiguiente, el voto de 2025 formula una crítica interna al estándar de prueba que el voto de 2000 no formuló. La pregunta decisiva es si esa propuesta supera el error de categoría o si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La postura disidente alberga, sin embargo, tres tensiones internas. La primera tensión es que el voto preserva el vocabulario psicologista de la convicción para describir el resultado probatorio. La segunda tensión es que el voto supedita el estándar a la potestad del juzgador de modularlo caso por caso según la naturaleza de la irregularidad. La tercera tensión es que el voto formula la acreditación del impacto determinante mediante pautas que no se ajustan al umbral que el propio proyecto postula como aplicable. Los requisitos metodológicos permiten precisar el alcance y los límites de esa construcción.</w:t>
      </w:r>
    </w:p>
    <w:p>
      <w:pPr>
        <w:spacing w:before="0" w:after="0" w:line="360" w:lineRule="auto"/>
        <w:ind w:firstLine="709"/>
        <w:jc w:val="both"/>
      </w:pPr>
      <w:r>
        <w:rPr>
          <w:rFonts w:ascii="Arial" w:eastAsia="Arial" w:hAnsi="Arial" w:cs="Arial"/>
          <w:color w:val="000000"/>
          <w:sz w:val="24"/>
          <w:szCs w:val="24"/>
        </w:rPr>
        <w:t xml:space="preserve">La sentencia del SUP-JIN-194/2025 fue acompañada por dos votos particulares. Los formularon la magistrada Janine M. Otálora Malassis y el magistrado Reyes Rodríguez Mondragón, que quedaron en minoría.</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correspondía al SUP-JIN-194/2025 y acumulados, y el de Otálora Malassis al SUP-JIN-250/2025 y al SUP-JIN-255/2025, y ambos se rechazaron 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la magistrada declara compartir los razonamientos del proyecto rechazado de Rodríguez Mondragón. La magistrada afirma que los acordeones evidencian una operación estructural con probable participación de partidos y personas servidoras públicas, aunque sin prueba plena de su responsabilidad directa. La magistrada sostiene que la estrategia tuvo un impacto determinante tanto cuantitativa como cualitativamente.</w:t>
      </w:r>
    </w:p>
    <w:p>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parte, de 51 páginas, contiene el disenso y se funda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El autor examina en conjunto las sentencias de la mayoría, porque difieren en su redacción pero convergen en el sentido y en la explicación.</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El magistrado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una sección específica al estándar de valoración probatoria.</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En consecuencia, el voto ofrece una crítica y una alternativa completa de decisión. Esa alternativa descansa en una tesis central sobre los acordeones.</w:t>
      </w:r>
    </w:p>
    <w:p>
      <w:pPr>
        <w:spacing w:before="0" w:after="0" w:line="360" w:lineRule="auto"/>
        <w:ind w:firstLine="709"/>
        <w:jc w:val="both"/>
      </w:pPr>
      <w:r>
        <w:rPr>
          <w:rFonts w:ascii="Arial" w:eastAsia="Arial" w:hAnsi="Arial" w:cs="Arial"/>
          <w:color w:val="000000"/>
          <w:sz w:val="24"/>
          <w:szCs w:val="24"/>
        </w:rPr>
        <w:t xml:space="preserve">La tesis central del voto sostiene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juicio del disidente, esa operación actualizó la causal de financiamiento no permitido y la de violación de principios constitucionales. Esa misma operación no actualizó, según el voto, la causal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sigue ese orden temático. 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p>
    <w:p>
      <w:pPr>
        <w:spacing w:before="0" w:after="0" w:line="360" w:lineRule="auto"/>
        <w:ind w:firstLine="709"/>
        <w:jc w:val="both"/>
      </w:pPr>
      <w:r>
        <w:rPr>
          <w:rFonts w:ascii="Arial" w:eastAsia="Arial" w:hAnsi="Arial" w:cs="Arial"/>
          <w:color w:val="000000"/>
          <w:sz w:val="24"/>
          <w:szCs w:val="24"/>
        </w:rPr>
        <w:t xml:space="preserve">Según el disidente, las sentencias carecen de metodología probatoria. El voto añade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Según el voto, esa expresión designa el nivel que se alcanza tras aplicar el estándar y no es un estándar en sí misma. El voto considera revelador que la mayoría nunca explicite qué estándar aplica y se limite a exigir prueba plena o un convencimiento pleno. El voto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de la sentencia mayoritaria, en la que se identificaron expresiones como medios de convicción irrefutables y elementos de convicción inequívocos.</w:t>
      </w:r>
    </w:p>
    <w:p>
      <w:pPr>
        <w:spacing w:before="0" w:after="0" w:line="360" w:lineRule="auto"/>
        <w:ind w:firstLine="709"/>
        <w:jc w:val="both"/>
      </w:pPr>
      <w:r>
        <w:rPr>
          <w:rFonts w:ascii="Arial" w:eastAsia="Arial" w:hAnsi="Arial" w:cs="Arial"/>
          <w:color w:val="000000"/>
          <w:sz w:val="24"/>
          <w:szCs w:val="24"/>
        </w:rPr>
        <w:t xml:space="preserve">Entre los materiales examinados en esta investigación, ningún pronunciamiento anterior había distinguido con esa claridad entre la plena acreditación y el estándar que permite alcanzarla. La distinción que propone el voto es correcta a la luz del marco teórico de la investigación.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expresa esa idea con mayor precisión. Según el proyecto,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Por tanto, la definición del proyecto satisface el primer requisito metodológico. El cuerpo del voto emplea, sin embargo, otra definición de la plena acreditación.</w:t>
      </w:r>
    </w:p>
    <w:p>
      <w:pPr>
        <w:spacing w:before="0" w:after="0" w:line="360" w:lineRule="auto"/>
        <w:ind w:firstLine="709"/>
        <w:jc w:val="both"/>
      </w:pPr>
      <w:r>
        <w:rPr>
          <w:rFonts w:ascii="Arial" w:eastAsia="Arial" w:hAnsi="Arial" w:cs="Arial"/>
          <w:color w:val="000000"/>
          <w:sz w:val="24"/>
          <w:szCs w:val="24"/>
        </w:rPr>
        <w:t xml:space="preserve">El cuerpo del voto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por tanto, dos definiciones de la plena acreditación que no son equivalentes. La definición del proyecto es compatible con una concepción racionalista de la prueba. La definición del cuerpo del voto conserva el lenguaje del artículo 16, párrafo 3. En consecuencia, la primera tensión interna del voto se manifiesta ya en la definición del concepto que el propio voto pretende depurar. La teoría de los estándares, desarrollada en el proyecto incorporado al voto, ofrece la versión más depurada de la propuesta.</w:t>
      </w:r>
    </w:p>
    <w:p>
      <w:pPr>
        <w:spacing w:before="0" w:after="0" w:line="360" w:lineRule="auto"/>
        <w:ind w:firstLine="709"/>
        <w:jc w:val="both"/>
      </w:pPr>
      <w:r>
        <w:rPr>
          <w:rFonts w:ascii="Arial" w:eastAsia="Arial" w:hAnsi="Arial" w:cs="Arial"/>
          <w:color w:val="000000"/>
          <w:sz w:val="24"/>
          <w:szCs w:val="24"/>
        </w:rPr>
        <w:t xml:space="preserve">El proyecto define el estándar en términos afines a esta investigación. El proyecto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El proyecto les atribuye tres funciones, que son justificar la decisión, garantizar 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Según el proyecto, la prueba de una hipótesis depende del grado de corroboración que le aportan las pruebas y no del convencimiento del órgano.</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El proyecto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y excluye la subjetiva y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El voto incorpora de ese modo al debate jurisdiccional el aparato que diagnostica el error de categoría.</w:t>
      </w:r>
    </w:p>
    <w:p>
      <w:pPr>
        <w:spacing w:before="0" w:after="0" w:line="360" w:lineRule="auto"/>
        <w:ind w:firstLine="709"/>
        <w:jc w:val="both"/>
      </w:pPr>
      <w:r>
        <w:rPr>
          <w:rFonts w:ascii="Arial" w:eastAsia="Arial" w:hAnsi="Arial" w:cs="Arial"/>
          <w:color w:val="000000"/>
          <w:sz w:val="24"/>
          <w:szCs w:val="24"/>
        </w:rPr>
        <w:t xml:space="preserve">La mayoría, en contraste con el voto, no citó a Ferrer Beltrán y remitió a la escuela de libre convencimiento. Sobre la base de su teoría, el proyecto adopta dos estándares. Algunos hechos exigen acreditar la autoría, lo que requiere un umbral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 estándar es el de probabilidad prevalente, aplicable a la existencia de la propaganda prohibida y a su impacto en la validez de la elección. Conforme a ese estándar,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En consecuencia, el estándar prevalente se formula como una comparación entre hipótesis y no como un estado de convencimiento. El proyecto ofrece cuatro razones para justificar ese estándar.</w:t>
      </w:r>
    </w:p>
    <w:p>
      <w:pPr>
        <w:spacing w:before="0" w:after="0" w:line="360" w:lineRule="auto"/>
        <w:ind w:firstLine="709"/>
        <w:jc w:val="both"/>
      </w:pPr>
      <w:r>
        <w:rPr>
          <w:rFonts w:ascii="Arial" w:eastAsia="Arial" w:hAnsi="Arial" w:cs="Arial"/>
          <w:color w:val="000000"/>
          <w:sz w:val="24"/>
          <w:szCs w:val="24"/>
        </w:rPr>
        <w:t xml:space="preserve">El proyecto justifica el estándar prevalente en el diseño cerrado de la elección judicial y en que la causal de financiamiento prohibido no exige probar la autoría. El proyecto invoca el carácter objetivamente verificable de la propaganda y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La formulación remite a una relación entre el acervo y las hipótesis en conflicto, y no a un estado mental. Por tanto, la formulación satisface el primer requisito metodológico. La formulación satisface el segundo requisito, porque identifica el resultado probatorio mínimo, que es la prevalencia de la hipótesis actora sobre su negación. El estándar prevalente constituye, por ello, la parte más sólida de la propuesta del voto. El segundo estándar presenta rasgos distintos, porque se aplica a una cuestión de mayor gravedad.</w:t>
      </w:r>
    </w:p>
    <w:p>
      <w:pPr>
        <w:spacing w:before="0" w:after="0" w:line="360" w:lineRule="auto"/>
        <w:ind w:firstLine="709"/>
        <w:jc w:val="both"/>
      </w:pPr>
      <w:r>
        <w:rPr>
          <w:rFonts w:ascii="Arial" w:eastAsia="Arial" w:hAnsi="Arial" w:cs="Arial"/>
          <w:color w:val="000000"/>
          <w:sz w:val="24"/>
          <w:szCs w:val="24"/>
        </w:rPr>
        <w:t xml:space="preserve">El segundo estándar se aplica a la autoría de la propaganda por partidos políticos o personas servidoras públicas. El proyecto lo describe como más elevado y próximo al de presunción de inocencia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El proyecto justifica el estándar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con las instituciones, el conocimiento y la voluntad institucionales y el uso de recursos públicos. El proyecto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Su aplicación revela su carácter normativo.</w:t>
      </w:r>
    </w:p>
    <w:p>
      <w:pPr>
        <w:spacing w:before="0" w:after="0" w:line="360" w:lineRule="auto"/>
        <w:ind w:firstLine="709"/>
        <w:jc w:val="both"/>
      </w:pPr>
      <w:r>
        <w:rPr>
          <w:rFonts w:ascii="Arial" w:eastAsia="Arial" w:hAnsi="Arial" w:cs="Arial"/>
          <w:color w:val="000000"/>
          <w:sz w:val="24"/>
          <w:szCs w:val="24"/>
        </w:rPr>
        <w:t xml:space="preserve">El proyecto aplicó el estándar elevado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La evidencia no descartaba actuaciones individuales sin respaldo institucional, y el proyecto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 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Esas expresiones mezclan un criterio epistémico con la certeza y la convicción del decisor. La exigencia de inexorabilidad se aproxima a la certeza que el propio voto reprocha a la mayoría.</w:t>
      </w:r>
    </w:p>
    <w:p>
      <w:pPr>
        <w:spacing w:before="0" w:after="0" w:line="360" w:lineRule="auto"/>
        <w:ind w:firstLine="709"/>
        <w:jc w:val="both"/>
      </w:pPr>
      <w:r>
        <w:rPr>
          <w:rFonts w:ascii="Arial" w:eastAsia="Arial" w:hAnsi="Arial" w:cs="Arial"/>
          <w:color w:val="000000"/>
          <w:sz w:val="24"/>
          <w:szCs w:val="24"/>
        </w:rPr>
        <w:t xml:space="preserve">El estándar elevado cumple el segundo requisito metodológico, pero solo de manera parcial el primero. La diferenciación entre ambos estándares responde a la naturaleza del hecho y a la gravedad de sus consecuencias. Esa diferenciación no responde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La diferenciación es compatible, en cambio, con la tesis según la cual el nivel de exigencia expresa una decisión sobre la distribución del riesgo de error. En consecuencia, el voto aplica correctamente la función distributiva del estándar, aunque no la progresión procesal. La mayor dificultad de la propuesta no se encuentra, sin embargo, en la formulación de los estándares. La dificultad principal se encuentra en la fuente de la que el voto deriva la potestad de fijarlos. Esa fuente es el propio artículo 16 de la ley de medios, que el voto interpreta como una autorización para modular la exigencia.</w:t>
      </w:r>
    </w:p>
    <w:p>
      <w:pPr>
        <w:spacing w:before="0" w:after="0" w:line="360" w:lineRule="auto"/>
        <w:ind w:firstLine="709"/>
        <w:jc w:val="both"/>
      </w:pPr>
      <w:r>
        <w:rPr>
          <w:rFonts w:ascii="Arial" w:eastAsia="Arial" w:hAnsi="Arial" w:cs="Arial"/>
          <w:color w:val="000000"/>
          <w:sz w:val="24"/>
          <w:szCs w:val="24"/>
        </w:rPr>
        <w:t xml:space="preserve">El proyecto sostiene que el artículo 16 de la ley de medios configura un sistema de libre valoración. Ese sistema permitiría al órgano fijar el estándar y modular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El proyecto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precisión es coherente con la tesis de Ferrer Beltrán de que el estándar es una regla general y abstracta.</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La eficacia de esa precisión depende, sin embargo, de que tales precedentes hayan fijado estándares. La jurisprudencia electoral, como se ha mostrado, no los fijó.</w:t>
      </w:r>
    </w:p>
    <w:p>
      <w:pPr>
        <w:spacing w:before="0" w:after="0" w:line="360" w:lineRule="auto"/>
        <w:ind w:firstLine="709"/>
        <w:jc w:val="both"/>
      </w:pPr>
      <w:r>
        <w:rPr>
          <w:rFonts w:ascii="Arial" w:eastAsia="Arial" w:hAnsi="Arial" w:cs="Arial"/>
          <w:color w:val="000000"/>
          <w:sz w:val="24"/>
          <w:szCs w:val="24"/>
        </w:rPr>
        <w:t xml:space="preserve">El propio proyecto cita como precedente, entre otros asuntos de la Sala Superior, el caso Tabasco. Ese caso resolvió la suficiencia en términos de convencimiento y de posibilidad de un resultado distinto.</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invocó, por su parte,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en el silencio del artículo 16 sobre la suficiencia. El texto legal no permite preferir una posición sobre otra, porque no contiene ningún criterio de suficiencia. En consecuencia, la segunda tensión del voto consiste en fundar una regla general en un precepto que no la contiene. La misma tensión se advierte en el vocabulario del proyecto.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p>
    <w:p>
      <w:pPr>
        <w:spacing w:before="0" w:after="0" w:line="360" w:lineRule="auto"/>
        <w:ind w:firstLine="709"/>
        <w:jc w:val="both"/>
      </w:pPr>
      <w:r>
        <w:rPr>
          <w:rFonts w:ascii="Arial" w:eastAsia="Arial" w:hAnsi="Arial" w:cs="Arial"/>
          <w:color w:val="000000"/>
          <w:sz w:val="24"/>
          <w:szCs w:val="24"/>
        </w:rPr>
        <w:t xml:space="preserve">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de que la prueba no depende del convencimiento del órgano decisor. La coexistencia no invalida la teoría del proyecto. Esa coexistencia muestra que el lenguaje del artículo 16, párrafo 3, condiciona incluso a quien lo critica. El proyecto separa con claridad el cómo de la valoración y el cuánto de la decisión. Al expresar el cuánto, sin embargo, el proyecto alterna entre la corroboración y la convicción. Esta alternancia confirma que la corrección del error de categoría exige modificar el texto legal y no solo su interpretación. El segundo eje del voto se aparta de la teoría de los estándares y se dirige al método de valoración de la mayoría.</w:t>
      </w:r>
    </w:p>
    <w:p>
      <w:pPr>
        <w:spacing w:before="0" w:after="0" w:line="360" w:lineRule="auto"/>
        <w:ind w:firstLine="709"/>
        <w:jc w:val="both"/>
      </w:pPr>
      <w:r>
        <w:rPr>
          <w:rFonts w:ascii="Arial" w:eastAsia="Arial" w:hAnsi="Arial" w:cs="Arial"/>
          <w:color w:val="000000"/>
          <w:sz w:val="24"/>
          <w:szCs w:val="24"/>
        </w:rPr>
        <w:t xml:space="preserve">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El disidente recuerda que el artículo 16 de la ley de medios ordena valorar las pruebas en conjunto conforme a las reglas de la lógica, de la sana crítica y de la experiencia. El disidente califica la valoración mayoritaria como atomizada, superficial y formalista. La mayoría descalificó los acordeones por su buen estado, las publicaciones digitales por su fácil alteración, las notas por su leve fuerza indiciaria y los procedimientos sancionadores por su autonomía. Frente a ello el disidente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En consecuencia, la crítica a la fragmentación opone una lectura integral del acervo a una lectura atomizada. Las dimensiones de ese acervo explican la importancia de la crítica.</w:t>
      </w:r>
    </w:p>
    <w:p>
      <w:pPr>
        <w:spacing w:before="0" w:after="0" w:line="360" w:lineRule="auto"/>
        <w:ind w:firstLine="709"/>
        <w:jc w:val="both"/>
      </w:pPr>
      <w:r>
        <w:rPr>
          <w:rFonts w:ascii="Arial" w:eastAsia="Arial" w:hAnsi="Arial" w:cs="Arial"/>
          <w:color w:val="000000"/>
          <w:sz w:val="24"/>
          <w:szCs w:val="24"/>
        </w:rPr>
        <w:t xml:space="preserve">El acervo comprendía 3,188 acordeones impresos de siete modelos, 374 imágenes, videos, audios y enlaces, 45 procedimientos especiales sancionadores, 7 procedimientos de fiscalización y 38 carpetas de investigación. Se sumaban 156 medios de impugnación resueltos por la Sala Superior que aludían a los acordeones y que el voto considera hechos notorios. Según el disidente, estos elementos acreditan la dispersión de las guías en todas las entidades federativas. Los mismos elementos acreditan, según el voto, su concentración en el final de la campaña, la veda y la jornada electoral. El proyecto invoca el criterio reiterado de la Sala de analizar las irregularidades de manera integral, sin seccionar los hechos. El proyecto cita como precedente de ese criterio el SUP-JRC-221/2003.</w:t>
      </w:r>
      <w:r>
        <w:rPr>
          <w:rFonts w:ascii="Arial" w:eastAsia="Arial" w:hAnsi="Arial" w:cs="Arial"/>
          <w:color w:val="000000"/>
          <w:sz w:val="24"/>
          <w:szCs w:val="24"/>
          <w:vertAlign w:val="superscript"/>
        </w:rPr>
        <w:footnoteReference w:id="479"/>
      </w:r>
      <w:r>
        <w:rPr>
          <w:rFonts w:ascii="Arial" w:eastAsia="Arial" w:hAnsi="Arial" w:cs="Arial"/>
          <w:color w:val="000000"/>
          <w:sz w:val="24"/>
          <w:szCs w:val="24"/>
        </w:rPr>
        <w:t xml:space="preserve"> Por tanto, la crítica del voto invoca la propia doctrina de la Sala contra la decisión mayoritaria. El voto formula reproches concretos a la valoración individual.</w:t>
      </w:r>
    </w:p>
    <w:p>
      <w:pPr>
        <w:spacing w:before="0" w:after="0" w:line="360" w:lineRule="auto"/>
        <w:ind w:firstLine="709"/>
        <w:jc w:val="both"/>
      </w:pPr>
      <w:r>
        <w:rPr>
          <w:rFonts w:ascii="Arial" w:eastAsia="Arial" w:hAnsi="Arial" w:cs="Arial"/>
          <w:color w:val="000000"/>
          <w:sz w:val="24"/>
          <w:szCs w:val="24"/>
        </w:rPr>
        <w:t xml:space="preserve">El voto considera absurdo desestimar los acordeones físicos por su buen estado. Según el voto,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El voto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El voto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El voto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Todos ellos se refieren a pruebas que la mayoría consideró ausentes o insuficientes.</w:t>
      </w:r>
    </w:p>
    <w:p>
      <w:pPr>
        <w:spacing w:before="0" w:after="0" w:line="360" w:lineRule="auto"/>
        <w:ind w:firstLine="709"/>
        <w:jc w:val="both"/>
      </w:pPr>
      <w:r>
        <w:rPr>
          <w:rFonts w:ascii="Arial" w:eastAsia="Arial" w:hAnsi="Arial" w:cs="Arial"/>
          <w:color w:val="000000"/>
          <w:sz w:val="24"/>
          <w:szCs w:val="24"/>
        </w:rPr>
        <w:t xml:space="preserve">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Por ello el desacuerdo versa sobre si se alcanzó un resultado probatorio mínimo que la mayoría no definió como regla. Sin un estándar común formulado en términos de resultados, el mismo acervo pudo calificarse como insuficiente por la mayoría y como bastante por la minoría. En consecuencia, la crítica a la fragmentación desemboca en el mismo punto que la denuncia sobre el estándar. El voto aborda por separado el impacto determinante de la irregularidad. El voto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Esa omisión obliga al voto a construir su propio análisis de la determinancia con los tres factores conocidos.</w:t>
      </w:r>
    </w:p>
    <w:p>
      <w:pPr>
        <w:spacing w:before="0" w:after="0" w:line="360" w:lineRule="auto"/>
        <w:ind w:firstLine="709"/>
        <w:jc w:val="both"/>
      </w:pPr>
      <w:r>
        <w:rPr>
          <w:rFonts w:ascii="Arial" w:eastAsia="Arial" w:hAnsi="Arial" w:cs="Arial"/>
          <w:color w:val="000000"/>
          <w:sz w:val="24"/>
          <w:szCs w:val="24"/>
        </w:rPr>
        <w:t xml:space="preserve">El voto expone los tres factores de la determinancia con fórmulas afines a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el factor constitucional, la diferencia entre las ganadoras con menos votos y las perdedoras con más votos fue inferior al cinco por ciento. En cuanto al factor cuantitativo, el voto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El voto invoca una correlación del 92.4 por ciento entre acordeones y resultados. El voto invoca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Por tanto, el proyecto no pretende cuantificar la probabilidad de la hipótesis, sino corroborarla. El proyecto justifica ese uso en una dificultad probatoria específica.</w:t>
      </w:r>
    </w:p>
    <w:p>
      <w:pPr>
        <w:spacing w:before="0" w:after="0" w:line="360" w:lineRule="auto"/>
        <w:ind w:firstLine="709"/>
        <w:jc w:val="both"/>
      </w:pPr>
      <w:r>
        <w:rPr>
          <w:rFonts w:ascii="Arial" w:eastAsia="Arial" w:hAnsi="Arial" w:cs="Arial"/>
          <w:color w:val="000000"/>
          <w:sz w:val="24"/>
          <w:szCs w:val="24"/>
        </w:rPr>
        <w:t xml:space="preserve">El proyecto justifica el uso de la estadística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el voto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r>
        <w:rPr>
          <w:rFonts w:ascii="Arial" w:eastAsia="Arial" w:hAnsi="Arial" w:cs="Arial"/>
          <w:color w:val="000000"/>
          <w:sz w:val="24"/>
          <w:szCs w:val="24"/>
        </w:rPr>
        <w:t xml:space="preserve"> En consecuencia, el voto construye la determinancia con los tres factores tradicionales. Esa construcción aporta una base empírica que la mayoría no examinó. La relación entre esa construcción y los estándares que el propio voto propuso requiere, sin embargo, un examen cuidadoso. Esa relación constituye la tercera tensión interna del voto. La tensión aparece al comparar las pautas de la determinancia con el umbral prevalente que el proyecto declaró aplicable al impacto.</w:t>
      </w:r>
    </w:p>
    <w:p>
      <w:pPr>
        <w:spacing w:before="0" w:after="0" w:line="360" w:lineRule="auto"/>
        <w:ind w:firstLine="709"/>
        <w:jc w:val="both"/>
      </w:pPr>
      <w:r>
        <w:rPr>
          <w:rFonts w:ascii="Arial" w:eastAsia="Arial" w:hAnsi="Arial" w:cs="Arial"/>
          <w:color w:val="000000"/>
          <w:sz w:val="24"/>
          <w:szCs w:val="24"/>
        </w:rPr>
        <w:t xml:space="preserve">El tratamiento de la determinancia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En consecuencia, el proyecto oscila entre una formulación débil y otra fuerte del resultado, sin indicar cuál satisface el estándar declarado.</w:t>
      </w:r>
    </w:p>
    <w:p>
      <w:pPr>
        <w:spacing w:before="0" w:after="0" w:line="360" w:lineRule="auto"/>
        <w:ind w:firstLine="709"/>
        <w:jc w:val="both"/>
      </w:pPr>
      <w:r>
        <w:rPr>
          <w:rFonts w:ascii="Arial" w:eastAsia="Arial" w:hAnsi="Arial" w:cs="Arial"/>
          <w:color w:val="000000"/>
          <w:sz w:val="24"/>
          <w:szCs w:val="24"/>
        </w:rPr>
        <w:t xml:space="preserve">La mayoría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w:t>
      </w:r>
      <w:r>
        <w:rPr>
          <w:rFonts w:ascii="Arial" w:eastAsia="Arial" w:hAnsi="Arial" w:cs="Arial"/>
          <w:color w:val="000000"/>
          <w:sz w:val="24"/>
          <w:szCs w:val="24"/>
          <w:vertAlign w:val="superscript"/>
        </w:rPr>
        <w:footnoteReference w:id="497"/>
      </w:r>
      <w:r>
        <w:rPr>
          <w:rFonts w:ascii="Arial" w:eastAsia="Arial" w:hAnsi="Arial" w:cs="Arial"/>
          <w:color w:val="000000"/>
          <w:sz w:val="24"/>
          <w:szCs w:val="24"/>
        </w:rPr>
        <w:t xml:space="preserve"> El desacuerdo sobre la determinancia se reduce, por ello, a juicios opuestos sobre la fuerza de una misma evidencia estadística. Los factores de la determinancia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Por tanto, la ruptura es más nítida en la prueba de la irregularidad que en la prueba de su impacto.</w:t>
      </w:r>
    </w:p>
    <w:p>
      <w:pPr>
        <w:spacing w:before="0" w:after="0" w:line="360" w:lineRule="auto"/>
        <w:ind w:firstLine="709"/>
        <w:jc w:val="both"/>
      </w:pPr>
      <w:r>
        <w:rPr>
          <w:rFonts w:ascii="Arial" w:eastAsia="Arial" w:hAnsi="Arial" w:cs="Arial"/>
          <w:color w:val="000000"/>
          <w:sz w:val="24"/>
          <w:szCs w:val="24"/>
        </w:rPr>
        <w:t xml:space="preserve">Esa conclusión no resta mérito al esfuerzo empírico del proyecto. Esa conclusión indica que el error de categoría se localiza en la estructura de la determinancia y no solo en la actitud de quienes la aplican. La evaluación de conjunto permite medir con precisión el alcance del voto. Frente al primer requisito, el proyecto remite la prueba al grado de corroboración, aunque el voto conserva expresiones de convicción y certeza. Frente al segundo, formula umbrales para la irregularidad y la autoría, pero no aplica el suyo con consistencia al impacto. Frente al tercero, adopta la probabilidad inductiva y usa la estadística como refuerzo de la inferencia. Frente al cuarto, el proyecto diferencia estándares según el hecho y la gravedad de la atribución, aunque los hace depender de la modulación judicial. En consecuencia, el voto supera a la sentencia mayoritaria en los cuatro requisitos.</w:t>
      </w:r>
    </w:p>
    <w:p>
      <w:pPr>
        <w:spacing w:before="0" w:after="0" w:line="360" w:lineRule="auto"/>
        <w:ind w:firstLine="709"/>
        <w:jc w:val="both"/>
      </w:pPr>
      <w:r>
        <w:rPr>
          <w:rFonts w:ascii="Arial" w:eastAsia="Arial" w:hAnsi="Arial" w:cs="Arial"/>
          <w:color w:val="000000"/>
          <w:sz w:val="24"/>
          <w:szCs w:val="24"/>
        </w:rPr>
        <w:t xml:space="preserve">De los textos examinados, el voto es el único que formula criterios de suficiencia en términos de relación entre hipótesis. Sus limitaciones derivan de la necesidad de construir el estándar sin apoyo en el texto legal. 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 punto es el vocabulario de la convicción, que reaparece cuando el voto describe el resultado probatorio. El segundo punto es la fuente del estándar, que el voto sitúa en la libertad de valoración del artículo 16. Ambos puntos derivan de la cláusula híbrida, que combina un método racional con un umbral psicológico y no asigna a nadie la competencia para fijar la suficiencia.</w:t>
      </w:r>
    </w:p>
    <w:p>
      <w:pPr>
        <w:spacing w:before="0" w:after="0" w:line="360" w:lineRule="auto"/>
        <w:ind w:firstLine="709"/>
        <w:jc w:val="both"/>
      </w:pPr>
      <w:r>
        <w:rPr>
          <w:rFonts w:ascii="Arial" w:eastAsia="Arial" w:hAnsi="Arial" w:cs="Arial"/>
          <w:color w:val="000000"/>
          <w:sz w:val="24"/>
          <w:szCs w:val="24"/>
        </w:rPr>
        <w:t xml:space="preserve">El disidente identifica el vacío de la cláusula híbrida y lo llena con una construcción jurisprudencial que la mayoría no compartió. 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Los disidentes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entre ambos disensos es, sin embargo, conceptual.</w:t>
      </w:r>
    </w:p>
    <w:p>
      <w:pPr>
        <w:spacing w:before="0" w:after="0" w:line="360" w:lineRule="auto"/>
        <w:ind w:firstLine="709"/>
        <w:jc w:val="both"/>
      </w:pPr>
      <w:r>
        <w:rPr>
          <w:rFonts w:ascii="Arial" w:eastAsia="Arial" w:hAnsi="Arial" w:cs="Arial"/>
          <w:color w:val="000000"/>
          <w:sz w:val="24"/>
          <w:szCs w:val="24"/>
        </w:rPr>
        <w:t xml:space="preserve">En 2000 ninguna de las posiciones cuestionó la ausencia de un estándar. En 2025 el disidente convierte esa ausencia en el núcleo de su crítica y propone dos estándares. Ambos disensos coinciden, no obstante, en conservar expresiones de convicción. Ambos resuelven la determinancia con los factores cuantitativo y cualitativo heredados de la jurisprudencia. La crítica de 2025 tiene un antecedente en los votos del propio magistrado. En el SUP-REC-1388/2018, relativo a la elección de la alcaldía de Coyoacán, la Sala Superior concluyó que la violencia política por razón de género acreditada no era determinante.</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Por consiguiente, la crítica de 2025 no surgió de manera aislada, sino que prolonga una reflexión iniciada siete años antes.</w:t>
      </w:r>
    </w:p>
    <w:p>
      <w:pPr>
        <w:spacing w:before="0" w:after="0" w:line="360" w:lineRule="auto"/>
        <w:ind w:firstLine="709"/>
        <w:jc w:val="both"/>
      </w:pPr>
      <w:r>
        <w:rPr>
          <w:rFonts w:ascii="Arial" w:eastAsia="Arial" w:hAnsi="Arial" w:cs="Arial"/>
          <w:color w:val="000000"/>
          <w:sz w:val="24"/>
          <w:szCs w:val="24"/>
        </w:rPr>
        <w:t xml:space="preserve">El voto de 2018 anticipa tres argumentos. Respecto del uso de un programa social, el magistrado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El magistrado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el magistrado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El magistrado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que son la clandestinidad, el rechazo de las pruebas irrefutables y la innecesidad de probar la autoría, reaparecen en 2025. En 2018 el disidente objetó el nivel de exigencia sin identificar qué estándar debía aplicarse. En 2025, en cambio, el disidente formuló dos estándares diferenciados.</w:t>
      </w:r>
    </w:p>
    <w:p>
      <w:pPr>
        <w:spacing w:before="0" w:after="0" w:line="360" w:lineRule="auto"/>
        <w:ind w:firstLine="709"/>
        <w:jc w:val="both"/>
      </w:pPr>
      <w:r>
        <w:rPr>
          <w:rFonts w:ascii="Arial" w:eastAsia="Arial" w:hAnsi="Arial" w:cs="Arial"/>
          <w:color w:val="000000"/>
          <w:sz w:val="24"/>
          <w:szCs w:val="24"/>
        </w:rPr>
        <w:t xml:space="preserve">La continuidad entre ambos votos muestra que la explicitación del estándar fue el resultado de una elaboración progresiva en los votos de un mismo magistrado. La crítica del voto carece, sin embargo, de efectos vinculantes. El voto particular expresa la posición de quien disiente y no integra las razones que sustentan la decisión. Su valor para esta investigación es de otra índole. El voto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w:t>
      </w:r>
    </w:p>
    <w:p>
      <w:pPr>
        <w:spacing w:before="0" w:after="0" w:line="360" w:lineRule="auto"/>
        <w:ind w:firstLine="709"/>
        <w:jc w:val="both"/>
      </w:pPr>
      <w:r>
        <w:rPr>
          <w:rFonts w:ascii="Arial" w:eastAsia="Arial" w:hAnsi="Arial" w:cs="Arial"/>
          <w:color w:val="000000"/>
          <w:sz w:val="24"/>
          <w:szCs w:val="24"/>
        </w:rPr>
        <w:t xml:space="preserve">La indeterminación del umbral depende de la estructura de la cláusula híbrida y no de la calidad técnica de quienes deciden. Por ello la experiencia de 2025 sugiere que la corrección del error de categoría no puede confiarse únicamente a la evolución jurisprudencial. Esa experiencia fundamenta una reforma legal. El análisis del voto permite formular cuatro conclusiones. La primera conclusión atribuye el disenso probatorio al magistrado Rodríguez Mondragón, al que se adhiere la magistrada Otálora Malassis. La segunda sostiene que el voto denuncia la falta de estándar explícito y formula una teoría apoyada en Ferrer Beltrán. La tercera conclusión sostiene que el voto propone dos umbrales identificables y aplica el más elevado aun en contra de su propia pretensión. La cuarta sostiene que la construcción conserva tres tensiones, que son la convicción, la modulación judicial y un impacto ajeno al estándar declarado.</w:t>
      </w:r>
    </w:p>
    <w:p>
      <w:pPr>
        <w:spacing w:before="0" w:after="0" w:line="360" w:lineRule="auto"/>
        <w:ind w:firstLine="709"/>
        <w:jc w:val="both"/>
      </w:pPr>
      <w:r>
        <w:rPr>
          <w:rFonts w:ascii="Arial" w:eastAsia="Arial" w:hAnsi="Arial" w:cs="Arial"/>
          <w:color w:val="000000"/>
          <w:sz w:val="24"/>
          <w:szCs w:val="24"/>
        </w:rPr>
        <w:t xml:space="preserve">La ruptura de 2025 es real en el diagnóstico y en la teoría, y parcial en la aplicación. Sus límites derivan de un precepto que combina un método racional, una tasación legal y un umbral psicológico. Ese precepto no atribuye a nadie la fijación de la suficiencia. La persistencia de ese diseño a lo largo de veinticinco años exige elevar el análisis del caso concreto a la teoría del precepto. Los casos de 2000 y de 2025 muestran los síntomas, pero no explican la naturaleza de la cláusula que los produce. Por consiguiente, la investigación requiere una caracterización teórica del artículo 16. Esa caracterización debe precisar qué modelos de valoración combina la cláusula y por qué su combinación impide fijar un umbral. La noción de cláusula mixta de valoración probatoria ofrece el marco adecuado para esa caracterización.</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Ni la mayoría ni la disidencia del SUP-JIN-194/2025 pudieron apoyarse en una regla legal de suficiencia. Ambas hallaron en el artículo 16 respaldo para umbrales distintos. La estructura de ese precepto permite calificarlo como una cláusula mixta de valoración probatoria. Esa expresión retoma y precisa la noción de cláusula híbrida.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en los textos legales y en estudios sobre la práctica de la Sala Superior.</w:t>
      </w:r>
    </w:p>
    <w:p>
      <w:pPr>
        <w:spacing w:before="0" w:after="0" w:line="360" w:lineRule="auto"/>
        <w:ind w:firstLine="709"/>
        <w:jc w:val="both"/>
      </w:pPr>
      <w:r>
        <w:rPr>
          <w:rFonts w:ascii="Arial" w:eastAsia="Arial" w:hAnsi="Arial" w:cs="Arial"/>
          <w:color w:val="000000"/>
          <w:sz w:val="24"/>
          <w:szCs w:val="24"/>
        </w:rPr>
        <w:t xml:space="preserve">El examen de la cláusula mixta sigue un orden progresivo. El punto de partida son los sistemas de valoración y la noción clásica de sistema mixto. Sobre esa base se define la cláusula mixta, se deslinda de la textura abierta y de la ambigüedad, y se describe la anatomía del artículo 16. El análisis examina después el funcionamiento inerte del componente racional, las reglas jurisprudenciales de peso y las cláusulas análogas. Las consecuencias dogmáticas de la calificación y su relación con el error de categoría cierran el examen. 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w:t>
      </w:r>
    </w:p>
    <w:p>
      <w:pPr>
        <w:spacing w:before="0" w:after="0" w:line="360" w:lineRule="auto"/>
        <w:ind w:firstLine="709"/>
        <w:jc w:val="both"/>
      </w:pPr>
      <w:r>
        <w:rPr>
          <w:rFonts w:ascii="Arial" w:eastAsia="Arial" w:hAnsi="Arial" w:cs="Arial"/>
          <w:color w:val="000000"/>
          <w:sz w:val="24"/>
          <w:szCs w:val="24"/>
        </w:rPr>
        <w:t xml:space="preserve">El sistema de íntima convicción, propio del jurado popular de la Revolución Francesa, permitía decidir sin justificar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Esa falta de justificación impedía el control de la decisión. Zeferín Hernández recuerda que Ferrajoli lo calificó como una de las páginas políticamente más amargas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La sana crítica surgió en la legislación española del siglo XIX y concede libertad sujeta a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porque el artículo 16 emplea el vocabulario de la sana crítica y el de la convicción en el mismo precepto.</w:t>
      </w:r>
    </w:p>
    <w:p>
      <w:pPr>
        <w:spacing w:before="0" w:after="0" w:line="360" w:lineRule="auto"/>
        <w:ind w:firstLine="709"/>
        <w:jc w:val="both"/>
      </w:pPr>
      <w:r>
        <w:rPr>
          <w:rFonts w:ascii="Arial" w:eastAsia="Arial" w:hAnsi="Arial" w:cs="Arial"/>
          <w:color w:val="000000"/>
          <w:sz w:val="24"/>
          <w:szCs w:val="24"/>
        </w:rPr>
        <w:t xml:space="preserve">La doctrina reconoce los llamados sistemas mixtos entre los dos polos.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Esa combinación constituye el punto central del sistema mixto. El proceso penal mexicano posterior a 1931 adoptó ese esquema, con valor tasado para los documentos públicos y libre para las periciales y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autor recoge la opinión de Devis Echandía, para quien solo existe un sistema legal atenuado, porque la tasa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w:t>
      </w:r>
    </w:p>
    <w:p>
      <w:pPr>
        <w:spacing w:before="0" w:after="0" w:line="360" w:lineRule="auto"/>
        <w:ind w:firstLine="709"/>
        <w:jc w:val="both"/>
      </w:pPr>
      <w:r>
        <w:rPr>
          <w:rFonts w:ascii="Arial" w:eastAsia="Arial" w:hAnsi="Arial" w:cs="Arial"/>
          <w:color w:val="000000"/>
          <w:sz w:val="24"/>
          <w:szCs w:val="24"/>
        </w:rPr>
        <w:t xml:space="preserve">Ferrer Beltrán advierte que ni siquiera la prueba legal puede ser pura.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Esa combinación no constituye por sí misma un defecto. El problema del artículo 16 es otro y requiere una categoría distinta. Esta investigación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La noción se refiere a la coexistencia, en un solo precepto, de un método de valoración, de reglas legales de peso y de un criterio de suficiencia.</w:t>
      </w:r>
    </w:p>
    <w:p>
      <w:pPr>
        <w:spacing w:before="0" w:after="0" w:line="360" w:lineRule="auto"/>
        <w:ind w:firstLine="709"/>
        <w:jc w:val="both"/>
      </w:pPr>
      <w:r>
        <w:rPr>
          <w:rFonts w:ascii="Arial" w:eastAsia="Arial" w:hAnsi="Arial" w:cs="Arial"/>
          <w:color w:val="000000"/>
          <w:sz w:val="24"/>
          <w:szCs w:val="24"/>
        </w:rPr>
        <w:t xml:space="preserve">El método de valoración responde a la pregunta sobre cómo se valora. El criterio de suficiencia responde a la pregunta sobre cuánto basta. Las reglas de peso ocupan un lugar intermedio, porque fijan de antemano el valor de ciertos medios, pero no el grado de corroboración que exige la decisión. Por tanto, la cláusula mixta se define por tres rasgos. El primer rasgo es que declara un método racional de valoración. El segundo rasgo es que asigna valores legales a ciertos medios de prueba. El tercer rasgo es que expresa la suficiencia en términos de convicción del órgano que decide, sin remitir a un resultado probatorio mínimo. El defecto de la cláusula está en omitir la regla que ordena esos elementos y en confiar la suficiencia a un estado mental.</w:t>
      </w:r>
    </w:p>
    <w:p>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Ambas expresiones designan el mismo fenómeno, observado desde perspectivas diferentes. La denominación híbrida subraya la procedencia heterogénea de las fórmulas reunidas en el precepto, como la sana crítica de origen español.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Esa regla de peso es derrotable y no impide al órgano valorar la prueba contraria. Por ello la tensión principal del precepto se da entre el método y el criterio de suficiencia del párrafo 3, y ese matiz evita sobrestimar la rigidez del régimen de las documentales públicas.</w:t>
      </w:r>
    </w:p>
    <w:p>
      <w:pPr>
        <w:spacing w:before="0" w:after="0" w:line="360" w:lineRule="auto"/>
        <w:ind w:firstLine="709"/>
        <w:jc w:val="both"/>
      </w:pPr>
      <w:r>
        <w:rPr>
          <w:rFonts w:ascii="Arial" w:eastAsia="Arial" w:hAnsi="Arial" w:cs="Arial"/>
          <w:color w:val="000000"/>
          <w:sz w:val="24"/>
          <w:szCs w:val="24"/>
        </w:rPr>
        <w:t xml:space="preserve">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El autor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Ese defecto consiste en que el precepto, aun leído con claridad, no contiene una regla que indique cuánta corroboración basta. La ambigüedad plantea un problema diferente, porque se refiere a la pluralidad de significados de una expresión.</w:t>
      </w:r>
    </w:p>
    <w:p>
      <w:pPr>
        <w:spacing w:before="0" w:after="0" w:line="360" w:lineRule="auto"/>
        <w:ind w:firstLine="709"/>
        <w:jc w:val="both"/>
      </w:pPr>
      <w:r>
        <w:rPr>
          <w:rFonts w:ascii="Arial" w:eastAsia="Arial" w:hAnsi="Arial" w:cs="Arial"/>
          <w:color w:val="000000"/>
          <w:sz w:val="24"/>
          <w:szCs w:val="24"/>
        </w:rPr>
        <w:t xml:space="preserve">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 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En consecuencia, la indeterminación resultante es mayor que la de un término vago.</w:t>
      </w:r>
    </w:p>
    <w:p>
      <w:pPr>
        <w:spacing w:before="0" w:after="0" w:line="360" w:lineRule="auto"/>
        <w:ind w:firstLine="709"/>
        <w:jc w:val="both"/>
      </w:pPr>
      <w:r>
        <w:rPr>
          <w:rFonts w:ascii="Arial" w:eastAsia="Arial" w:hAnsi="Arial" w:cs="Arial"/>
          <w:color w:val="000000"/>
          <w:sz w:val="24"/>
          <w:szCs w:val="24"/>
        </w:rPr>
        <w:t xml:space="preserve">El SUP-JIN-194/2025 mostró el efecto de esa indeterminación. Sobre el mismo texto se sostuvieron un estándar flexible, la probabilidad prevalente y la exigencia de medios de convicción irrefutables. Ninguna técnica interpretativa aplicada a los términos del precepto podía decidir entre esas opciones. 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Ese párrafo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w:t>
      </w:r>
    </w:p>
    <w:p>
      <w:pPr>
        <w:spacing w:before="0" w:after="0" w:line="360" w:lineRule="auto"/>
        <w:ind w:firstLine="709"/>
        <w:jc w:val="both"/>
      </w:pPr>
      <w:r>
        <w:rPr>
          <w:rFonts w:ascii="Arial" w:eastAsia="Arial" w:hAnsi="Arial" w:cs="Arial"/>
          <w:color w:val="000000"/>
          <w:sz w:val="24"/>
          <w:szCs w:val="24"/>
        </w:rPr>
        <w:t xml:space="preserve">El párrafo 3 del artículo 16 regula el resto de los medios, desde las documentales privadas y las técnicas hasta las periciales. Esos medios solo hacen prueba plena cuando, a juicio del órgano, los elementos del expediente, las afirmaciones de las partes, la verdad conocida y el recto raciocinio generen convicción.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regula la admisión de pruebas fuera de plazo. Por tanto, la cláusula mixta se localiza en los párrafos 1 a 3. La misma estructura se reproduce en el procedimiento especial sancionador. Esa reproducción muestra que la cláusula no es un rasgo aislado de la ley de medios.</w:t>
      </w:r>
    </w:p>
    <w:p>
      <w:pPr>
        <w:spacing w:before="0" w:after="0" w:line="360" w:lineRule="auto"/>
        <w:ind w:firstLine="709"/>
        <w:jc w:val="both"/>
      </w:pPr>
      <w:r>
        <w:rPr>
          <w:rFonts w:ascii="Arial" w:eastAsia="Arial" w:hAnsi="Arial" w:cs="Arial"/>
          <w:color w:val="000000"/>
          <w:sz w:val="24"/>
          <w:szCs w:val="24"/>
        </w:rPr>
        <w:t xml:space="preserve">En el SRE-PSC-236/2024, sobre las conferencias matutinas del Ejecutivo federal, la Sala Regional Especializada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Las pruebas se valoran en conjunto conforme a la lógica, la experiencia y la sana crítica, para que produzcan convicción sobre los hechos. Esa fórmula reproduce la estructura del artículo 16. Las documentales públicas tienen pleno valor probatorio, y las privadas y técnicas en principio solo generan indicios. Estas últimas hacen prueba plena al concatenarse con los demás elementos del expediente conforme al recto raciocinio. En consecuencia, la cláusula mixta es el modelo de valoración del derecho electoral federal. En esa sentencia la expresión reglas de la lógica aparece una sola vez, en la sección destinada a enunciar el régimen de valoración. El dato muestra que el método se enuncia como marco general, aunque no prueba la ausencia de razonamiento probatorio.</w:t>
      </w:r>
    </w:p>
    <w:p>
      <w:pPr>
        <w:spacing w:before="0" w:after="0" w:line="360" w:lineRule="auto"/>
        <w:ind w:firstLine="709"/>
        <w:jc w:val="both"/>
      </w:pPr>
      <w:r>
        <w:rPr>
          <w:rFonts w:ascii="Arial" w:eastAsia="Arial" w:hAnsi="Arial" w:cs="Arial"/>
          <w:color w:val="000000"/>
          <w:sz w:val="24"/>
          <w:szCs w:val="24"/>
        </w:rPr>
        <w:t xml:space="preserve">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Según el autor, los juzgadores suelen tener por demostrada una afirmación conforme a las reglas de la lógica sin indicar qué lógica ni qué regla aplican. El autor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Adminiculadas con las manifestaciones de los involucrados, esas pruebas acreditaban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Otro precedente muestra el mismo uso en sentido inverso.</w:t>
      </w:r>
    </w:p>
    <w:p>
      <w:pPr>
        <w:spacing w:before="0" w:after="0" w:line="360" w:lineRule="auto"/>
        <w:ind w:firstLine="709"/>
        <w:jc w:val="both"/>
      </w:pPr>
      <w:r>
        <w:rPr>
          <w:rFonts w:ascii="Arial" w:eastAsia="Arial" w:hAnsi="Arial" w:cs="Arial"/>
          <w:color w:val="000000"/>
          <w:sz w:val="24"/>
          <w:szCs w:val="24"/>
        </w:rPr>
        <w:t xml:space="preserve">En el SUP-JRC-273/2010, relativo a la elección de gobernador de Durango, la Sala sostuvo que dos notas periodísticas no bastaban para conceder fuerza probatoria plena. La Sala fundó esa conclusión en las reglas de la lógica, la sana crítica y las máximas de experiencia.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Montoya Zamora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 En consecuencia, las mismas reglas de la lógica sirven para acreditar a plenitud en un caso y para negar la plenitud en otro. El método invocado no explica por qué el umbral se alcanzó en un caso y no en el otro. Esa inercia del componente racional deja la suficiencia en manos del criterio de convicción del párrafo 3.</w:t>
      </w:r>
    </w:p>
    <w:p>
      <w:pPr>
        <w:spacing w:before="0" w:after="0" w:line="360" w:lineRule="auto"/>
        <w:ind w:firstLine="709"/>
        <w:jc w:val="both"/>
      </w:pPr>
      <w:r>
        <w:rPr>
          <w:rFonts w:ascii="Arial" w:eastAsia="Arial" w:hAnsi="Arial" w:cs="Arial"/>
          <w:color w:val="000000"/>
          <w:sz w:val="24"/>
          <w:szCs w:val="24"/>
        </w:rPr>
        <w:t xml:space="preserve">El diagnóstico sobre el componente racional requiere un matiz. La falta de definición de la expresión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El SUP-JIN-194/2025 enunció, por su parte, requisitos controlables para la prueba indiciaria. Por tanto, la inercia no afecta al método en todos los casos. La inercia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y esa es la acepción precisa en que aquí se habla de funcionamiento inerte.</w:t>
      </w:r>
    </w:p>
    <w:p>
      <w:pPr>
        <w:spacing w:before="0" w:after="0" w:line="360" w:lineRule="auto"/>
        <w:ind w:firstLine="709"/>
        <w:jc w:val="both"/>
      </w:pPr>
      <w:r>
        <w:rPr>
          <w:rFonts w:ascii="Arial" w:eastAsia="Arial" w:hAnsi="Arial" w:cs="Arial"/>
          <w:color w:val="000000"/>
          <w:sz w:val="24"/>
          <w:szCs w:val="24"/>
        </w:rPr>
        <w:t xml:space="preserve">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esas circunstancias concurren, los elementos faltantes para alcanzar la fuerza probatoria plena son menores. La jurisprudencia no impone una fórmula aritmética ni exige un número determinado de notas. La jurisprudencia tampoco exige, en su texto, que las notas se adminiculen con documentales de un tipo específico. Su aportación consiste en criterios racionales para graduar el peso del indicio. En consecuencia, la jurisprudencia 38/2002 mejora la valoración, pero deja sin respuesta la pregunta por el punto en que se alcanza la plenitud.</w:t>
      </w:r>
    </w:p>
    <w:p>
      <w:pPr>
        <w:spacing w:before="0" w:after="0" w:line="360" w:lineRule="auto"/>
        <w:ind w:firstLine="709"/>
        <w:jc w:val="both"/>
      </w:pPr>
      <w:r>
        <w:rPr>
          <w:rFonts w:ascii="Arial" w:eastAsia="Arial" w:hAnsi="Arial" w:cs="Arial"/>
          <w:color w:val="000000"/>
          <w:sz w:val="24"/>
          <w:szCs w:val="24"/>
        </w:rPr>
        <w:t xml:space="preserve">La jurisprudencia 38/2002 no establece el punto en que la escala del indicio simple al indicio de mayor grado alcanza la plenitud. El problema de la suficiencia se desplazó del texto legal a la jurisprudencia, sin resolverse. La plenitud siguió dependiendo del grado convictivo, que es el vocabulario del párrafo 3 del artículo 16. 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La razón es 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Según la misma jurisprudencia, esa prueba no se rige por un sistema tasado y se valora con la lógica y las máximas de la experiencia como fuente de indicios.</w:t>
      </w:r>
    </w:p>
    <w:p>
      <w:pPr>
        <w:spacing w:before="0" w:after="0" w:line="360" w:lineRule="auto"/>
        <w:ind w:firstLine="709"/>
        <w:jc w:val="both"/>
      </w:pPr>
      <w:r>
        <w:rPr>
          <w:rFonts w:ascii="Arial" w:eastAsia="Arial" w:hAnsi="Arial" w:cs="Arial"/>
          <w:color w:val="000000"/>
          <w:sz w:val="24"/>
          <w:szCs w:val="24"/>
        </w:rPr>
        <w:t xml:space="preserve">Las jurisprudencias 4/2014 y 11/2002 funcionan como reglas de peso de origen jurisprudencial. Esas reglas se suman a la regla legal de las documentales públicas. Su justificación puede ser racional, como ocurre con la falta de inmediación y la imposibilidad de interrogar a los testigos que la jurisprudencia 11/2002 invoca. Sin embargo, esas jurisprudencias comparten el mismo límite que la jurisprudencia 38/2002. Las reglas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Por ello esas reglas no pueden sustituir el juicio de suficiencia sobre el acervo concreto.</w:t>
      </w:r>
    </w:p>
    <w:p>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En consecuencia, el código nacional combina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La legislación civil ofrece otra combinación. Esa combinación reúne tasación y arbitrio.</w:t>
      </w:r>
    </w:p>
    <w:p>
      <w:pPr>
        <w:spacing w:before="0" w:after="0" w:line="360" w:lineRule="auto"/>
        <w:ind w:firstLine="709"/>
        <w:jc w:val="both"/>
      </w:pPr>
      <w:r>
        <w:rPr>
          <w:rFonts w:ascii="Arial" w:eastAsia="Arial" w:hAnsi="Arial" w:cs="Arial"/>
          <w:color w:val="000000"/>
          <w:sz w:val="24"/>
          <w:szCs w:val="24"/>
        </w:rPr>
        <w:t xml:space="preserve">El código procesal civil de Michoacán ilustra esa mezcla. Su artículo 547 deja el valor de la prueba testimonial al arbitrio del juez. El mismo artículo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r>
        <w:rPr>
          <w:rFonts w:ascii="Arial" w:eastAsia="Arial" w:hAnsi="Arial" w:cs="Arial"/>
          <w:color w:val="000000"/>
          <w:sz w:val="24"/>
          <w:szCs w:val="24"/>
        </w:rPr>
        <w:t xml:space="preserve"> La comparación permite formular dos observaciones. La primera observación es que el método racional unido a la convicción aparece en la codificación penal reciente. La segunda observación es que la combinación de tasación y arbitrio dentro de un mismo artículo es un rasgo arraigado de la legislación procesal mexicana.</w:t>
      </w:r>
    </w:p>
    <w:p>
      <w:pPr>
        <w:spacing w:before="0" w:after="0" w:line="360" w:lineRule="auto"/>
        <w:ind w:firstLine="709"/>
        <w:jc w:val="both"/>
      </w:pPr>
      <w:r>
        <w:rPr>
          <w:rFonts w:ascii="Arial" w:eastAsia="Arial" w:hAnsi="Arial" w:cs="Arial"/>
          <w:color w:val="000000"/>
          <w:sz w:val="24"/>
          <w:szCs w:val="24"/>
        </w:rPr>
        <w:t xml:space="preserve">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presente en las reglas de peso, con la confianza en el juicio del órgano, presente en el criterio de convicción. Ninguno de los dos componentes proporciona una regla de suficiencia controlable. El análisis de esta investigación se limita, no obstante, al derecho electoral. La comparación solo pretende mostrar que el diseño no es excepcional. Establecer la extensión de ese diseño en todo el derecho procesal mexicano excede los alcances de esta investigación. La calificación de cláusula mixta produce, en cambio, consecuencias precisas para la interpretación del artículo 16 mientras no se reforme.</w:t>
      </w:r>
    </w:p>
    <w:p>
      <w:pPr>
        <w:spacing w:before="0" w:after="0" w:line="360" w:lineRule="auto"/>
        <w:ind w:firstLine="709"/>
        <w:jc w:val="both"/>
      </w:pPr>
      <w:r>
        <w:rPr>
          <w:rFonts w:ascii="Arial" w:eastAsia="Arial" w:hAnsi="Arial" w:cs="Arial"/>
          <w:color w:val="000000"/>
          <w:sz w:val="24"/>
          <w:szCs w:val="24"/>
        </w:rPr>
        <w:t xml:space="preserve">La primera consecuencia es que el método del párrafo 1 rige los párrafos 2 y 3. La segunda es que el valor pleno de las documentales públicas es una regla de peso derrotable. La tercera es que la convicción del párrafo 3 puede leerse como resultado justificado y no como estado mental. Esa lectura encuentra apoyo en la Primera Sala de la Suprema Corte. La Primera Sala sostuvo que la duda asociada al principio de que la duda favorece al acusado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El proyecto del voto particular de 2025 apoya esa lectura al definir la plena acreditación como la superación de un estándar previo.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La interpretación puede despsicologizar la palabra convicción, pero no puede extraer del texto un umbral que el texto no contiene.</w:t>
      </w:r>
    </w:p>
    <w:p>
      <w:pPr>
        <w:spacing w:before="0" w:after="0" w:line="360" w:lineRule="auto"/>
        <w:ind w:firstLine="709"/>
        <w:jc w:val="both"/>
      </w:pPr>
      <w:r>
        <w:rPr>
          <w:rFonts w:ascii="Arial" w:eastAsia="Arial" w:hAnsi="Arial" w:cs="Arial"/>
          <w:color w:val="000000"/>
          <w:sz w:val="24"/>
          <w:szCs w:val="24"/>
        </w:rPr>
        <w:t xml:space="preserve">Cualquier umbral construido por vía interpretativa depende de la voluntad de la mayoría que lo adopte. Por ello la calificación de cláusula mixta conduce a la necesidad de una regla de suficiencia de fuente legal. La noción de error de categoría, que la cláusula mixta expresa en el plano normativo, procede de Gilbert Ryle. Ryle definió ese error como la presentación de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En realidad la Universidad es la manera en que todas esas instituciones están organizadas. El ejemplo de Ryle ilumina un rasgo decisivo del error, que es la competencia de quien lo comete.</w:t>
      </w:r>
    </w:p>
    <w:p>
      <w:pPr>
        <w:spacing w:before="0" w:after="0" w:line="360" w:lineRule="auto"/>
        <w:ind w:firstLine="709"/>
        <w:jc w:val="both"/>
      </w:pPr>
      <w:r>
        <w:rPr>
          <w:rFonts w:ascii="Arial" w:eastAsia="Arial" w:hAnsi="Arial" w:cs="Arial"/>
          <w:color w:val="000000"/>
          <w:sz w:val="24"/>
          <w:szCs w:val="24"/>
        </w:rPr>
        <w:t xml:space="preserve">Ryle advierte que los errores de categoría teóricamente relevantes los cometen personas competentes para aplicar los conceptos en situaciones familiares.</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Esas personas asignan los conceptos, al razonar en abstracto, a tipos lógicos a los que no pertenecen.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 En consecuencia, el error de categoría no revela incompetencia judicial, sino una confusión conceptual que el propio texto legal propicia. La cláusula mixta permite precisar la relación entre el texto legal y ese error. El error consiste en tratar un criterio de valoración como si fuera una regla de suficiencia, y el artículo 16 lo favorece en dos planos.</w:t>
      </w:r>
    </w:p>
    <w:p>
      <w:pPr>
        <w:spacing w:before="0" w:after="0" w:line="360" w:lineRule="auto"/>
        <w:ind w:firstLine="709"/>
        <w:jc w:val="both"/>
      </w:pPr>
      <w:r>
        <w:rPr>
          <w:rFonts w:ascii="Arial" w:eastAsia="Arial" w:hAnsi="Arial" w:cs="Arial"/>
          <w:color w:val="000000"/>
          <w:sz w:val="24"/>
          <w:szCs w:val="24"/>
        </w:rPr>
        <w:t xml:space="preserve">En el primer plano, el párrafo 3 fusiona en una sola oración el método de valoración conjunta y el criterio de suficiencia. Esa fusión hace que la aplicación correcta del método parezca bastar para decidir. En el segundo plano, las reglas de peso, legales o jurisprudenciales, se presentan como si resolvieran la suficiencia, cuando solo gradúan el valor de un tipo de prueba. Montoya Zamora sostiene que la prueba solo probable excluye la valoración predeterminada. Una prueba puede aportar poca probabilidad en el caso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Por tanto, el legislador codificó la confusión entre valoración y estándar, y la jurisprudencia la mantuvo con nuevas reglas de peso.</w:t>
      </w:r>
    </w:p>
    <w:p>
      <w:pPr>
        <w:spacing w:before="0" w:after="0" w:line="360" w:lineRule="auto"/>
        <w:ind w:firstLine="709"/>
        <w:jc w:val="both"/>
      </w:pPr>
      <w:r>
        <w:rPr>
          <w:rFonts w:ascii="Arial" w:eastAsia="Arial" w:hAnsi="Arial" w:cs="Arial"/>
          <w:color w:val="000000"/>
          <w:sz w:val="24"/>
          <w:szCs w:val="24"/>
        </w:rPr>
        <w:t xml:space="preserve">La investigación permite formular un diagnóstico integral. La valoración de la prueba y el estándar de prueba son figuras distintas, y un estándar válido debe satisfacer requisitos metodológicos precisos. La determinancia y la cláusula híbrida nacieron sin una regla de suficiencia, y mayoría y minoría del caso Tabasco compartieron el vocabulario de la convicción. La mayoría del SUP-JIN-194/2025 desarrolló un método racional para la prueba indiciaria, pero no definió el grado de corroboración exigido. El voto particular de Rodríguez Mondragón formuló una teoría explícita de los estándares, con tensiones derivadas del propio texto legal. El artículo 16 es una cláusula mixta que reúne método, reglas de peso y un criterio de convicción sin articularlos. En consecuencia, el componente racional opera en la valoración, pero permanece inerte en la decisión sobre la suficiencia. La jurisprudencia desplazó el problema hacia reglas de peso sin resolverlo, y el diagnóstico apunta a la necesidad de formular un estándar de prueba para el contencioso electoral.</w:t>
      </w:r>
    </w:p>
    <w:p>
      <w:pPr>
        <w:spacing w:before="0" w:after="0" w:line="360" w:lineRule="auto"/>
        <w:ind w:firstLine="709"/>
        <w:jc w:val="both"/>
      </w:pPr>
      <w:r>
        <w:rPr>
          <w:rFonts w:ascii="Arial" w:eastAsia="Arial" w:hAnsi="Arial" w:cs="Arial"/>
          <w:color w:val="000000"/>
          <w:sz w:val="24"/>
          <w:szCs w:val="24"/>
        </w:rPr>
        <w:t xml:space="preserve">La formulación de ese estándar parte de los requisitos metodológicos ya expuestos.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corresponde a los estándares. En la nulidad de elecciones, los errores posibles son la validación de una elección viciada y la anulación de una elección válida. La determinación del umbral exige ponderar ambos riesgos a la luz de los principios constitucionales en juego. Esa ponderación obliga a decidir si el estándar debe fijarse en la ley. La investigación transita de ese modo hacia una fase propositiva, fundada en la distribución del riesgo de error.</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cláusula del artículo 16 de la LGSMIME es una cláusula mixta, con anclaje racional textual y funcionalmente inerte. Ese diagnóstico abre paso a la pregunta constructiva de la investigación. La pregunta busca el fundamento metodológico de un estándar propio del contencioso electoral, distinto del penal o del civil. La respuesta parte de la función de distribución del riesgo del error que cumple todo estándar de prueba conforme a la teoría de Ferrer Beltrán. Sobre esa base se desarrolla la tesis de que el nivel de exigencia de un estándar debe fijarse en función de los bienes en juego y de los costes del error propios de cada materia. Ese nivel no depende de la etiqueta jurisdiccional del proceso. La identificación de los bienes en juego específicos del contencioso electoral mexicano completa el fundamento. Esa secuencia aplica el marco teórico a la materia electoral y prepara la propuesta legislativa.</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La distribución del riesgo del error solo opera cuando el estándar cumple las funciones de justificación y de garantía, y cuando fija un umbral identificable. La exposición parte de las tres funciones del estándar según Ferrer Beltrán y de su crítica a la reducción distributiva. Después define los dos errores materiales y muestra que ningún umbral es neutral. El análisis examina a continuación la relación inversa entre ambos riesgos y el papel de la calidad del material probatorio. La identificación de quienes soportan cada error en el juicio de nulidad cierra el análisis. De esa identificación se deriva la pregunta de diseño normativo que orienta la construcción del estándar electoral.</w:t>
      </w:r>
    </w:p>
    <w:p>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define el estándar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persuasiva o subjetivista identifica el hecho probado con el convencimiento del juez. Esa concepción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Ese precepto tiene rango legal y no constitucional.</w:t>
      </w:r>
    </w:p>
    <w:p>
      <w:pPr>
        <w:spacing w:before="0" w:after="0" w:line="360" w:lineRule="auto"/>
        <w:ind w:firstLine="709"/>
        <w:jc w:val="both"/>
      </w:pPr>
      <w:r>
        <w:rPr>
          <w:rFonts w:ascii="Arial" w:eastAsia="Arial" w:hAnsi="Arial" w:cs="Arial"/>
          <w:color w:val="000000"/>
          <w:sz w:val="24"/>
          <w:szCs w:val="24"/>
        </w:rPr>
        <w:t xml:space="preserve">Frente a la fórmula del artículo 16, concebir el estándar como regla externa permite preguntar si el grado de corroboración alcanzado por una hipótesis supera un umbral previamente fijado. Esa pregunta puede responderse con independencia de lo que el juzgador crea o sienta respecto de la hipótesis. 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función es aportar los criterios imprescindibles para justificar la decisión sobre la suficiencia probatoria. La segunda función es servir de garantía para las partes, que podrán decidir su estrategia probatoria y controlar la corrección de la decisión sobre los hechos. La tercera función es distribuir el riesgo del error entre las partes. El autor precisa que las tres funciones se cumplen con independencia del nivel de exigencia de cada estándar. La concreta distribución del riesgo depende, sin embargo, del umbral que se establezca.</w:t>
      </w:r>
    </w:p>
    <w:p>
      <w:pPr>
        <w:spacing w:before="0" w:after="0" w:line="360" w:lineRule="auto"/>
        <w:ind w:firstLine="709"/>
        <w:jc w:val="both"/>
      </w:pPr>
      <w:r>
        <w:rPr>
          <w:rFonts w:ascii="Arial" w:eastAsia="Arial" w:hAnsi="Arial" w:cs="Arial"/>
          <w:color w:val="000000"/>
          <w:sz w:val="24"/>
          <w:szCs w:val="24"/>
        </w:rPr>
        <w:t xml:space="preserve">Las dos primeras funciones dependen de que exista una regla que cumpla los requisitos metodológicos. La tercera función depende, por añadidura, de la altura del umbral elegido por el legislador. Las tres funciones no son independientes entre sí. Un estándar que no permita justificar la decisión tampoco permite a las partes controlarla. Un estándar cuyo umbral no puede identificarse tampoco distribuye el riesgo de manera previsible. En consecuencia, la función distributiva presupone las otras dos y no puede operar sin ellas. La función de justificación exige que el criterio de suficiencia sea intersubjetivamente controlable por las partes y por el tribunal revisor.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p>
    <w:p>
      <w:pPr>
        <w:spacing w:before="0" w:after="0" w:line="360" w:lineRule="auto"/>
        <w:ind w:firstLine="709"/>
        <w:jc w:val="both"/>
      </w:pPr>
      <w:r>
        <w:rPr>
          <w:rFonts w:ascii="Arial" w:eastAsia="Arial" w:hAnsi="Arial" w:cs="Arial"/>
          <w:color w:val="000000"/>
          <w:sz w:val="24"/>
          <w:szCs w:val="24"/>
        </w:rPr>
        <w:t xml:space="preserve">Sin los criterios del umbral resulta de imposible cumplimiento la obligación de motivar. Motivar la suficiencia significa justificar que una hipótesis supera o no el umbral que habilita a aceptarla como probada. Ferrer Beltrán vincula esas dimensiones con los controles de racionalidad previos y posteriores de Taruffo. Los estándares posibilitan de ese modo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El autor pregunta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r>
        <w:rPr>
          <w:rFonts w:ascii="Arial" w:eastAsia="Arial" w:hAnsi="Arial" w:cs="Arial"/>
          <w:color w:val="000000"/>
          <w:sz w:val="24"/>
          <w:szCs w:val="24"/>
        </w:rPr>
        <w:t xml:space="preserve"> La íntima convicción no admite ese control.</w:t>
      </w:r>
    </w:p>
    <w:p>
      <w:pPr>
        <w:spacing w:before="0" w:after="0" w:line="360" w:lineRule="auto"/>
        <w:ind w:firstLine="709"/>
        <w:jc w:val="both"/>
      </w:pPr>
      <w:r>
        <w:rPr>
          <w:rFonts w:ascii="Arial" w:eastAsia="Arial" w:hAnsi="Arial" w:cs="Arial"/>
          <w:color w:val="000000"/>
          <w:sz w:val="24"/>
          <w:szCs w:val="24"/>
        </w:rPr>
        <w:t xml:space="preserve">Laudan sostiene que un estándar intrínsecamente subjetivo no ofrece protección alguna contra las decisiones arbitrarias.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de que la duda favorece al acusado. Según la Primera Sala, las concepciones subjetivistas impiden fijar objetivamente la suficiencia y son incompatibles con la valoración racional.</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La Primera Sala añadió que condicionar la decisión a estados de convicción íntima abre la puerta a la irracionalidad, porque esos estados pueden surgir sin conexión con la evidencia disponible. Esa exigencia de control adquiere una relevancia particular en la jurisdicción electoral.</w:t>
      </w:r>
    </w:p>
    <w:p>
      <w:pPr>
        <w:spacing w:before="0" w:after="0" w:line="360" w:lineRule="auto"/>
        <w:ind w:firstLine="709"/>
        <w:jc w:val="both"/>
      </w:pPr>
      <w:r>
        <w:rPr>
          <w:rFonts w:ascii="Arial" w:eastAsia="Arial" w:hAnsi="Arial" w:cs="Arial"/>
          <w:color w:val="000000"/>
          <w:sz w:val="24"/>
          <w:szCs w:val="24"/>
        </w:rPr>
        <w:t xml:space="preserve">Las sentencias electorales deciden la integración de los órganos del Estado. Por ello la motivación de la suficiencia debe apoyarse en la demostración de que las pruebas alcanzan un umbral identificable. El convencimiento del órgano no basta. 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ese conocimiento permite al fiscal evaluar la solidez de la acusación y al imputado decidir si acepta una terminación anticipada.</w:t>
      </w:r>
    </w:p>
    <w:p>
      <w:pPr>
        <w:spacing w:before="0" w:after="0" w:line="360" w:lineRule="auto"/>
        <w:ind w:firstLine="709"/>
        <w:jc w:val="both"/>
      </w:pPr>
      <w:r>
        <w:rPr>
          <w:rFonts w:ascii="Arial" w:eastAsia="Arial" w:hAnsi="Arial" w:cs="Arial"/>
          <w:color w:val="000000"/>
          <w:sz w:val="24"/>
          <w:szCs w:val="24"/>
        </w:rPr>
        <w:t xml:space="preserve">El autor añade que las cargas de la prueba y las presunciones que admiten prueba en contrario presuponen un umbral determinado. Esas reglas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La parte no puede argumentar que una hipótesis no alcanzó un nivel que nunca fue definido. La garantía impide que el umbral se ajuste después de conocer las pruebas o la identidad de las partes. Sin esa garantía, el derecho a probar pierde utilidad, porque la parte no sabe cuánto debe aportar. En consecuencia, la función de garantía convierte el umbral en una condición del ejercicio efectivo de los derechos procesales. En la materia electoral, esa función tiene un peso especial por la estructura temporal del proceso.</w:t>
      </w:r>
    </w:p>
    <w:p>
      <w:pPr>
        <w:spacing w:before="0" w:after="0" w:line="360" w:lineRule="auto"/>
        <w:ind w:firstLine="709"/>
        <w:jc w:val="both"/>
      </w:pPr>
      <w:r>
        <w:rPr>
          <w:rFonts w:ascii="Arial" w:eastAsia="Arial" w:hAnsi="Arial" w:cs="Arial"/>
          <w:color w:val="000000"/>
          <w:sz w:val="24"/>
          <w:szCs w:val="24"/>
        </w:rPr>
        <w:t xml:space="preserve">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 La brevedad de los plazos agrava, por tanto, el daño que produce la indeterminación del umbral.</w:t>
      </w:r>
    </w:p>
    <w:p>
      <w:pPr>
        <w:spacing w:before="0" w:after="0" w:line="360" w:lineRule="auto"/>
        <w:ind w:firstLine="709"/>
        <w:jc w:val="both"/>
      </w:pPr>
      <w:r>
        <w:rPr>
          <w:rFonts w:ascii="Arial" w:eastAsia="Arial" w:hAnsi="Arial" w:cs="Arial"/>
          <w:color w:val="000000"/>
          <w:sz w:val="24"/>
          <w:szCs w:val="24"/>
        </w:rPr>
        <w:t xml:space="preserve">La tercera función del estándar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La concreta distribución del riesgo depende del umbral establecido. Por ello la función distributiva no puede cumplirse mediante una declaración genérica de preferencia por uno de los errores. Esa función se cumple solo cuando existe un nivel identificable de corroboración con el que se contrasta el acervo de cada caso. Si ese nivel no existe, la decisión sobre la distribución no desaparece, sino que se traslada al juzgador del caso concreto.</w:t>
      </w:r>
    </w:p>
    <w:p>
      <w:pPr>
        <w:spacing w:before="0" w:after="0" w:line="360" w:lineRule="auto"/>
        <w:ind w:firstLine="709"/>
        <w:jc w:val="both"/>
      </w:pPr>
      <w:r>
        <w:rPr>
          <w:rFonts w:ascii="Arial" w:eastAsia="Arial" w:hAnsi="Arial" w:cs="Arial"/>
          <w:color w:val="000000"/>
          <w:sz w:val="24"/>
          <w:szCs w:val="24"/>
        </w:rPr>
        <w:t xml:space="preserve">Laudan formula la misma idea desde la perspectiva opuesta. El autor sostiene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r>
        <w:rPr>
          <w:rFonts w:ascii="Arial" w:eastAsia="Arial" w:hAnsi="Arial" w:cs="Arial"/>
          <w:color w:val="000000"/>
          <w:sz w:val="24"/>
          <w:szCs w:val="24"/>
        </w:rPr>
        <w:t xml:space="preserve"> 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Ese particularismo entrega la decisión a la arbitrariedad judicial o a una supuesta respuesta moral objetiva en cada caso.</w:t>
      </w:r>
      <w:r>
        <w:rPr>
          <w:rFonts w:ascii="Arial" w:eastAsia="Arial" w:hAnsi="Arial" w:cs="Arial"/>
          <w:color w:val="000000"/>
          <w:sz w:val="24"/>
          <w:szCs w:val="24"/>
          <w:vertAlign w:val="superscript"/>
        </w:rPr>
        <w:footnoteReference w:id="577"/>
      </w:r>
    </w:p>
    <w:p>
      <w:pPr>
        <w:spacing w:before="0" w:after="0" w:line="360" w:lineRule="auto"/>
        <w:ind w:firstLine="709"/>
        <w:jc w:val="both"/>
      </w:pPr>
      <w:r>
        <w:rPr>
          <w:rFonts w:ascii="Arial" w:eastAsia="Arial" w:hAnsi="Arial" w:cs="Arial"/>
          <w:color w:val="000000"/>
          <w:sz w:val="24"/>
          <w:szCs w:val="24"/>
        </w:rPr>
        <w:t xml:space="preserve">De las tesis de Ferrer Beltrán se sigue que un estándar sin umbral identificable no distribuye el riesgo conforme a una regla general. Ese estándar deja al juzgador la decisión de a quién hacer soportar el error. La afirmación no aparece con esas palabras en la obra de Ferrer Beltrán, pero se desprende de las tesis citadas. En la materia electoral, la preferencia por la validez de las elecciones solo tendrá contenido controlable si se expresa en un umbral preciso. 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En consecuencia, el autor propone que la altura del estándar se derive de la razón entre los costes sociales de las condenas falsas y de las absoluciones falsas. Esa propuesta se integra en una doctrina más amplia sobre la distribución del error.</w:t>
      </w:r>
    </w:p>
    <w:p>
      <w:pPr>
        <w:spacing w:before="0" w:after="0" w:line="360" w:lineRule="auto"/>
        <w:ind w:firstLine="709"/>
        <w:jc w:val="both"/>
      </w:pPr>
      <w:r>
        <w:rPr>
          <w:rFonts w:ascii="Arial" w:eastAsia="Arial" w:hAnsi="Arial" w:cs="Arial"/>
          <w:color w:val="000000"/>
          <w:sz w:val="24"/>
          <w:szCs w:val="24"/>
        </w:rPr>
        <w:t xml:space="preserve">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El autor sostiene que ninguno de esos principios está diseñado para reducir la probabilidad de error. Esos principios buscan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El autor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 Ferrer Beltrán reconoce la importancia de esa función. Su crítica se dirige, sin embargo, contra el énfasis exclusivo en ella.</w:t>
      </w:r>
    </w:p>
    <w:p>
      <w:pPr>
        <w:spacing w:before="0" w:after="0" w:line="360" w:lineRule="auto"/>
        <w:ind w:firstLine="709"/>
        <w:jc w:val="both"/>
      </w:pPr>
      <w:r>
        <w:rPr>
          <w:rFonts w:ascii="Arial" w:eastAsia="Arial" w:hAnsi="Arial" w:cs="Arial"/>
          <w:color w:val="000000"/>
          <w:sz w:val="24"/>
          <w:szCs w:val="24"/>
        </w:rPr>
        <w:t xml:space="preserve">Ferrer Beltrán advierte que la doctrina mayoritaria, especialmente la anglosajona, ha puesto el acento únicamente en la función distributiva.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El autor considera que esa es una de las equivocaciones que su obra pretende destacar. Ese énfasis oscurece la justificación y la garantía. Ese énfasis olvida que disponer de estándares correctamente formulados forma parte del debido proceso. La crítica no niega que el estándar reparta el riesgo del error, sino que esa sea su única o principal razón de ser. Un estándar diseñado solo para cierta proporción global de errores podría aceptar fórmulas que no permiten controlar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Por tanto, el contraste entre ambos autores es una diferencia sobre la jerarquía de las funciones del estándar y no una oposición total.</w:t>
      </w:r>
    </w:p>
    <w:p>
      <w:pPr>
        <w:spacing w:before="0" w:after="0" w:line="360" w:lineRule="auto"/>
        <w:ind w:firstLine="709"/>
        <w:jc w:val="both"/>
      </w:pPr>
      <w:r>
        <w:rPr>
          <w:rFonts w:ascii="Arial" w:eastAsia="Arial" w:hAnsi="Arial" w:cs="Arial"/>
          <w:color w:val="000000"/>
          <w:sz w:val="24"/>
          <w:szCs w:val="24"/>
        </w:rPr>
        <w:t xml:space="preserve">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distribuyen igualmente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En consecuencia, la distribución deseada debe expresarse en un estándar que al mismo tiempo justifique y garantice.</w:t>
      </w:r>
    </w:p>
    <w:p>
      <w:pPr>
        <w:spacing w:before="0" w:after="0" w:line="360" w:lineRule="auto"/>
        <w:ind w:firstLine="709"/>
        <w:jc w:val="both"/>
      </w:pPr>
      <w:r>
        <w:rPr>
          <w:rFonts w:ascii="Arial" w:eastAsia="Arial" w:hAnsi="Arial" w:cs="Arial"/>
          <w:color w:val="000000"/>
          <w:sz w:val="24"/>
          <w:szCs w:val="24"/>
        </w:rPr>
        <w:t xml:space="preserve">El estándar distribuye dos errores materiales. Ambos errores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El autor precisa que el error material no consiste en infringir una regla procesal, sino en que la decisión no corresponda a lo realmente ocurrido. Por tanto, un proceso tramitado con total apego a las reglas puede terminar en una decisión materialmente errónea. Una decisión correcta desde el punto de vista inferencial puede ser materialmente errónea, porque el acervo disponible puede apoyar una hipótesis falsa.</w:t>
      </w:r>
    </w:p>
    <w:p>
      <w:pPr>
        <w:spacing w:before="0" w:after="0" w:line="360" w:lineRule="auto"/>
        <w:ind w:firstLine="709"/>
        <w:jc w:val="both"/>
      </w:pPr>
      <w:r>
        <w:rPr>
          <w:rFonts w:ascii="Arial" w:eastAsia="Arial" w:hAnsi="Arial" w:cs="Arial"/>
          <w:color w:val="000000"/>
          <w:sz w:val="24"/>
          <w:szCs w:val="24"/>
        </w:rPr>
        <w:t xml:space="preserve">Los dos errores materiales son simétricos en su estructura, pero no en sus consecuencias. Esas consecuencias dependen de la decisión jurídica asociada a cada hipótesis. Un ejemplo neutro permite fijar los conceptos. En un juicio de responsabilidad civil, el actor afirma que un médico dejó material quirúrgico en su abdomen durante una intervención. Si el juez tiene por probado el olvido cuando en realidad el médico retiró todo el material, comete un falso positivo, y el demandado soporta una condena por un hecho que no ocurrió. Si el juez tiene por no probado el olvido cuando en realidad ocurrió, comete un falso negativo, y el actor queda sin reparación por un daño real. En ambos supuestos el error puede producirse sin que el juez haya razonado mal, porque el acervo pudo apoyar la hipótesis equivocada. En consecuencia, cada error recae sobre una parte distinta, y el diseño del estándar determina cuál de los dos resulta más probable.</w:t>
      </w:r>
    </w:p>
    <w:p>
      <w:pPr>
        <w:spacing w:before="0" w:after="0" w:line="360" w:lineRule="auto"/>
        <w:ind w:firstLine="709"/>
        <w:jc w:val="both"/>
      </w:pPr>
      <w:r>
        <w:rPr>
          <w:rFonts w:ascii="Arial" w:eastAsia="Arial" w:hAnsi="Arial" w:cs="Arial"/>
          <w:color w:val="000000"/>
          <w:sz w:val="24"/>
          <w:szCs w:val="24"/>
        </w:rPr>
        <w:t xml:space="preserve">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Por tanto, la neutralidad no puede lograrse ni con umbrales altos ni con umbrales bajos. Lo único que puede exigirse es que la preferencia sea explícita, general y justificada.</w:t>
      </w:r>
    </w:p>
    <w:p>
      <w:pPr>
        <w:spacing w:before="0" w:after="0" w:line="360" w:lineRule="auto"/>
        <w:ind w:firstLine="709"/>
        <w:jc w:val="both"/>
      </w:pPr>
      <w:r>
        <w:rPr>
          <w:rFonts w:ascii="Arial" w:eastAsia="Arial" w:hAnsi="Arial" w:cs="Arial"/>
          <w:color w:val="000000"/>
          <w:sz w:val="24"/>
          <w:szCs w:val="24"/>
        </w:rPr>
        <w:t xml:space="preserve">La preferencia expresada en el umbral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Según Ferrer Beltrán, la farmacología exige más que la historia por el coste del error y no por razones epistemológicas.</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El autor añade que la única diferencia en el derecho es que existen mecanismos institucionales para adoptar esas decisiones. La distinción entre valoración epistémica y umbral político tiene una consecuencia metodológica. Si la altura del umbral depende de los bienes en juego, es razonable que distintos tipos de decisión requieran umbrales distintos. Esa relatividad del estándar exige un examen propio, pero antes debe precisarse la relación entre los dos riesgos.</w:t>
      </w:r>
    </w:p>
    <w:p>
      <w:pPr>
        <w:spacing w:before="0" w:after="0" w:line="360" w:lineRule="auto"/>
        <w:ind w:firstLine="709"/>
        <w:jc w:val="both"/>
      </w:pPr>
      <w:r>
        <w:rPr>
          <w:rFonts w:ascii="Arial" w:eastAsia="Arial" w:hAnsi="Arial" w:cs="Arial"/>
          <w:color w:val="000000"/>
          <w:sz w:val="24"/>
          <w:szCs w:val="24"/>
        </w:rPr>
        <w:t xml:space="preserve">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estrategia es la reducción de los errores, que exige incorporar al proceso el mayor número posible de pruebas relevantes y fiables. La segunda estrategia es la distribución del riesgo, que obedece a preferencias morales o políticas. La segunda estrategia es subsidiaria, porque el riesgo se distribuye solo en la medida en que no puede eliminarse. En consecuencia, el diseño de un estándar debe acompañarse de medidas que enriquezcan el acervo probatorio.</w:t>
      </w:r>
    </w:p>
    <w:p>
      <w:pPr>
        <w:spacing w:before="0" w:after="0" w:line="360" w:lineRule="auto"/>
        <w:ind w:firstLine="709"/>
        <w:jc w:val="both"/>
      </w:pPr>
      <w:r>
        <w:rPr>
          <w:rFonts w:ascii="Arial" w:eastAsia="Arial" w:hAnsi="Arial" w:cs="Arial"/>
          <w:color w:val="000000"/>
          <w:sz w:val="24"/>
          <w:szCs w:val="24"/>
        </w:rPr>
        <w:t xml:space="preserve">Ferrer Beltrán concluye que la única política que permite reducir simultáneamente las condenas falsas y las absoluciones falsas es aumentar el peso de los acervos probatorios. Esa política incluye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es la riqueza del conjunto de elementos de juicio. Ese peso separa las hipótesis verdaderas de las falsas y reduce la zona en que ambas se confunden.</w:t>
      </w:r>
      <w:r>
        <w:rPr>
          <w:rFonts w:ascii="Arial" w:eastAsia="Arial" w:hAnsi="Arial" w:cs="Arial"/>
          <w:color w:val="000000"/>
          <w:sz w:val="24"/>
          <w:szCs w:val="24"/>
          <w:vertAlign w:val="superscript"/>
        </w:rPr>
        <w:footnoteReference w:id="595"/>
      </w:r>
      <w:r>
        <w:rPr>
          <w:rFonts w:ascii="Arial" w:eastAsia="Arial" w:hAnsi="Arial" w:cs="Arial"/>
          <w:color w:val="000000"/>
          <w:sz w:val="24"/>
          <w:szCs w:val="24"/>
        </w:rPr>
        <w:t xml:space="preserve"> 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w:t>
      </w:r>
    </w:p>
    <w:p>
      <w:pPr>
        <w:spacing w:before="0" w:after="0" w:line="360" w:lineRule="auto"/>
        <w:ind w:firstLine="709"/>
        <w:jc w:val="both"/>
      </w:pPr>
      <w:r>
        <w:rPr>
          <w:rFonts w:ascii="Arial" w:eastAsia="Arial" w:hAnsi="Arial" w:cs="Arial"/>
          <w:color w:val="000000"/>
          <w:sz w:val="24"/>
          <w:szCs w:val="24"/>
        </w:rPr>
        <w:t xml:space="preserve">El acervo electoral tiende a tener un peso probatorio reducido. En esas condiciones, la zona en que las hipótesis verdaderas y falsas se confunden es amplia. Por ello la elección del umbral tiene consecuencias mayores sobre la frecuencia de cada uno de los dos errores materiales.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El riesgo que no pueda reducirse deberá distribuirse de manera consciente mediante el umbral. 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p>
    <w:p>
      <w:pPr>
        <w:spacing w:before="0" w:after="0" w:line="360" w:lineRule="auto"/>
        <w:ind w:firstLine="709"/>
        <w:jc w:val="both"/>
      </w:pPr>
      <w:r>
        <w:rPr>
          <w:rFonts w:ascii="Arial" w:eastAsia="Arial" w:hAnsi="Arial" w:cs="Arial"/>
          <w:color w:val="000000"/>
          <w:sz w:val="24"/>
          <w:szCs w:val="24"/>
        </w:rPr>
        <w:t xml:space="preserve">En la impugnación de una elección, el actor sostiene la hipótesis de las irregularidades determinantes. La autoridad responsable y, en su caso, la candidatura triunfadora como tercero interesado defienden la validez de la elección.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r>
        <w:rPr>
          <w:rFonts w:ascii="Arial" w:eastAsia="Arial" w:hAnsi="Arial" w:cs="Arial"/>
          <w:color w:val="000000"/>
          <w:sz w:val="24"/>
          <w:szCs w:val="24"/>
        </w:rPr>
        <w:t xml:space="preserve"> En consecuencia, el umbral debe fijarse con conciencia de quiénes soportan cada error.</w:t>
      </w:r>
    </w:p>
    <w:p>
      <w:pPr>
        <w:spacing w:before="0" w:after="0" w:line="360" w:lineRule="auto"/>
        <w:ind w:firstLine="709"/>
        <w:jc w:val="both"/>
      </w:pPr>
      <w:r>
        <w:rPr>
          <w:rFonts w:ascii="Arial" w:eastAsia="Arial" w:hAnsi="Arial" w:cs="Arial"/>
          <w:color w:val="000000"/>
          <w:sz w:val="24"/>
          <w:szCs w:val="24"/>
        </w:rPr>
        <w:t xml:space="preserve">La fijación del umbral de nulidad es un problema de diseño normativo y no una cuestión de convicción judicial.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Esa respuesta exige examinar los bienes constitucionales afectados por cada error y la magnitud de su afectación. El examen de esos bienes requiere aclarar antes por qué el nivel de exigencia de un estándar varía según la materia.</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Todo estándar distribuye entre las partes el riesgo de los dos errores materiales, y esa distribución depende de la altura del umbral. Esa premisa deja abierta la pregunta sobre el factor del que depende esa altura. La tesis que aquí se sostiene es que el nivel de exigencia adecuado no puede fijarse en abstracto. Ese nivel depende de los bienes en juego y de los costes de cada error en el tipo de decisión de que se trate. El desarrollo de la tesis expone primero el fundamento de la relatividad y descarta su explicación mediante el contextualismo epistémico. Después examina el criterio de la consecuencia jurídica y su ilustración en el Tribunal Europeo de Derechos Humanos. A continuación se sistematizan las razones que pueden justificar la variación del umbral. El análisis cierra con la inadecuación de los modelos penal y civil para la nulidad.</w:t>
      </w:r>
    </w:p>
    <w:p>
      <w:pPr>
        <w:spacing w:before="0" w:after="0" w:line="360" w:lineRule="auto"/>
        <w:ind w:firstLine="709"/>
        <w:jc w:val="both"/>
      </w:pPr>
      <w:r>
        <w:rPr>
          <w:rFonts w:ascii="Arial" w:eastAsia="Arial" w:hAnsi="Arial" w:cs="Arial"/>
          <w:color w:val="000000"/>
          <w:sz w:val="24"/>
          <w:szCs w:val="24"/>
        </w:rPr>
        <w:t xml:space="preserve">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En otras disciplinas ocurre lo mismo, pues la farmacología exige más que la historia por el coste del error.</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el autor precisa que el umbral para considerar probada una hipótesis difiere entre la farmacología y la paleontología. La razón es que cada disciplina usa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Antes había sostenido que las comunidades científicas fijan sus estándares según la proporción aceptable de errores positivos y negativos.</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El autor añadía que la especificidad del derecho es el carácter institucionalizado de esa decisión. Por razones democráticas, esa decisión corresponde a los legisladores para cada tipo de proceso.</w:t>
      </w:r>
    </w:p>
    <w:p>
      <w:pPr>
        <w:spacing w:before="0" w:after="0" w:line="360" w:lineRule="auto"/>
        <w:ind w:firstLine="709"/>
        <w:jc w:val="both"/>
      </w:pPr>
      <w:r>
        <w:rPr>
          <w:rFonts w:ascii="Arial" w:eastAsia="Arial" w:hAnsi="Arial" w:cs="Arial"/>
          <w:color w:val="000000"/>
          <w:sz w:val="24"/>
          <w:szCs w:val="24"/>
        </w:rPr>
        <w:t xml:space="preserve">Laudan coincide en que el epistemólogo no puede decir al sistema jurídico cómo distribuir los errores. El epistemólogo puede, sin embargo,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debe variar. 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ilustra la teoría con el ejemplo de Fantl y McGrath sobre la información que otro pasajero ofrece acerca de las paradas de un tren. Esa información basta para abordar el tren cuando el viaje es irrelevante, pero no cuando de ello depende una carrera profesional. El contextualismo presenta dos corrientes que conviene distinguir.</w:t>
      </w:r>
    </w:p>
    <w:p>
      <w:pPr>
        <w:spacing w:before="0" w:after="0" w:line="360" w:lineRule="auto"/>
        <w:ind w:firstLine="709"/>
        <w:jc w:val="both"/>
      </w:pPr>
      <w:r>
        <w:rPr>
          <w:rFonts w:ascii="Arial" w:eastAsia="Arial" w:hAnsi="Arial" w:cs="Arial"/>
          <w:color w:val="000000"/>
          <w:sz w:val="24"/>
          <w:szCs w:val="24"/>
        </w:rPr>
        <w:t xml:space="preserve">La corriente semántica del contextualismo atiende al contexto de quien atribuye conocimiento. La corriente inferencialista o sustantiva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corrientes como fundamento de la relatividad de los estándares jurídicos. Frente a la corriente inferencialista, el autor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El autor tampoco encuentra esas diferencias entre las diversas decisiones sobre los hechos que se adoptan a lo largo de un mismo proceso. El autor añade una segunda objeción que afecta a ambas corrientes. Las dos corrientes presuponen el concepto clásico de conocimiento, mientras que la actitud del juzgador al declarar probado un hecho no es la creencia ni el conocimiento, sino la aceptación. En consecuencia, el contextualismo no ofrece un fundamento adecuado para los estándares jurídicos.</w:t>
      </w:r>
    </w:p>
    <w:p>
      <w:pPr>
        <w:spacing w:before="0" w:after="0" w:line="360" w:lineRule="auto"/>
        <w:ind w:firstLine="709"/>
        <w:jc w:val="both"/>
      </w:pPr>
      <w:r>
        <w:rPr>
          <w:rFonts w:ascii="Arial" w:eastAsia="Arial" w:hAnsi="Arial" w:cs="Arial"/>
          <w:color w:val="000000"/>
          <w:sz w:val="24"/>
          <w:szCs w:val="24"/>
        </w:rPr>
        <w:t xml:space="preserve">Ferrer Beltrán concluye que el contextualismo no puede ser el fundamento de la relatividad. El autor añade que tampoco se necesita, porque la decisión sobre el umbral no es epistemológica sino política.</w:t>
      </w:r>
      <w:r>
        <w:rPr>
          <w:rFonts w:ascii="Arial" w:eastAsia="Arial" w:hAnsi="Arial" w:cs="Arial"/>
          <w:color w:val="000000"/>
          <w:sz w:val="24"/>
          <w:szCs w:val="24"/>
          <w:vertAlign w:val="superscript"/>
        </w:rPr>
        <w:footnoteReference w:id="609"/>
      </w:r>
      <w:r>
        <w:rPr>
          <w:rFonts w:ascii="Arial" w:eastAsia="Arial" w:hAnsi="Arial" w:cs="Arial"/>
          <w:color w:val="000000"/>
          <w:sz w:val="24"/>
          <w:szCs w:val="24"/>
        </w:rPr>
        <w:t xml:space="preserve"> 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formula esa idea al decir que, en cualquier disciplina, la prueba de una hipótesis no depende del convencimiento del decisor. La prueba depende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p>
    <w:p>
      <w:pPr>
        <w:spacing w:before="0" w:after="0" w:line="360" w:lineRule="auto"/>
        <w:ind w:firstLine="709"/>
        <w:jc w:val="both"/>
      </w:pPr>
      <w:r>
        <w:rPr>
          <w:rFonts w:ascii="Arial" w:eastAsia="Arial" w:hAnsi="Arial" w:cs="Arial"/>
          <w:color w:val="000000"/>
          <w:sz w:val="24"/>
          <w:szCs w:val="24"/>
        </w:rPr>
        <w:t xml:space="preserve">La relatividad del estándar no autoriza a relajar las exigencias de racionalidad en la valoración de la prueba electoral. La relatividad solo autoriza a que el umbral de suficiencia se fije atendiendo a los bienes y costes propios de la nulidad de elecciones. El análisis posterior parte de esa distinción entre el método y el umbral. 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Una sanción pecuniaria no tiene la misma gravedad que una privación de libertad, ni un arresto domiciliario de fin de semana la misma que veinte años de prisión. Por ello el autor considera demasiado gruesa la distinción tradicional entre el estándar penal y el civil.</w:t>
      </w:r>
    </w:p>
    <w:p>
      <w:pPr>
        <w:spacing w:before="0" w:after="0" w:line="360" w:lineRule="auto"/>
        <w:ind w:firstLine="709"/>
        <w:jc w:val="both"/>
      </w:pPr>
      <w:r>
        <w:rPr>
          <w:rFonts w:ascii="Arial" w:eastAsia="Arial" w:hAnsi="Arial" w:cs="Arial"/>
          <w:color w:val="000000"/>
          <w:sz w:val="24"/>
          <w:szCs w:val="24"/>
        </w:rPr>
        <w:t xml:space="preserve">Los sistemas penales contemporáneos incluyen sanciones pecuniarias, inhabilitaciones y otras consecuencias que no se distinguen de las que resultan de procesos civiles, administrativos o laborales. Una sanción pecuniaria penal errónea no es obviamente más grave que la retirada errónea de la patria potestad en un proceso civil. Por la misma razón, no tiene sentido preguntar por un único estándar para el derecho administrativo sancionador. Ese derecho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Por tanto, el criterio relevante es la consecuencia jurídica que se pretende adoptar y no la etiqueta del proceso en que se adopta. El autor extrae de ese criterio dos consecuencias. Ambas consecuencias desplazan el análisis desde la rama del derecho hacia la decisión concreta.</w:t>
      </w:r>
    </w:p>
    <w:p>
      <w:pPr>
        <w:spacing w:before="0" w:after="0" w:line="360" w:lineRule="auto"/>
        <w:ind w:firstLine="709"/>
        <w:jc w:val="both"/>
      </w:pPr>
      <w:r>
        <w:rPr>
          <w:rFonts w:ascii="Arial" w:eastAsia="Arial" w:hAnsi="Arial" w:cs="Arial"/>
          <w:color w:val="000000"/>
          <w:sz w:val="24"/>
          <w:szCs w:val="24"/>
        </w:rPr>
        <w:t xml:space="preserve">La primera consecuencia es que el estándar podría diversificarse dentro de un mismo tipo de proceso. Si la pena de muerte justifica un umbral más exigente, parece razonable un umbral menor cuando la afectación sea menor, como en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Esa modulación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permite plantear un estándar propio para la nulidad de elecciones.</w:t>
      </w:r>
    </w:p>
    <w:p>
      <w:pPr>
        <w:spacing w:before="0" w:after="0" w:line="360" w:lineRule="auto"/>
        <w:ind w:firstLine="709"/>
        <w:jc w:val="both"/>
      </w:pPr>
      <w:r>
        <w:rPr>
          <w:rFonts w:ascii="Arial" w:eastAsia="Arial" w:hAnsi="Arial" w:cs="Arial"/>
          <w:color w:val="000000"/>
          <w:sz w:val="24"/>
          <w:szCs w:val="24"/>
        </w:rPr>
        <w:t xml:space="preserve">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el interesado solicitó que se anulara la revocación administrativa. La solicitud fue denegada porque la sentencia penal no tenía efectos sobre la revocación y no había probado su inocencia. El caso llegó entonces al Tribunal Europeo.</w:t>
      </w:r>
    </w:p>
    <w:p>
      <w:pPr>
        <w:spacing w:before="0" w:after="0" w:line="360" w:lineRule="auto"/>
        <w:ind w:firstLine="709"/>
        <w:jc w:val="both"/>
      </w:pPr>
      <w:r>
        <w:rPr>
          <w:rFonts w:ascii="Arial" w:eastAsia="Arial" w:hAnsi="Arial" w:cs="Arial"/>
          <w:color w:val="000000"/>
          <w:sz w:val="24"/>
          <w:szCs w:val="24"/>
        </w:rPr>
        <w:t xml:space="preserve">El Tribunal Europeo consideró violada la presunción de inocencia. Según el Tribunal,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El autor pregunta si la revocación habría sido correcta de no haberse iniciado el proceso penal y responde que sí. Por ello el autor cuestiona por qué la existencia de consecuencias penales adicionales debería elevar la exigencia probatoria en sede administrativa. La crítica tiene un fundamento más general. Ferrer Beltrán advierte que extender una presunción inderrotable a los procedimientos posteriores equivale a aplicar en ellos el estándar penal. Esa extensión considera que la cuestión probatoria ya fue decidida en sede penal.</w:t>
      </w:r>
      <w:r>
        <w:rPr>
          <w:rFonts w:ascii="Arial" w:eastAsia="Arial" w:hAnsi="Arial" w:cs="Arial"/>
          <w:color w:val="000000"/>
          <w:sz w:val="24"/>
          <w:szCs w:val="24"/>
          <w:vertAlign w:val="superscript"/>
        </w:rPr>
        <w:footnoteReference w:id="619"/>
      </w:r>
    </w:p>
    <w:p>
      <w:pPr>
        <w:spacing w:before="0" w:after="0" w:line="360" w:lineRule="auto"/>
        <w:ind w:firstLine="709"/>
        <w:jc w:val="both"/>
      </w:pPr>
      <w:r>
        <w:rPr>
          <w:rFonts w:ascii="Arial" w:eastAsia="Arial" w:hAnsi="Arial" w:cs="Arial"/>
          <w:color w:val="000000"/>
          <w:sz w:val="24"/>
          <w:szCs w:val="24"/>
        </w:rPr>
        <w:t xml:space="preserve">El error de fondo consiste en asociar la presunción de inocencia con un estándar de prueba especialmente elevado. Ese error extiende a la vez la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La altura de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pPr>
        <w:spacing w:before="0" w:after="0" w:line="360" w:lineRule="auto"/>
        <w:ind w:firstLine="709"/>
        <w:jc w:val="both"/>
      </w:pPr>
      <w:r>
        <w:rPr>
          <w:rFonts w:ascii="Arial" w:eastAsia="Arial" w:hAnsi="Arial" w:cs="Arial"/>
          <w:color w:val="000000"/>
          <w:sz w:val="24"/>
          <w:szCs w:val="24"/>
        </w:rPr>
        <w:t xml:space="preserve">La gravedad de la condena falsa no es la única razón que incide en la altura del umbral. Ferrer Beltrán propone una lista abierta de seis razones y advierte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es el coste de las absoluciones falsas, como la minera absuelta por error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que pueden justificar un umbral menor para que la norma no sea inaplicable, como en la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Esas razones no siempre apuntan en la misma dirección.</w:t>
      </w:r>
    </w:p>
    <w:p>
      <w:pPr>
        <w:spacing w:before="0" w:after="0" w:line="360" w:lineRule="auto"/>
        <w:ind w:firstLine="709"/>
        <w:jc w:val="both"/>
      </w:pPr>
      <w:r>
        <w:rPr>
          <w:rFonts w:ascii="Arial" w:eastAsia="Arial" w:hAnsi="Arial" w:cs="Arial"/>
          <w:color w:val="000000"/>
          <w:sz w:val="24"/>
          <w:szCs w:val="24"/>
        </w:rPr>
        <w:t xml:space="preserve">Ferrer Beltrán reconoce que las razones pueden entrar en conflicto, como cuando a tipos de casos de difícil prueba se les asignan consecuencias graves. El autor admite que no existe un método objetivo para ponderarlas.</w:t>
      </w:r>
      <w:r>
        <w:rPr>
          <w:rFonts w:ascii="Arial" w:eastAsia="Arial" w:hAnsi="Arial" w:cs="Arial"/>
          <w:color w:val="000000"/>
          <w:sz w:val="24"/>
          <w:szCs w:val="24"/>
          <w:vertAlign w:val="superscript"/>
        </w:rPr>
        <w:footnoteReference w:id="627"/>
      </w:r>
      <w:r>
        <w:rPr>
          <w:rFonts w:ascii="Arial" w:eastAsia="Arial" w:hAnsi="Arial" w:cs="Arial"/>
          <w:color w:val="000000"/>
          <w:sz w:val="24"/>
          <w:szCs w:val="24"/>
        </w:rPr>
        <w:t xml:space="preserve"> El derecho mexicano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el código exige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El ejemplo demuestra que el legislador mexicano acepta que un mismo proceso requiera umbrales distintos.</w:t>
      </w:r>
    </w:p>
    <w:p>
      <w:pPr>
        <w:spacing w:before="0" w:after="0" w:line="360" w:lineRule="auto"/>
        <w:ind w:firstLine="709"/>
        <w:jc w:val="both"/>
      </w:pPr>
      <w:r>
        <w:rPr>
          <w:rFonts w:ascii="Arial" w:eastAsia="Arial" w:hAnsi="Arial" w:cs="Arial"/>
          <w:color w:val="000000"/>
          <w:sz w:val="24"/>
          <w:szCs w:val="24"/>
        </w:rPr>
        <w:t xml:space="preserve">La materia electoral carece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r>
        <w:rPr>
          <w:rFonts w:ascii="Arial" w:eastAsia="Arial" w:hAnsi="Arial" w:cs="Arial"/>
          <w:color w:val="000000"/>
          <w:sz w:val="24"/>
          <w:szCs w:val="24"/>
        </w:rPr>
        <w:t xml:space="preserve"> La teoría de los estándares se ha construido en torno a dos modelos, cada uno con una justificación distributiva propia. Según Allen, la política civil es tratar igual a las partes y reducir los errores globales.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Según Pardo, la preponderancia reparte el riesgo de modo casi equitativo. Ese reparto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Ambos modelos presentan, sin embargo, defectos que la doctrina ha señalado.</w:t>
      </w:r>
    </w:p>
    <w:p>
      <w:pPr>
        <w:spacing w:before="0" w:after="0" w:line="360" w:lineRule="auto"/>
        <w:ind w:firstLine="709"/>
        <w:jc w:val="both"/>
      </w:pPr>
      <w:r>
        <w:rPr>
          <w:rFonts w:ascii="Arial" w:eastAsia="Arial" w:hAnsi="Arial" w:cs="Arial"/>
          <w:color w:val="000000"/>
          <w:sz w:val="24"/>
          <w:szCs w:val="24"/>
        </w:rPr>
        <w:t xml:space="preserve">Allen advierte que las justificaciones de ambos modelos tienen defectos importantes. Sin conocer la proporción de partes que merecen una decisión favorable, no es posible predecir el efecto de un estándar sobre los errores reales. Ferrer Beltrán añade que ni siquiera la preponderancia distribuye el riesgo por igual.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Por tanto, ambos modelos descansan en supuestos sobre los costes del error que deben verificarse en cada materia concreta. Esos supuestos no se cumplen en la nulidad de elecciones. El modelo penal presupone que el error más grave es la condena de un inocente, que consiste en imponer una sanción a una persona que no cometió el hecho. En el juicio de nulidad no hay un acusado en sentido penal, porque la consecuencia principal recae sobre el resultado de una votación.</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Esa gravedad deriva de la afectación de los votos y no de la protección de un individuo frente al poder punitivo. El modelo civil presupone, por su parte, que los costes del error recaen principalmente sobre las partes y que estas se encuentran en situación de igualdad. En la nulidad, los costes de ambos errores recaen igualmente sobre la ciudadanía, ajena al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Por tanto, ni la asimetría penal ni la simetría civil pueden trasladarse sin una ponderación propia de la materia electoral. El proyecto de Rodríguez Mondragón en el SUP-JIN-194/2025 apuntó en esa dirección.</w:t>
      </w:r>
    </w:p>
    <w:p>
      <w:pPr>
        <w:spacing w:before="0" w:after="0" w:line="360" w:lineRule="auto"/>
        <w:ind w:firstLine="709"/>
        <w:jc w:val="both"/>
      </w:pPr>
      <w:r>
        <w:rPr>
          <w:rFonts w:ascii="Arial" w:eastAsia="Arial" w:hAnsi="Arial" w:cs="Arial"/>
          <w:color w:val="000000"/>
          <w:sz w:val="24"/>
          <w:szCs w:val="24"/>
        </w:rPr>
        <w:t xml:space="preserve">El proyecto afirmó que los sistemas jurídicos establecen estándares distintos porque cada ámbito protege valores y bienes específicos. Según el proyecto, esa diversidad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Según el proyecto, la gravedad de una resolución adversa, como anular la voluntad popular, determina la exigencia probatoria por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Esa proporcionalidad aplicada caso por caso reproduce el particularismo que Ferrer Beltrán critica. En consecuencia, esa ponderación debe realizarse en el momento del diseño normativo y no en el de la aplicación.</w:t>
      </w:r>
    </w:p>
    <w:p>
      <w:pPr>
        <w:spacing w:before="0" w:after="0" w:line="360" w:lineRule="auto"/>
        <w:ind w:firstLine="709"/>
        <w:jc w:val="both"/>
      </w:pPr>
      <w:r>
        <w:rPr>
          <w:rFonts w:ascii="Arial" w:eastAsia="Arial" w:hAnsi="Arial" w:cs="Arial"/>
          <w:color w:val="000000"/>
          <w:sz w:val="24"/>
          <w:szCs w:val="24"/>
        </w:rPr>
        <w:t xml:space="preserve">El análisis de la relatividad permite formular tres conclusiones. La primera conclusión sostiene que la relatividad del estándar se explica por los bienes en juego y los costes del error, no por el contexto del conocimiento. La segunda conclusión sostiene que el criterio relevante es la consecuencia jurídica y no la etiqueta del proceso. Por ello no existe una razón conceptual para importar a la materia electoral el estándar penal o el civil. La tercera sostiene que la nulidad presenta costes que ningún modelo contempla, porque ambos errores afectan a la ciudadanía.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Esa identificación debe precisar los costes específicos del falso positivo y del falso negativo al resolver sobre la validez de una elección.</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Esa identificación se realiza aquí para la decisión sobre la validez o nulidad de una elección. La tesis que se sostiene es que el contencioso electoral mexicano presenta bienes en juego que no coinciden con los del proceso penal ni con los del proceso civil. Los bienes principales son tres, que son la certeza sobre el resultado, el derecho al voto de la ciudadanía y la renovación ordenada y periódica de los órganos del poder público. Cada bien se funda en el texto constitucional y en criterios de la Sala Superior. El análisis muestra después cómo esos bienes permiten caracterizar los dos errores que un estándar electoral debe distribuir. El examen de la preferencia declarada entre ambos errores completa el análisis. La identificación es una construcción propia, apoyada en las fuentes citadas.</w:t>
      </w:r>
    </w:p>
    <w:p>
      <w:pPr>
        <w:spacing w:before="0" w:after="0" w:line="360" w:lineRule="auto"/>
        <w:ind w:firstLine="709"/>
        <w:jc w:val="both"/>
      </w:pPr>
      <w:r>
        <w:rPr>
          <w:rFonts w:ascii="Arial" w:eastAsia="Arial" w:hAnsi="Arial" w:cs="Arial"/>
          <w:color w:val="000000"/>
          <w:sz w:val="24"/>
          <w:szCs w:val="24"/>
        </w:rPr>
        <w:t xml:space="preserve">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Esa estructura propia exige examinar los bienes de la materia antes de adoptar cualquier estándar.</w:t>
      </w:r>
    </w:p>
    <w:p>
      <w:pPr>
        <w:spacing w:before="0" w:after="0" w:line="360" w:lineRule="auto"/>
        <w:ind w:firstLine="709"/>
        <w:jc w:val="both"/>
      </w:pPr>
      <w:r>
        <w:rPr>
          <w:rFonts w:ascii="Arial" w:eastAsia="Arial" w:hAnsi="Arial" w:cs="Arial"/>
          <w:color w:val="000000"/>
          <w:sz w:val="24"/>
          <w:szCs w:val="24"/>
        </w:rPr>
        <w:t xml:space="preserve">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por la nulidad son bienes de la ciudadanía y del orden constitucional, junto con los intereses de los contendientes. 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del voto de Rodríguez Mondragón precisó ese principio. Según el proyecto, la certeza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proyecto recordó la contradicción SUP-CDC-2/2013, según la cual el proceso electoral renueva periódicamente los poderes y respeta la certeza y la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Por tanto, la certeza tiene dos dimensiones distintas.</w:t>
      </w:r>
    </w:p>
    <w:p>
      <w:pPr>
        <w:spacing w:before="0" w:after="0" w:line="360" w:lineRule="auto"/>
        <w:ind w:firstLine="709"/>
        <w:jc w:val="both"/>
      </w:pPr>
      <w:r>
        <w:rPr>
          <w:rFonts w:ascii="Arial" w:eastAsia="Arial" w:hAnsi="Arial" w:cs="Arial"/>
          <w:color w:val="000000"/>
          <w:sz w:val="24"/>
          <w:szCs w:val="24"/>
        </w:rPr>
        <w:t xml:space="preserve">La primera dimensión de la certeza es la fidelidad del resultado respecto de la voluntad expresada en las urnas. La segunda dimensión es la firmeza y prontitud con que la ciudadanía conoce quién resultó electo. Esa segunda dimensión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 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w:t>
      </w:r>
    </w:p>
    <w:p>
      <w:pPr>
        <w:spacing w:before="0" w:after="0" w:line="360" w:lineRule="auto"/>
        <w:ind w:firstLine="709"/>
        <w:jc w:val="both"/>
      </w:pPr>
      <w:r>
        <w:rPr>
          <w:rFonts w:ascii="Arial" w:eastAsia="Arial" w:hAnsi="Arial" w:cs="Arial"/>
          <w:color w:val="000000"/>
          <w:sz w:val="24"/>
          <w:szCs w:val="24"/>
        </w:rPr>
        <w:t xml:space="preserve">La certeza no favorece de manera unilateral a ninguno de los dos errores. Invocar la certeza solo en favor de la validez supondría reducirla a su dimensión de firmeza y desatender su dimensión de fidelidad. Esa reducción convertiría la certeza en una razón para preferir siempre el falso negativo. Esa preferencia desconocería que un resultado firme pero viciado lesiona igualmente la certeza. Por ello un estándar electoral no puede justificarse apelando a la certeza sin precisar a cuál de sus dimensiones se refiere. La ponderación entre ambas dimensiones forma parte de la decisión sobre la distribución del riesgo del error. En consecuencia, la certeza obliga a considerar tanto el riesgo de anular como el de validar indebidamente. El segundo bien en juego, el derecho al voto, presenta una estructura semejante.</w:t>
      </w:r>
    </w:p>
    <w:p>
      <w:pPr>
        <w:spacing w:before="0" w:after="0" w:line="360" w:lineRule="auto"/>
        <w:ind w:firstLine="709"/>
        <w:jc w:val="both"/>
      </w:pPr>
      <w:r>
        <w:rPr>
          <w:rFonts w:ascii="Arial" w:eastAsia="Arial" w:hAnsi="Arial" w:cs="Arial"/>
          <w:color w:val="000000"/>
          <w:sz w:val="24"/>
          <w:szCs w:val="24"/>
        </w:rPr>
        <w:t xml:space="preserve">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Ese artículo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El propósito es no dañar el voto activo de la mayoría que sufragó válidamente.</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La jurisprudencia añade que la nulidad por cualquier infracción haría nugatorio el ejercicio de la prerrogativa ciudadana de votar.</w:t>
      </w:r>
    </w:p>
    <w:p>
      <w:pPr>
        <w:spacing w:before="0" w:after="0" w:line="360" w:lineRule="auto"/>
        <w:ind w:firstLine="709"/>
        <w:jc w:val="both"/>
      </w:pPr>
      <w:r>
        <w:rPr>
          <w:rFonts w:ascii="Arial" w:eastAsia="Arial" w:hAnsi="Arial" w:cs="Arial"/>
          <w:color w:val="000000"/>
          <w:sz w:val="24"/>
          <w:szCs w:val="24"/>
        </w:rPr>
        <w:t xml:space="preserve">El derecho al voto aparece en la jurisprudencia electoral como la razón principal para evitar anulaciones injustificadas. Ese derecho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El voto de esas personas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w:t>
      </w:r>
    </w:p>
    <w:p>
      <w:pPr>
        <w:spacing w:before="0" w:after="0" w:line="360" w:lineRule="auto"/>
        <w:ind w:firstLine="709"/>
        <w:jc w:val="both"/>
      </w:pPr>
      <w:r>
        <w:rPr>
          <w:rFonts w:ascii="Arial" w:eastAsia="Arial" w:hAnsi="Arial" w:cs="Arial"/>
          <w:color w:val="000000"/>
          <w:sz w:val="24"/>
          <w:szCs w:val="24"/>
        </w:rPr>
        <w:t xml:space="preserve">Cuando la violación es determinante, la conservación del resultado deja de proteger el voto y pasa a proteger el efecto de la violación. El estándar debe permitir distinguir ambos supuestos con un grado de corroboración explícito. El tercer bien en juego suele formularse como estabilidad institucional. Esa formulación requiere precisión, porque la estabilidad no es por sí misma un principio constitucional de la materia electoral. La alternancia es un resultado posible de las elecciones y no un bien que el estándar deba proteger. La Constitución garantiza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En consecuencia, el calendario constitucional condiciona la eficacia de cualquier decisión de nulidad.</w:t>
      </w:r>
    </w:p>
    <w:p>
      <w:pPr>
        <w:spacing w:before="0" w:after="0" w:line="360" w:lineRule="auto"/>
        <w:ind w:firstLine="709"/>
        <w:jc w:val="both"/>
      </w:pPr>
      <w:r>
        <w:rPr>
          <w:rFonts w:ascii="Arial" w:eastAsia="Arial" w:hAnsi="Arial" w:cs="Arial"/>
          <w:color w:val="000000"/>
          <w:sz w:val="24"/>
          <w:szCs w:val="24"/>
        </w:rPr>
        <w:t xml:space="preserve">Algunas fechas de instalación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tercer bien puede reformularse, entonces, como la renovación ordenada y periódica de los órganos del poder público y la continuidad de su funcionamiento. Esa reformulación permite anclar el bien en el texto constitucional. La reformulación evita confundir ese bien con la preservación del resultado obtenido. La invocación de este bien exige, sin embargo,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El magistrado añadió que la anulación no representaba una crisis institucional, porque la elección extraordinaria habría permitido corregir las deficiencias identificadas.</w:t>
      </w:r>
    </w:p>
    <w:p>
      <w:pPr>
        <w:spacing w:before="0" w:after="0" w:line="360" w:lineRule="auto"/>
        <w:ind w:firstLine="709"/>
        <w:jc w:val="both"/>
      </w:pPr>
      <w:r>
        <w:rPr>
          <w:rFonts w:ascii="Arial" w:eastAsia="Arial" w:hAnsi="Arial" w:cs="Arial"/>
          <w:color w:val="000000"/>
          <w:sz w:val="24"/>
          <w:szCs w:val="24"/>
        </w:rPr>
        <w:t xml:space="preserve">La crítica del magistrado muestra que la estabilidad puede operar como una razón implícita en favor de la validez, sin que se declare ni se pondere. La anulación de una elección limpia afecta la renovación ordenada, porque obliga a un proceso extraordinario y altera la integración prevista de los órganos. La validación de una elección viciada no afecta la continuidad formal. Esa validación integra, sin embargo, los órganos con un mandato de origen irregular por todo el periodo del encargo. Por tanto, el bien de la renovación ordenada pesa principalmente contra el falso positivo. Su peso no puede ser absoluto, porque el propio constituyente previó la elección extraordinaria como consecuencia ordinaria de la nulidad. Los tres bienes identificados permiten caracterizar los dos errores que un estándar electoral debe distribuir. Esa caracterización debe hacerse desde la perspectiva de la hipótesis que sostiene el actor.</w:t>
      </w:r>
    </w:p>
    <w:p>
      <w:pPr>
        <w:spacing w:before="0" w:after="0" w:line="360" w:lineRule="auto"/>
        <w:ind w:firstLine="709"/>
        <w:jc w:val="both"/>
      </w:pPr>
      <w:r>
        <w:rPr>
          <w:rFonts w:ascii="Arial" w:eastAsia="Arial" w:hAnsi="Arial" w:cs="Arial"/>
          <w:color w:val="000000"/>
          <w:sz w:val="24"/>
          <w:szCs w:val="24"/>
        </w:rPr>
        <w:t xml:space="preserve">El primer error consiste en declarar válida una elección que, en realidad, estuvo viciada por irregularidades determinantes. Desde la perspectiva de la hipótesis del actor, ese error es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Ese error es un falso positivo, porque se tiene por probada una hipótesis falsa. Ese error compromete la renovación ordenada de los órganos, la certeza en sus dos dimensiones y el derecho al voto de la mayoría que sufragó válidamente, incluidos quienes votaron por la opción ganadora. En consecuencia, cada error lesiona bienes constitucionales de primer orden.</w:t>
      </w:r>
    </w:p>
    <w:p>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En el proceso penal, en cambio, cada error recae sobre sujetos distintos, el acusado o bien las víctimas y la sociedad. En el proceso civil, a diferencia de la materia electoral, los costes recaen principalmente sobre las partes. En la nulidad de elecciones, el mismo bien, que es el voto de la ciudadanía, se encuentra en ambos lados de la balanza. Por ello la distribución del riesgo no puede resolverse identificando una parte débil a la que deba protegerse, como ocurre con el acusado en materia penal. Esa distribución debe resolverse comparando la intensidad con que cada error afecta los mismos bienes. Esa comparación es la que el estándar electoral debe expresar.</w:t>
      </w:r>
    </w:p>
    <w:p>
      <w:pPr>
        <w:spacing w:before="0" w:after="0" w:line="360" w:lineRule="auto"/>
        <w:ind w:firstLine="709"/>
        <w:jc w:val="both"/>
      </w:pPr>
      <w:r>
        <w:rPr>
          <w:rFonts w:ascii="Arial" w:eastAsia="Arial" w:hAnsi="Arial" w:cs="Arial"/>
          <w:color w:val="000000"/>
          <w:sz w:val="24"/>
          <w:szCs w:val="24"/>
        </w:rPr>
        <w:t xml:space="preserve">En materia penal existe una preferencia ampliamente compartida por evitar la condena de un inocente. Laudan llama doctrina de distribución del error al estándar, la presunción de inocencia, el beneficio de la duda y la carga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son igualmente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pPr>
        <w:spacing w:before="0" w:after="0" w:line="360" w:lineRule="auto"/>
        <w:ind w:firstLine="709"/>
        <w:jc w:val="both"/>
      </w:pPr>
      <w:r>
        <w:rPr>
          <w:rFonts w:ascii="Arial" w:eastAsia="Arial" w:hAnsi="Arial" w:cs="Arial"/>
          <w:color w:val="000000"/>
          <w:sz w:val="24"/>
          <w:szCs w:val="24"/>
        </w:rPr>
        <w:t xml:space="preserve">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regla indica cuánto riesgo de validar una elección viciada es tolerable para no anular una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pPr>
        <w:spacing w:before="0" w:after="0" w:line="360" w:lineRule="auto"/>
        <w:ind w:firstLine="709"/>
        <w:jc w:val="both"/>
      </w:pPr>
      <w:r>
        <w:rPr>
          <w:rFonts w:ascii="Arial" w:eastAsia="Arial" w:hAnsi="Arial" w:cs="Arial"/>
          <w:color w:val="000000"/>
          <w:sz w:val="24"/>
          <w:szCs w:val="24"/>
        </w:rPr>
        <w:t xml:space="preserve">La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Por tanto, la decisión sobre la preferencia entre los errores electorales corresponde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Estos tres bienes y estos dos errores constituyen los insumos directos para formular un estándar de prueba electoral de fuente legal.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contencioso electoral mexicano tiene bienes en juego propios y dos tipos de error que un estándar de prueba electoral debe distribuir de manera consciente. Esos hallazgos se traducen aquí en una propuesta concreta de diseño legislativo para el artículo 16 de la LGSMIME. La propuesta expone primero los criterios que debe satisfacer cualquier reforma a ese artículo para superar la cláusula mixta. Sobre esa base se formula el estándar de prueba propuesto en sus propios términos. El examen de la compatibilidad de ese estándar con la naturaleza indiciaria de la prueba electoral cierra el argumento central de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 En consecuencia, la propuesta completa el tránsito del diagnóstico a la construcción normativa.</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exige, para la prueba plena de los demás medios, que el expediente genere convicción en el órgano. Ninguna de esas disposiciones indica cuánto apoyo probatorio basta para tener por acreditada una irregularidad electoral. Por tanto, toda propuesta de reforma debe satisfacer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Un quinto criterio deriva de la distribución del riesgo del error electoral.</w:t>
      </w:r>
    </w:p>
    <w:p>
      <w:pPr>
        <w:spacing w:before="0" w:after="0" w:line="360" w:lineRule="auto"/>
        <w:ind w:firstLine="709"/>
        <w:jc w:val="both"/>
      </w:pPr>
      <w:r>
        <w:rPr>
          <w:rFonts w:ascii="Arial" w:eastAsia="Arial" w:hAnsi="Arial" w:cs="Arial"/>
          <w:color w:val="000000"/>
          <w:sz w:val="24"/>
          <w:szCs w:val="24"/>
        </w:rPr>
        <w:t xml:space="preserve">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Esa exigencia excluye cualquier formulación que remita a estados mentales o psicológicos del juzgador. Ferrer Beltrán ofrece ejemplos legislativos que incumplen el requisito. Uno es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exige la convicción del tribunal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los criterios del estándar deben referirse a cuánto apoya objetivamente el acervo probatorio a cada hipótesis.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Ese apoyo objetivo es el grado de corroboración que las hipótesis alcanzan a la luz de las pruebas.</w:t>
      </w:r>
    </w:p>
    <w:p>
      <w:pPr>
        <w:spacing w:before="0" w:after="0" w:line="360" w:lineRule="auto"/>
        <w:ind w:firstLine="709"/>
        <w:jc w:val="both"/>
      </w:pPr>
      <w:r>
        <w:rPr>
          <w:rFonts w:ascii="Arial" w:eastAsia="Arial" w:hAnsi="Arial" w:cs="Arial"/>
          <w:color w:val="000000"/>
          <w:sz w:val="24"/>
          <w:szCs w:val="24"/>
        </w:rPr>
        <w:t xml:space="preserve">La Primera Sala sostuvo un criterio compatible. La Primera Sala rechazó la interpretación psicológica de la duda asociada al principio de que la duda favorece al acusado. Según la Primera Sala,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Por tanto, la reforma debe sustituir la convicción por el grado de corroboración de la hipótesis. 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Según Ferrer Beltrán, la sana crítica no cumple el requisito, porque a lo sumo es un método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Las referencias a la inducción o al respeto de las leyes de la lógica y de la ciencia tampoco cumplen ese requisito.</w:t>
      </w:r>
    </w:p>
    <w:p>
      <w:pPr>
        <w:spacing w:before="0" w:after="0" w:line="360" w:lineRule="auto"/>
        <w:ind w:firstLine="709"/>
        <w:jc w:val="both"/>
      </w:pPr>
      <w:r>
        <w:rPr>
          <w:rFonts w:ascii="Arial" w:eastAsia="Arial" w:hAnsi="Arial" w:cs="Arial"/>
          <w:color w:val="000000"/>
          <w:sz w:val="24"/>
          <w:szCs w:val="24"/>
        </w:rPr>
        <w:t xml:space="preserve">El razonamiento probatorio debe respetar las leyes de la lógica y de la ciencia en todas las etapas del proceso. Las exigencias probatorias de cada etapa son y deben ser, sin embargo, distintas. Por ello no basta con decir que una decisión debe estar inductivamente justificada. El legislador debe determinar el umbral a partir del cual esa decisión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El requisito exige que el umbral se formule de la manera más precisa posible, de modo que los casos claros de cumplimiento o incumplimiento sean más numerosos y el margen de casos dudosos sea menor. En consecuencia, la reforma debe indicar qué resultado probatorio mínimo debe alcanzar la hipótesis de la irregularidad para tenerse por acreditada.</w:t>
      </w:r>
    </w:p>
    <w:p>
      <w:pPr>
        <w:spacing w:before="0" w:after="0" w:line="360" w:lineRule="auto"/>
        <w:ind w:firstLine="709"/>
        <w:jc w:val="both"/>
      </w:pPr>
      <w:r>
        <w:rPr>
          <w:rFonts w:ascii="Arial" w:eastAsia="Arial" w:hAnsi="Arial" w:cs="Arial"/>
          <w:color w:val="000000"/>
          <w:sz w:val="24"/>
          <w:szCs w:val="24"/>
        </w:rPr>
        <w:t xml:space="preserve">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Para Ferrer Beltrán, en una concepción racional el umbral debe reflejar el carácter probabilístico y epistémico del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el autor critica la exigencia de certeza como estándar de prueba, frecuente en los países de tradición romano-germánica. Siguiendo a Tillers, el autor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estadística es arbitrario asignar números a hipótesis, testigos o documentos.</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Ese descarte no obliga a adoptar un modelo concreto de razonamiento.</w:t>
      </w:r>
    </w:p>
    <w:p>
      <w:pPr>
        <w:spacing w:before="0" w:after="0" w:line="360" w:lineRule="auto"/>
        <w:ind w:firstLine="709"/>
        <w:jc w:val="both"/>
      </w:pPr>
      <w:r>
        <w:rPr>
          <w:rFonts w:ascii="Arial" w:eastAsia="Arial" w:hAnsi="Arial" w:cs="Arial"/>
          <w:color w:val="000000"/>
          <w:sz w:val="24"/>
          <w:szCs w:val="24"/>
        </w:rPr>
        <w:t xml:space="preserve">Ferrer Beltrán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el autor expone, el grado de corroboración de una hipótesis depende de las predicciones verdaderas que permite formular. Ese grado depende igualmente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Por tanto, la reforma debe formular el umbral con criterios de corroboración y refutación de hipótesis, sin recurrir a la certeza absoluta ni a porcentajes. 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Esa realidad probatoria confirma la conveniencia del tercer criterio.</w:t>
      </w:r>
    </w:p>
    <w:p>
      <w:pPr>
        <w:spacing w:before="0" w:after="0" w:line="360" w:lineRule="auto"/>
        <w:ind w:firstLine="709"/>
        <w:jc w:val="both"/>
      </w:pPr>
      <w:r>
        <w:rPr>
          <w:rFonts w:ascii="Arial" w:eastAsia="Arial" w:hAnsi="Arial" w:cs="Arial"/>
          <w:color w:val="000000"/>
          <w:sz w:val="24"/>
          <w:szCs w:val="24"/>
        </w:rPr>
        <w:t xml:space="preserve">Un estándar formulado en términos de corroboración inductiva se ajusta a la prueba indiciaria. Ese estándar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exige un examen propio al cierre de la propuesta. Basta señalar aquí que el tercer criterio es una exigencia general de todo estándar de prueba, con independencia de la materia en que se aplique. Esa exigencia general resulta especialmente relevante en la materia electoral, donde la prueba indirecta predomina. En consecuencia, el tercer criterio y la naturaleza de la prueba electoral apuntan en la misma dirección.</w:t>
      </w:r>
    </w:p>
    <w:p>
      <w:pPr>
        <w:spacing w:before="0" w:after="0" w:line="360" w:lineRule="auto"/>
        <w:ind w:firstLine="709"/>
        <w:jc w:val="both"/>
      </w:pPr>
      <w:r>
        <w:rPr>
          <w:rFonts w:ascii="Arial" w:eastAsia="Arial" w:hAnsi="Arial" w:cs="Arial"/>
          <w:color w:val="000000"/>
          <w:sz w:val="24"/>
          <w:szCs w:val="24"/>
        </w:rPr>
        <w:t xml:space="preserve">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La sentencia no es la única decisión probatoria, pues antes se decide sobre medidas cautelares o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El autor añade que debe considerarse la relativa gravedad de los errores para cada tipo de decisión final o intermedia. En el contencioso electoral, este requisito tiene dos proyecciones. La primera proyección se refiere a las decisiones intermedias que la ley ya prevé.</w:t>
      </w:r>
    </w:p>
    <w:p>
      <w:pPr>
        <w:spacing w:before="0" w:after="0" w:line="360" w:lineRule="auto"/>
        <w:ind w:firstLine="709"/>
        <w:jc w:val="both"/>
      </w:pPr>
      <w:r>
        <w:rPr>
          <w:rFonts w:ascii="Arial" w:eastAsia="Arial" w:hAnsi="Arial" w:cs="Arial"/>
          <w:color w:val="000000"/>
          <w:sz w:val="24"/>
          <w:szCs w:val="24"/>
        </w:rPr>
        <w:t xml:space="preserve">El incidente de nuevo escrutinio y cómputo es una decisión intermedia prevista en la ley. Ese incidente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proyección atañe a decisiones finales de distinto alcance, como la nulidad de una casilla y la de una elección. En consecuencia, la reforma debe fijar el umbral de la decisión final más grave y ordenar a partir de él los umbrales de las demás decisiones. 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Según Ferrer Beltrán, los costes de la condena falsa dependen del tipo de condena y no de la jurisdicción.</w:t>
      </w:r>
      <w:r>
        <w:rPr>
          <w:rFonts w:ascii="Arial" w:eastAsia="Arial" w:hAnsi="Arial" w:cs="Arial"/>
          <w:color w:val="000000"/>
          <w:sz w:val="24"/>
          <w:szCs w:val="24"/>
          <w:vertAlign w:val="superscript"/>
        </w:rPr>
        <w:footnoteReference w:id="681"/>
      </w:r>
    </w:p>
    <w:p>
      <w:pPr>
        <w:spacing w:before="0" w:after="0" w:line="360" w:lineRule="auto"/>
        <w:ind w:firstLine="709"/>
        <w:jc w:val="both"/>
      </w:pP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Por tanto, el cuarto criterio exige un sistema coherente de estándares y no un único umbral para todo el contencioso electoral. El quinto criterio consiste en distribuir de manera consciente el riesgo del error. Ese criterio deriva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El debido proceso exige, según el autor, que el legislador fije el umbral y asigne el riesgo entre las partes.</w:t>
      </w:r>
      <w:r>
        <w:rPr>
          <w:rFonts w:ascii="Arial" w:eastAsia="Arial" w:hAnsi="Arial" w:cs="Arial"/>
          <w:color w:val="000000"/>
          <w:sz w:val="24"/>
          <w:szCs w:val="24"/>
          <w:vertAlign w:val="superscript"/>
        </w:rPr>
        <w:footnoteReference w:id="684"/>
      </w:r>
    </w:p>
    <w:p>
      <w:pPr>
        <w:spacing w:before="0" w:after="0" w:line="360" w:lineRule="auto"/>
        <w:ind w:firstLine="709"/>
        <w:jc w:val="both"/>
      </w:pPr>
      <w:r>
        <w:rPr>
          <w:rFonts w:ascii="Arial" w:eastAsia="Arial" w:hAnsi="Arial" w:cs="Arial"/>
          <w:color w:val="000000"/>
          <w:sz w:val="24"/>
          <w:szCs w:val="24"/>
        </w:rPr>
        <w:t xml:space="preserve">En la materia electoral, el riesgo se distribuye entre quien impugna una elección y quien defiende su validez. El ordenamiento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Por consiguiente, la reforma debe fijar el umbral atendiendo a esas reglas y a los bienes en juego. La reforma debe justificar expresamente la preferencia de error que adopte. Los cinco criterios permiten descartar ciertas reformas aparentes.</w:t>
      </w:r>
    </w:p>
    <w:p>
      <w:pPr>
        <w:spacing w:before="0" w:after="0" w:line="360" w:lineRule="auto"/>
        <w:ind w:firstLine="709"/>
        <w:jc w:val="both"/>
      </w:pPr>
      <w:r>
        <w:rPr>
          <w:rFonts w:ascii="Arial" w:eastAsia="Arial" w:hAnsi="Arial" w:cs="Arial"/>
          <w:color w:val="000000"/>
          <w:sz w:val="24"/>
          <w:szCs w:val="24"/>
        </w:rPr>
        <w:t xml:space="preserve">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Por tanto, la reforma debe satisfacer conjuntamente los cinco criterios. El texto vigente, en cambio, no satisface ninguno de ellos.</w:t>
      </w:r>
    </w:p>
    <w:p>
      <w:pPr>
        <w:spacing w:before="0" w:after="0" w:line="360" w:lineRule="auto"/>
        <w:ind w:firstLine="709"/>
        <w:jc w:val="both"/>
      </w:pPr>
      <w:r>
        <w:rPr>
          <w:rFonts w:ascii="Arial" w:eastAsia="Arial" w:hAnsi="Arial" w:cs="Arial"/>
          <w:color w:val="000000"/>
          <w:sz w:val="24"/>
          <w:szCs w:val="24"/>
        </w:rPr>
        <w:t xml:space="preserve">El método de valoración del párrafo 1 del artículo 16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En consecuencia, la reforma del artículo 16 no es una cuestión de técnica legislativa menor, sino una exigencia de las garantías procesales en la materia electoral. Los cinco criterios constituyen el parámetro para formular el estándar de prueba propuesto. Ese estándar debe traducir los criterios en un texto normativo preciso y aplicable.</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Los criterios para la reforma del artículo 16 de la ley de medios permiten formular un estándar de prueba para la nulidad de elecciones. La formulación se presenta con su fundamento doctrinal y su anclaje en el vocabulario jurisprudencial de la prueba indiciaria. El análisis explica después las operaciones que el estándar exige al juzgador y verifica si satisface los cinco criterios enunciados. El examen identifica la parte que soporta el riesgo cuando el estándar no se satisface. La formulación es una propuesta de esta investigación. Esa formulación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Por tanto, la responsabilidad por la formulación concreta corresponde a esta investigación.</w:t>
      </w:r>
    </w:p>
    <w:p>
      <w:pPr>
        <w:spacing w:before="0" w:after="0" w:line="360" w:lineRule="auto"/>
        <w:ind w:firstLine="709"/>
        <w:jc w:val="both"/>
      </w:pPr>
      <w:r>
        <w:rPr>
          <w:rFonts w:ascii="Arial" w:eastAsia="Arial" w:hAnsi="Arial" w:cs="Arial"/>
          <w:color w:val="000000"/>
          <w:sz w:val="24"/>
          <w:szCs w:val="24"/>
        </w:rPr>
        <w:t xml:space="preserve">El estándar para acreditar una irregularidad determinante se formula en tres condiciones conjuntas. La primera condición exige que la hipótesis de la irregularidad explique de forma coherente los indicios acreditados mejor que cualquier alternativa plausible compatible con la validez de la elección. Esa comparación excluye las hipótesis construidas para el caso. La segunda condición exige que ningún elemento relevante aportado por las partes quede sin explicar. La tercera condición exige un acervo tendencialmente completo, que incorpore las pruebas relevantes accesibles para esclarecer los hechos. Si falta solo la tercera, la hipótesis no se tiene por probada y rige la carga de la prueba. La falta de pruebas accesibles no cuenta en contra del actor cuando es imputable a la parte que se beneficiaría de esa omisión. En consecuencia, las tres condiciones funcionan como un umbral único que el acervo debe superar.</w:t>
      </w:r>
    </w:p>
    <w:p>
      <w:pPr>
        <w:spacing w:before="0" w:after="0" w:line="360" w:lineRule="auto"/>
        <w:ind w:firstLine="709"/>
        <w:jc w:val="both"/>
      </w:pPr>
      <w:r>
        <w:rPr>
          <w:rFonts w:ascii="Arial" w:eastAsia="Arial" w:hAnsi="Arial" w:cs="Arial"/>
          <w:color w:val="000000"/>
          <w:sz w:val="24"/>
          <w:szCs w:val="24"/>
        </w:rPr>
        <w:t xml:space="preserve">El estándar propuesto no exige que el juzgador declare hallarse convencido de los hechos. El estándar tampoco asigna a la hipótesis un grado de probabilidad numérico. El estándar exige operaciones cuyo resultado puede ser revisado por las partes y por el órgano que conozca de un recurso. Esa revisabilidad distingue el estándar propuesto del criterio de convicción que rige en el texto vigente del artículo 16. La convicción del órgano no puede verificarse desde fuera, mientras que la comparación explicativa y la completitud del acervo sí pueden verificarse. En consecuencia, el estándar convierte la suficiencia probatoria en una cuestión justificable y controlable. La propuesta puede expresarse en términos legislativos precisos. 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709"/>
        <w:jc w:val="both"/>
      </w:pPr>
      <w:r>
        <w:rPr>
          <w:rFonts w:ascii="Arial" w:eastAsia="Arial" w:hAnsi="Arial" w:cs="Arial"/>
          <w:color w:val="000000"/>
          <w:sz w:val="24"/>
          <w:szCs w:val="24"/>
        </w:rPr>
        <w:t xml:space="preserve">La redacción propuesta conserva el método de valoración del párrafo 1, que sigue remitiendo a la lógica, la sana crítica y la experiencia. La redacción conserva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contiene hoy el criterio de convicción que se pretende sustituir. En consecuencia, la reforma modifica solo el elemento defectuoso de la cláusula mixta y preserva sus componentes racionales. 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p>
    <w:p>
      <w:pPr>
        <w:spacing w:before="0" w:after="0" w:line="360" w:lineRule="auto"/>
        <w:ind w:firstLine="709"/>
        <w:jc w:val="both"/>
      </w:pPr>
      <w:r>
        <w:rPr>
          <w:rFonts w:ascii="Arial" w:eastAsia="Arial" w:hAnsi="Arial" w:cs="Arial"/>
          <w:color w:val="000000"/>
          <w:sz w:val="24"/>
          <w:szCs w:val="24"/>
        </w:rPr>
        <w:t xml:space="preserve">Los tres primeros estándares de Ferrer Beltrán exigen que la hipótesis explique los datos disponibles integrándolos de forma coherente y que se hayan refutado todas o algunas de las hipótesis alternativas. El cuarto exige la hipótesis más probablemente verdadera y un peso probatorio completo. Los estándares sexto y séptimo solo exigen que la hipótesis sea más probable que las demás o que la de la parte contraria. Antes el autor había formulado la primera cláusula del cuarto estándar como la mejor explicación disponible.</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La formulación no exige refutar todas las hipótesis alternativas, porque esa exigencia sería difícilmente alcanzable con prueba indiciaria de irregularidades encubiertas. La formulación tampoco se conforma con la mera comparación entre hipótesis, porque añade la exigencia de completitud del acervo. Esa exigencia responde a una objeción conocida contra los estándares comparativos.</w:t>
      </w:r>
    </w:p>
    <w:p>
      <w:pPr>
        <w:spacing w:before="0" w:after="0" w:line="360" w:lineRule="auto"/>
        <w:ind w:firstLine="709"/>
        <w:jc w:val="both"/>
      </w:pPr>
      <w:r>
        <w:rPr>
          <w:rFonts w:ascii="Arial" w:eastAsia="Arial" w:hAnsi="Arial" w:cs="Arial"/>
          <w:color w:val="000000"/>
          <w:sz w:val="24"/>
          <w:szCs w:val="24"/>
        </w:rPr>
        <w:t xml:space="preserve">Ferrer Beltrán advierte que exigir que una hipótesis sea más probable que otras puede ser una exigencia muy débil.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Esa cláusula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La completitud es tendencial y se refiere a las pruebas relevantes accesibles, salvo inaccesibilidad imputable a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El autor añade que la completitud no exige incorporar pruebas redundantes, y la tercera condición de la formulación propuesta recoge esa exigencia en los mismos términos.</w:t>
      </w:r>
    </w:p>
    <w:p>
      <w:pPr>
        <w:spacing w:before="0" w:after="0" w:line="360" w:lineRule="auto"/>
        <w:ind w:firstLine="709"/>
        <w:jc w:val="both"/>
      </w:pPr>
      <w:r>
        <w:rPr>
          <w:rFonts w:ascii="Arial" w:eastAsia="Arial" w:hAnsi="Arial" w:cs="Arial"/>
          <w:color w:val="000000"/>
          <w:sz w:val="24"/>
          <w:szCs w:val="24"/>
        </w:rPr>
        <w:t xml:space="preserve">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Los indicios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La sentencia no establece, sin embargo, cuándo la conclusión elegida es suficiente para tener por acreditada la irregularidad. La formulación propuesta aprovecha esos requisitos como condiciones de la valoración y les añade la regla de suficiencia que faltaba.</w:t>
      </w:r>
    </w:p>
    <w:p>
      <w:pPr>
        <w:spacing w:before="0" w:after="0" w:line="360" w:lineRule="auto"/>
        <w:ind w:firstLine="709"/>
        <w:jc w:val="both"/>
      </w:pPr>
      <w:r>
        <w:rPr>
          <w:rFonts w:ascii="Arial" w:eastAsia="Arial" w:hAnsi="Arial" w:cs="Arial"/>
          <w:color w:val="000000"/>
          <w:sz w:val="24"/>
          <w:szCs w:val="24"/>
        </w:rPr>
        <w:t xml:space="preserve">La relación entre los requisitos jurisprudenciales y el estándar propuesto debe precisarse. Los requisitos de pluralidad, concomitancia e interrelación de los indicios pertenecen al método de valoración. Esos requisitos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pPr>
        <w:spacing w:before="0" w:after="0" w:line="360" w:lineRule="auto"/>
        <w:ind w:firstLine="709"/>
        <w:jc w:val="both"/>
      </w:pPr>
      <w:r>
        <w:rPr>
          <w:rFonts w:ascii="Arial" w:eastAsia="Arial" w:hAnsi="Arial" w:cs="Arial"/>
          <w:color w:val="000000"/>
          <w:sz w:val="24"/>
          <w:szCs w:val="24"/>
        </w:rPr>
        <w:t xml:space="preserve">El estándar propuesto exige tres operaciones controlables. La primera operación compara la hipótesis de la irregularidad con las alternativas plausibles compatibles con la validez. Ferrer Beltrán precisa que una hipótesis alternativa solo puede tomarse en consideración si es ella misma contrastable, lo que excluye las hipótesis construidas para el caso.</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verifica que la hipótesis explique todos los elementos relevantes, incluidos los de la responsable y el tercero. La tercera operación es determinar qué pruebas serían necesarias para esclarecer los hechos y si se han incorporado al expediente. El autor propone preguntar qué pruebas exigen las hipótesis y sus predicciones, y si se aportaron.</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pPr>
        <w:spacing w:before="0" w:after="0" w:line="360" w:lineRule="auto"/>
        <w:ind w:firstLine="709"/>
        <w:jc w:val="both"/>
      </w:pPr>
      <w:r>
        <w:rPr>
          <w:rFonts w:ascii="Arial" w:eastAsia="Arial" w:hAnsi="Arial" w:cs="Arial"/>
          <w:color w:val="000000"/>
          <w:sz w:val="24"/>
          <w:szCs w:val="24"/>
        </w:rPr>
        <w:t xml:space="preserve">La regla sobre las pruebas no aportadas tiene una función específica en la materia electoral. La información sobre gastos, programas públicos o recursos utilizados en una campaña suele estar en poder de autoridades, partidos o candidaturas, y no de quien impugna. Según Ferrer Beltrán, una laguna probatoria causada por la parte beneficiada no debe impedir tener por satisfecho el estándar.</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La regla no invierte la carga de la prueba, porque el actor debe seguir acreditando los indicios en que funda su hipótesis. La regla solo impide que la incompletitud imputable a la contraparte cuente en contra del actor. Por tanto, esta regla es una de las decisiones de distribución del riesgo que la formulación hace explícitas.</w:t>
      </w:r>
    </w:p>
    <w:p>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La formulación satisface el primero porque no remite a la convicción del juzgador, sino a la capacidad explicativa de las hipótesis y a la completitud del acervo. La formulación satisface el segundo porque fija un umbral identificable, situado entre los estándares que exigen refutar todas las alternativas y los que solo exigen una mayor probabilidad relativa. La formulación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w:t>
      </w:r>
    </w:p>
    <w:p>
      <w:pPr>
        <w:spacing w:before="0" w:after="0" w:line="360" w:lineRule="auto"/>
        <w:ind w:firstLine="709"/>
        <w:jc w:val="both"/>
      </w:pPr>
      <w:r>
        <w:rPr>
          <w:rFonts w:ascii="Arial" w:eastAsia="Arial" w:hAnsi="Arial" w:cs="Arial"/>
          <w:color w:val="000000"/>
          <w:sz w:val="24"/>
          <w:szCs w:val="24"/>
        </w:rPr>
        <w:t xml:space="preserve">La formulación satisface el quinto criterio, porque determina qué ocurre cuando las condiciones no se cumplen y sobre quién recae entonces el riesgo del error. 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Una misma estructura, basada en la comparación explicativa y en la completitud del acervo, puede emplearse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precedente, y deja abierta la formulación de los estándares para las decisiones de menor alcance.</w:t>
      </w:r>
    </w:p>
    <w:p>
      <w:pPr>
        <w:spacing w:before="0" w:after="0" w:line="360" w:lineRule="auto"/>
        <w:ind w:firstLine="709"/>
        <w:jc w:val="both"/>
      </w:pPr>
      <w:r>
        <w:rPr>
          <w:rFonts w:ascii="Arial" w:eastAsia="Arial" w:hAnsi="Arial" w:cs="Arial"/>
          <w:color w:val="000000"/>
          <w:sz w:val="24"/>
          <w:szCs w:val="24"/>
        </w:rPr>
        <w:t xml:space="preserve">El estándar propuesto expresa una preferencia de error explícita y moderada. Si la hipótesis de la irregularidad no explica los indicios mejor que las alternativas compatibles con la validez, la elección se tiene por válida. Si la explica mejor pero el acervo es incompleto, la elección es válida, salvo incompletitud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En consecuencia, el riesgo del falso negativo recae sobre el actor y la ciudadanía, en la medida en que el acervo no alcance el umbral. El riesgo del falso positivo se reduce porque la irregularidad exige una explicación superior y un acervo completo. La preferencia es moderada, porque el estándar no exige refutar todas las alternativas, lo que haría prácticamente inalcanzable la acreditación de irregularidades encubiertas.</w:t>
      </w:r>
    </w:p>
    <w:p>
      <w:pPr>
        <w:spacing w:before="0" w:after="0" w:line="360" w:lineRule="auto"/>
        <w:ind w:firstLine="709"/>
        <w:jc w:val="both"/>
      </w:pPr>
      <w:r>
        <w:rPr>
          <w:rFonts w:ascii="Arial" w:eastAsia="Arial" w:hAnsi="Arial" w:cs="Arial"/>
          <w:color w:val="000000"/>
          <w:sz w:val="24"/>
          <w:szCs w:val="24"/>
        </w:rPr>
        <w:t xml:space="preserve">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equilibra la carga del actor. El resultado es un diseño en el que la validez sigue siendo la solución por defecto, pero en el que la medida de esa preferencia queda fijada en la ley. Ese diseño plantea una última cuestión de viabilidad. Esa cuestión es si la prueba indiciaria electoral puede alcanzar el estándar.</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resultar inaplicable si exige un tipo de prueba que la materia no puede ofrecer. La prueba de que dispone el contencioso electoral es predominantemente indiciaria. La tesis que se sostiene es que el estándar propuesto es compatible con esa prueba. El estándar formaliza como regla de suficiencia operaciones que el razonamiento indiciario ya exige. La demostración caracteriza primero la naturaleza indiciaria de la prueba electoral y examina cómo adquieren fuerza probatoria los indicios según la doctrina y la jurisprudencia. Después establece la correspondencia entre esos requisitos y las condiciones del estándar. El análisis responde después a las objeciones más previsibles y precisa qué cambia y qué permanece con la reforma. En consecuencia, este examen cierra el argumento central de la investigación.</w:t>
      </w:r>
    </w:p>
    <w:p>
      <w:pPr>
        <w:spacing w:before="0" w:after="0" w:line="360" w:lineRule="auto"/>
        <w:ind w:firstLine="709"/>
        <w:jc w:val="both"/>
      </w:pPr>
      <w:r>
        <w:rPr>
          <w:rFonts w:ascii="Arial" w:eastAsia="Arial" w:hAnsi="Arial" w:cs="Arial"/>
          <w:color w:val="000000"/>
          <w:sz w:val="24"/>
          <w:szCs w:val="24"/>
        </w:rPr>
        <w:t xml:space="preserve">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La Sala añadió que existe un amplio desarrollo doctrinal y práctico sobre la posibilidad de probar conductas antijurídicas a partir de elementos indirectos e inferencias. El proyecto del voto de Rodríguez Mondragón recordó un criterio de la Sala sobre los actos ilícitos. Según ese criterio,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Por tanto, la prueba indirecta es la vía ordinaria de acreditación electoral. La legislación y la jurisprudencia reflejan esa realidad.</w:t>
      </w:r>
    </w:p>
    <w:p>
      <w:pPr>
        <w:spacing w:before="0" w:after="0" w:line="360" w:lineRule="auto"/>
        <w:ind w:firstLine="709"/>
        <w:jc w:val="both"/>
      </w:pPr>
      <w:r>
        <w:rPr>
          <w:rFonts w:ascii="Arial" w:eastAsia="Arial" w:hAnsi="Arial" w:cs="Arial"/>
          <w:color w:val="000000"/>
          <w:sz w:val="24"/>
          <w:szCs w:val="24"/>
        </w:rPr>
        <w:t xml:space="preserve">La ley de medios atribuye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En consecuencia, cualquier estándar para la nulidad de elecciones debe poder operar sobre acervos formados principalmente por indicios. La doctrina explica cómo adquieren fuerza probatoria los indicios. Gascón Abellán señala que el requisito de la pluralidad exige que la prueba de un hecho se funde en más de un indicio. Ese requisito suele acompañarse del de la concordancia, que exige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La autora justifica la pluralidad por dos razones. Ambas razones se refieren a la naturaleza del dato indiciario y del razonamiento que lo procesa.</w:t>
      </w:r>
    </w:p>
    <w:p>
      <w:pPr>
        <w:spacing w:before="0" w:after="0" w:line="360" w:lineRule="auto"/>
        <w:ind w:firstLine="709"/>
        <w:jc w:val="both"/>
      </w:pPr>
      <w:r>
        <w:rPr>
          <w:rFonts w:ascii="Arial" w:eastAsia="Arial" w:hAnsi="Arial" w:cs="Arial"/>
          <w:color w:val="000000"/>
          <w:sz w:val="24"/>
          <w:szCs w:val="24"/>
        </w:rPr>
        <w:t xml:space="preserve">La primera razón es que la pluralidad evita fundar una conclusión en un único dato, que por naturaleza es equívoco. La segunda razón es que el razonamiento indiciario es inductivo, de modo que su resultado es de mera probabilidad y resulta más fiable cuantos más indicios lo apoyen. Gascón Abellán matiza, sin embargo, que nada excluye en principio que un hecho se pruebe con un solo indicio si su calidad epistemológica es muy elevada. Por tanto, la afirmación de que un indicio aislado carece siempre de fuerza demostrativa debe matizarse. La regla general es que la fuerza probatoria depende de la pluralidad y la concordancia. La cantidad de indicios no sustituye, sin embargo,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r>
        <w:rPr>
          <w:rFonts w:ascii="Arial" w:eastAsia="Arial" w:hAnsi="Arial" w:cs="Arial"/>
          <w:color w:val="000000"/>
          <w:sz w:val="24"/>
          <w:szCs w:val="24"/>
        </w:rPr>
        <w:t xml:space="preserve"> La jurisprudencia electoral contiene, junto a esos requisitos, un criterio sobre la graduación de la fuerza de los indicios.</w:t>
      </w:r>
    </w:p>
    <w:p>
      <w:pPr>
        <w:spacing w:before="0" w:after="0" w:line="360" w:lineRule="auto"/>
        <w:ind w:firstLine="709"/>
        <w:jc w:val="both"/>
      </w:pPr>
      <w:r>
        <w:rPr>
          <w:rFonts w:ascii="Arial" w:eastAsia="Arial" w:hAnsi="Arial" w:cs="Arial"/>
          <w:color w:val="000000"/>
          <w:sz w:val="24"/>
          <w:szCs w:val="24"/>
        </w:rPr>
        <w:t xml:space="preserve">La jurisprudencia 38/2002 distingue entre indicios simples e indicios de mayor grado convictivo. El juzgador pondera si hay varias notas de distintos medios y autores, coincidentes en lo sustancial y sin desmentido. Cuando concurren esas circunstancias, la jurisprudencia concluye que los elementos faltantes para alcanzar la fuerza probatoria plena son menores. El criterio muestra que la jurisprudencia ya concibe la prueba indiciaria como una cuestión de grado. El criterio no indica, sin embargo, cuándo el grado alcanzado es suficiente para tener por probado el hecho. La diferencia entre acumular indicios débiles y tejer una red que se corrobora depende de la independencia, la coincidencia y la pertinencia de las fuentes. Esos factores pertenecen a la valoración del valor probatorio y no a la regla de suficiencia. El estándar propuesto se apoya en esa valoración y le añade la decisión sobre la suficiencia que la jurisprudencia deja abierta.</w:t>
      </w:r>
    </w:p>
    <w:p>
      <w:pPr>
        <w:spacing w:before="0" w:after="0" w:line="360" w:lineRule="auto"/>
        <w:ind w:firstLine="709"/>
        <w:jc w:val="both"/>
      </w:pPr>
      <w:r>
        <w:rPr>
          <w:rFonts w:ascii="Arial" w:eastAsia="Arial" w:hAnsi="Arial" w:cs="Arial"/>
          <w:color w:val="000000"/>
          <w:sz w:val="24"/>
          <w:szCs w:val="24"/>
        </w:rPr>
        <w:t xml:space="preserve">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La autora añade que hipótesis rivales pueden resultar suficientemente fundadas.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Por consiguiente, la primera condición convierte esa confrontación en una regla expresa de decisión, cuya aplicación solo exige que el juzgador exponga la comparación que ya debería realizar.</w:t>
      </w:r>
    </w:p>
    <w:p>
      <w:pPr>
        <w:spacing w:before="0" w:after="0" w:line="360" w:lineRule="auto"/>
        <w:ind w:firstLine="709"/>
        <w:jc w:val="both"/>
      </w:pPr>
      <w:r>
        <w:rPr>
          <w:rFonts w:ascii="Arial" w:eastAsia="Arial" w:hAnsi="Arial" w:cs="Arial"/>
          <w:color w:val="000000"/>
          <w:sz w:val="24"/>
          <w:szCs w:val="24"/>
        </w:rPr>
        <w:t xml:space="preserve">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Esa condición no mide la calidad de la relación entre los indicios, sino la riqueza del conjunto de elementos de juicio con que se decide. Ferrer Beltrán distingue el peso probatorio, que mide la completitud, del valor probatorio, que mide la confirmación.</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Por tanto, la distinción entre indicios genuinamente interrelacionados y la mera acumulación de indicios débiles descansa en la segunda condición y en la valoración, no en la completitud.</w:t>
      </w:r>
    </w:p>
    <w:p>
      <w:pPr>
        <w:spacing w:before="0" w:after="0" w:line="360" w:lineRule="auto"/>
        <w:ind w:firstLine="709"/>
        <w:jc w:val="both"/>
      </w:pPr>
      <w:r>
        <w:rPr>
          <w:rFonts w:ascii="Arial" w:eastAsia="Arial" w:hAnsi="Arial" w:cs="Arial"/>
          <w:color w:val="000000"/>
          <w:sz w:val="24"/>
          <w:szCs w:val="24"/>
        </w:rPr>
        <w:t xml:space="preserve">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Las lagunas imputables a la parte beneficiada no impiden satisfacer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Subsiste, con todo, un riesgo de que el acervo no alcance la completitud por razones de tiempo, y ese riesgo es una consecuencia de la distribución elegida que debe reconocerse como tal.</w:t>
      </w:r>
    </w:p>
    <w:p>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Según esa objeción, el estándar permitiría anular una elección con una hipótesis apenas mejor que una alternativa igualmente débil. Ferrer Beltrán reconoce ese problema en los estándares que solo exigen una mayor probabilidad relativa entre hipótesis.</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enfrenta el problema con dos condiciones adicionales, que son la coherencia de la hipótesis con todos los elementos relevantes y la completitud del acervo. La tercera objeción sostiene, en sentido contrario, que el estándar es demasiado exigente frente a irregularidades encubiertas. La respuesta es que el estándar no exige refutar todas las alternativas, exigencia que haría prácticamente inalcanzable la prueba indiciaria de esas irregularidades. En consecuencia, el estándar evita tanto la debilidad de la mera comparación como la rigidez de la refutación total. El proyecto de Rodríguez Mondragón ofrece un apoyo para esa posición intermedia.</w:t>
      </w:r>
    </w:p>
    <w:p>
      <w:pPr>
        <w:spacing w:before="0" w:after="0" w:line="360" w:lineRule="auto"/>
        <w:ind w:firstLine="709"/>
        <w:jc w:val="both"/>
      </w:pPr>
      <w:r>
        <w:rPr>
          <w:rFonts w:ascii="Arial" w:eastAsia="Arial" w:hAnsi="Arial" w:cs="Arial"/>
          <w:color w:val="000000"/>
          <w:sz w:val="24"/>
          <w:szCs w:val="24"/>
        </w:rPr>
        <w:t xml:space="preserve">El proyecto de Rodríguez Mondragón sostuvo que las dificultades probatorias no justifican disminuir el estándar. Según el proyecto,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El estándar formula la exigencia en términos que la prueba indiciaria puede satisfacer sin rebajarla por la dificultad. Por tanto, ninguna de las objeciones demuestra una incompatibilidad estructural entre el estándar y la prueba disponible. 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El estándar tampoco modifica el método de valoración, que seguiría rigiéndose por las reglas de la lógica, la sana crítica y la experiencia.</w:t>
      </w:r>
    </w:p>
    <w:p>
      <w:pPr>
        <w:spacing w:before="0" w:after="0" w:line="360" w:lineRule="auto"/>
        <w:ind w:firstLine="709"/>
        <w:jc w:val="both"/>
      </w:pPr>
      <w:r>
        <w:rPr>
          <w:rFonts w:ascii="Arial" w:eastAsia="Arial" w:hAnsi="Arial" w:cs="Arial"/>
          <w:color w:val="000000"/>
          <w:sz w:val="24"/>
          <w:szCs w:val="24"/>
        </w:rPr>
        <w:t xml:space="preserve">La regla de peso de las documentales públicas permanecería igualmente vigente. El estándar modifica el criterio con que se decide si el acervo, una vez valorado, es suficiente para tener por acreditada la irregularidad. Esa modificación recae sobre el párrafo 3 del artículo 16, que hoy remite la prueba plena a la convicción del órgano. El precepto conserva la redacción publicada en el </w:t>
      </w:r>
      <w:r>
        <w:rPr>
          <w:rFonts w:ascii="Arial" w:eastAsia="Arial" w:hAnsi="Arial" w:cs="Arial"/>
          <w:i/>
          <w:iCs/>
          <w:color w:val="000000"/>
          <w:sz w:val="24"/>
          <w:szCs w:val="24"/>
        </w:rPr>
        <w:t xml:space="preserve">Diario Oficial</w:t>
      </w:r>
      <w:r>
        <w:rPr>
          <w:rFonts w:ascii="Arial" w:eastAsia="Arial" w:hAnsi="Arial" w:cs="Arial"/>
          <w:color w:val="000000"/>
          <w:sz w:val="24"/>
          <w:szCs w:val="24"/>
        </w:rPr>
        <w:t xml:space="preserve"> el 22 de noviembre de 1996, sin reformas de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en el texto legal durante casi treinta años. En consecuencia, la reforma propuesta corrige esa confusión sin alterar las demás piezas del sistema probatorio electoral. La distinción entre el objeto de la prueba y el criterio de su suficiencia es la misma que la investigación ha sostenido entre la valoración de la prueba y el estándar de prueba. Esa distinción puede ilustrarse con una analogía que Ferrer Beltrán propone.</w:t>
      </w:r>
    </w:p>
    <w:p>
      <w:pPr>
        <w:spacing w:before="0" w:after="0" w:line="360" w:lineRule="auto"/>
        <w:ind w:firstLine="709"/>
        <w:jc w:val="both"/>
      </w:pPr>
      <w:r>
        <w:rPr>
          <w:rFonts w:ascii="Arial" w:eastAsia="Arial" w:hAnsi="Arial" w:cs="Arial"/>
          <w:color w:val="000000"/>
          <w:sz w:val="24"/>
          <w:szCs w:val="24"/>
        </w:rPr>
        <w:t xml:space="preserve">La valoración determina cuánto apoyan las pruebas a cada hipótesis, mientras que el estándar determina si ese apoyo basta para decidir. Ferrer Beltrán expresa esa diferencia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Esa jurisprudencia no ha desarrollado, sin embargo, la nota mínima. El estándar propuesto aporta esa nota mínima sin sustituir los criterios de valoración. Por tanto, la compatibilidad con la prueba indiciaria es una consecuencia del diseño. El argumento central partió del diagnóstico de la cláusula mixta del artículo 16. Ese argumento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sobre el artículo 16 de la LGSMIME. La pregunta buscaba determinar en qué medida la ausencia de un estándar de prueba objetivo en ese precepto,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la investigación. Las seis primeras conclusiones corresponden al diagnóstico teórico, histórico y jurisprudencial. Las tres restantes corresponden al fundamento metodológico y a la propuesta. La verificación de la hipótesis y la revisión del cumplimiento de los objetivos siguen a esas nueve conclusiones.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plano de la valoración, porque explica cómo se construyen y se articulan los indicios, pero no dice cuánta corroboración conjunta se requiere para decidir. La fijación de ese umbral es una decisión política sobre la distribución del riesgo del error, que la epistemología no puede tomar. Por ello esa decisión corresponde al legislador y debe expresarse en reglas generales y previas. Un estándar válido debe cumplir cuatro requisitos metodológicos. El estándar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y su párrafo 3 remite la prueba plena a la convicción del órgano que decide. La sana crítica llegó indeterminada, y la práctica española del siglo XIX ya la había acercado a la íntima convicción. La sentencia del caso Tabasco, de diciembre de 2000, aplicó un método de valoración racional que consideró hipótesis alternativas. Esa sentencia expresó la suficiencia, sin embargo, en términos de convencimiento y de posibilidad de un resultado distinto. La jurisprudencia 38/2002 graduó el peso de las notas periodísticas, pero no fijó el punto de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porque enuncia requisitos controlables para los indicios y las inferencias y exige contrastar la conclusión con hipótesis alternativas. Ese avance no alcanzó el plano de la suficiencia. La mayoría expresó el resultado en tres vocabularios distintos, que son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y las reformas constitucionales y legales posteriores reprodujeron la exigencia de plena acreditación sin definirla. Por tanto, el error de categoría subsiste.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ese voto es el primer pronunciamiento en que un integrante de la Sala Superior denuncia que la mayoría no explicitó su estándar. El voto distingue la plena acreditación, que es el resultado de la decisión, del estándar que permite alcanzarla. El voto propone la probabilidad prevalente para la existencia de la irregularidad y un estándar elevado para la autoría, y aplica este último aun en contra de su propia pretensión. La ruptura es, sin embargo, parcial en la aplicación. El voto conserva expresiones de convicción y hace depender el estándar de la modulación judicial. El voto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El precepto reúne en una misma unidad normativa un método racional, reglas legales de peso y un criterio de suficiencia psicológico, sin establecer cómo se articulan. Su defecto es de estructura, porque falta la regla que debería fijar la suficiencia, y la vaguedad y la ambigüedad de algunos de sus términos agravan el problema, pero no lo explican. De ese defecto deriva el funcionamiento inerte de su componente racional, que opera en la valoración, pero no orienta la decisión sobre la suficiencia. La jurisprudencia respondió con nuevas reglas de peso, como las relativas a notas periodísticas, pruebas técnicas y testimoniales. Esas reglas desplazaron el problema sin resolverlo. La interpretación puede despsicologizar la palabra convicción, pero no puede extraer del texto un umbral que el texto no contiene. En consecuencia, la corrección del error exige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Los modelos penal y civil no se trasladan a la nulidad, porque ambos errores afectan a la ciudadanía, ajena al juicio. Los bienes en juego son la certeza sobre el resultado, en sus dimensiones de fidelidad y de firmeza, el derecho al voto y la renovación ordenada de los órganos del poder público. El ordenamiento contiene una preferencia implícita por la validez de las elecciones.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mejor que cualquier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Por tanto, la propuesta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ni se conforma con una mayor probabilidad relativa. La reforma no modifica los medios de prueba admisibles ni el método de valoración. En consecuencia, la reforma se limita a añadir la regla de suficiencia que hoy falta en el contencioso electoral.</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La primera parte de la hipótesis afirmaba que la ausencia de un estándar objetivo y su sustitución por la convicción comprometen la racionalidad del juicio sobre los hechos. El análisis de los casos de 2000 y de 2025 confirma esa primera parte, porque mayorías y minorías leyeron el mismo acervo de manera opuesta sin una regla previa que permitiera arbitrar entre ellas. Las decisiones sobre la suficiencia se expresaron como estados de convicción que no pueden controlarse intersubjetivamente. La segunda parte de la hipótesis afirmaba que un diseño fundado en la relatividad del estándar permite corregir esa carencia sin sacrificar la prueba indiciaria. El fundamento metodológico y la propuesta confirman esa segunda parte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primer objetivo se cumplió con la sistematización del marco teórico de la prueba indiciaria y del estándar de prueba. El segundo se cumplió al identificar el error de categoría en la determinancia y reconstruir el origen de la cláusula híbrida. El tercero se cumplió al demostrar su persistencia en 2025 y caracterizarla como cláusula mixta. El cuarto objetivo se cumplió con la exposición del fundamento metodológico de la relatividad del estándar según los bienes en juego. El quinto se cumplió con la propuesta legislativa y su compatibilidad con la prueba indiciaria. En consecuencia, la investigación alcanzó cada uno de los propósitos que se planteó desde su inicio.</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aportación es un puente conceptual entre la teoría analítica del estándar de prueba y la doctrina mexicana de la determinancia. Esas dos literaturas se habían desarrollado por separado. La segunda aportación es la categoría de cláusula mixta, que permite distinguir el defecto del artículo 16 de la vaguedad y de la ambigüedad. La tercera aportación es la constatación de que el disenso de 2000 y la mayoría de 2025 comparten el vocabulario de la convicción. El disenso de 2025, en cambio, introduce por primera vez la crítica explícita a la ausencia de estándar. La cuarta aportación es una formulación legislativa concreta del estándar, acompañada de las razones de su diseño y de su verificación frente a los requisitos metodológicos. Por tanto, las aportaciones combinan un diagnóstico conceptual con una propuesta normativa aplicable.</w:t>
      </w:r>
    </w:p>
    <w:p>
      <w:pPr>
        <w:spacing w:before="0" w:after="0" w:line="360" w:lineRule="auto"/>
        <w:ind w:firstLine="709"/>
        <w:jc w:val="both"/>
      </w:pPr>
      <w:r>
        <w:rPr>
          <w:rFonts w:ascii="Arial" w:eastAsia="Arial" w:hAnsi="Arial" w:cs="Arial"/>
          <w:color w:val="000000"/>
          <w:sz w:val="24"/>
          <w:szCs w:val="24"/>
        </w:rPr>
        <w:t xml:space="preserve">El trabajo tiene límites que conviene declarar. El análisis es documental y dogmático, y no mide empíricamente el comportamiento de los tribunales. La selección de casos se centró en el caso Tabasco y en el SUP-JIN-194/2025, complementados con otros precedentes relevantes. Esa selección no pretende ser exhaustiva. Los antecedentes parlamentarios de la reforma de 1996 quedaron fuera del acervo examinado, porque exceden el acervo documental de esta investigación. La propuesta se limita a la decisión de mayor alcance, que es la nulidad de una elección, y no gradúa los estándares de las demás decisiones del procedimiento. En consecuencia, las conclusiones valen para el plano normativo y para los casos examinados, y no para la totalidad de la práctica jurisdiccional electoral. Esos límites no debilitan la tesis, pero señalan con precisión las tareas que quedan pendientes.</w:t>
      </w:r>
    </w:p>
    <w:p>
      <w:pPr>
        <w:spacing w:before="0" w:after="0" w:line="360" w:lineRule="auto"/>
        <w:ind w:firstLine="709"/>
        <w:jc w:val="both"/>
      </w:pPr>
      <w:r>
        <w:rPr>
          <w:rFonts w:ascii="Arial" w:eastAsia="Arial" w:hAnsi="Arial" w:cs="Arial"/>
          <w:color w:val="000000"/>
          <w:sz w:val="24"/>
          <w:szCs w:val="24"/>
        </w:rPr>
        <w:t xml:space="preserve">Los límites del trabajo señalan las líneas de investigación futura. La primera línea consiste en examinar los antecedentes legislativos del artículo 16 para contrastar la hipótesis de que la cláusula híbrida resultó de la recepción de fórmulas imprecisas y no de una decisión deliberada. La segunda línea consiste en graduar los estándares aplicables a la nulidad de la votación en casilla, a las medidas cautelares y al incidente de nuevo escrutinio y cómputo. La tercera línea consiste en un estudio empírico de las sentencias de nulidad que permita medir la variación del umbral. La cuarta línea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