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Dedicatoria</w:t>
      </w:r>
    </w:p>
    <w:p w14:paraId="35FB8270"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Agradecimientos</w:t>
      </w:r>
    </w:p>
    <w:p w14:paraId="35FB8272"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Abstract</w:t>
      </w:r>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instrText>TOC \h \o "1-2"</w:instrText>
            <w:fldChar w:fldCharType="separate"/>
          </w:r>
          <w:hyperlink w:anchor="_Toc240931696" w:history="1">
            <w:r>
              <w:rPr>
                <w:rStyle w:val="Hipervnculo"/>
                <w:b/>
                <w:bCs/>
                <w:noProof/>
              </w:rPr>
              <w:t>Dedicatoria</w:t>
            </w:r>
            <w:r>
              <w:rPr>
                <w:noProof/>
              </w:rPr>
              <w:tab/>
              <w:fldChar w:fldCharType="begin"/>
              <w:instrText xml:space="preserve"> PAGEREF _Toc240931696 \h </w:instrText>
              <w:fldChar w:fldCharType="separate"/>
              <w:t>1</w:t>
              <w:fldChar w:fldCharType="end"/>
            </w:r>
          </w:hyperlink>
        </w:p>
        <w:p w14:paraId="2425371E" w14:textId="5DF3DBC8" w:rsidR="002C4D33" w:rsidRDefault="002C4D33">
          <w:pPr>
            <w:pStyle w:val="TDC1"/>
            <w:tabs>
              <w:tab w:val="right" w:leader="dot" w:pos="9350"/>
            </w:tabs>
            <w:rPr>
              <w:noProof/>
            </w:rPr>
          </w:pPr>
          <w:hyperlink w:anchor="_Toc240931697" w:history="1">
            <w:r>
              <w:rPr>
                <w:rStyle w:val="Hipervnculo"/>
                <w:b/>
                <w:bCs/>
                <w:noProof/>
              </w:rPr>
              <w:t>Agradecimientos</w:t>
            </w:r>
            <w:r>
              <w:rPr>
                <w:noProof/>
              </w:rPr>
              <w:tab/>
              <w:fldChar w:fldCharType="begin"/>
              <w:instrText xml:space="preserve"> PAGEREF _Toc240931697 \h </w:instrText>
              <w:fldChar w:fldCharType="separate"/>
              <w:t>1</w:t>
              <w:fldChar w:fldCharType="end"/>
            </w:r>
          </w:hyperlink>
        </w:p>
        <w:p w14:paraId="42C048CC" w14:textId="09645B44" w:rsidR="002C4D33" w:rsidRDefault="002C4D33">
          <w:pPr>
            <w:pStyle w:val="TDC1"/>
            <w:tabs>
              <w:tab w:val="right" w:leader="dot" w:pos="9350"/>
            </w:tabs>
            <w:rPr>
              <w:noProof/>
            </w:rPr>
          </w:pPr>
          <w:hyperlink w:anchor="_Toc240931698" w:history="1">
            <w:r>
              <w:rPr>
                <w:rStyle w:val="Hipervnculo"/>
                <w:b/>
                <w:bCs/>
                <w:noProof/>
              </w:rPr>
              <w:t>Abstract</w:t>
            </w:r>
            <w:r>
              <w:rPr>
                <w:noProof/>
              </w:rPr>
              <w:tab/>
              <w:fldChar w:fldCharType="begin"/>
              <w:instrText xml:space="preserve"> PAGEREF _Toc240931698 \h </w:instrText>
              <w:fldChar w:fldCharType="separate"/>
              <w:t>1</w:t>
              <w:fldChar w:fldCharType="end"/>
            </w:r>
          </w:hyperlink>
        </w:p>
        <w:p w14:paraId="65B59E36" w14:textId="34D7F624" w:rsidR="002C4D33" w:rsidRDefault="002C4D33">
          <w:pPr>
            <w:pStyle w:val="TDC1"/>
            <w:tabs>
              <w:tab w:val="right" w:leader="dot" w:pos="9350"/>
            </w:tabs>
            <w:rPr>
              <w:noProof/>
            </w:rPr>
          </w:pPr>
          <w:hyperlink w:anchor="_Toc240931699" w:history="1">
            <w:r>
              <w:rPr>
                <w:rStyle w:val="Hipervnculo"/>
                <w:b/>
                <w:bCs/>
                <w:noProof/>
              </w:rPr>
              <w:t>Introducción general</w:t>
            </w:r>
            <w:r>
              <w:rPr>
                <w:noProof/>
              </w:rPr>
              <w:tab/>
              <w:fldChar w:fldCharType="begin"/>
              <w:instrText xml:space="preserve"> PAGEREF _Toc240931699 \h </w:instrText>
              <w:fldChar w:fldCharType="separate"/>
              <w:t>1</w:t>
              <w:fldChar w:fldCharType="end"/>
            </w:r>
          </w:hyperlink>
        </w:p>
        <w:p w14:paraId="0383713C" w14:textId="1E0A76DB" w:rsidR="002C4D33" w:rsidRDefault="002C4D33">
          <w:pPr>
            <w:pStyle w:val="TDC2"/>
            <w:tabs>
              <w:tab w:val="right" w:leader="dot" w:pos="9350"/>
            </w:tabs>
            <w:rPr>
              <w:noProof/>
            </w:rPr>
          </w:pPr>
          <w:hyperlink w:anchor="_Toc240931700" w:history="1">
            <w:r>
              <w:rPr>
                <w:rStyle w:val="Hipervnculo"/>
                <w:b/>
                <w:bCs/>
                <w:noProof/>
              </w:rPr>
              <w:t>Nota de fuentes de este avance</w:t>
            </w:r>
            <w:r>
              <w:rPr>
                <w:noProof/>
              </w:rPr>
              <w:tab/>
              <w:fldChar w:fldCharType="begin"/>
              <w:instrText xml:space="preserve"> PAGEREF _Toc240931700 \h </w:instrText>
              <w:fldChar w:fldCharType="separate"/>
              <w:t>1</w:t>
              <w:fldChar w:fldCharType="end"/>
            </w:r>
          </w:hyperlink>
        </w:p>
        <w:p w14:paraId="649BC8B0" w14:textId="187E815B" w:rsidR="002C4D33" w:rsidRDefault="002C4D33">
          <w:pPr>
            <w:pStyle w:val="TDC1"/>
            <w:tabs>
              <w:tab w:val="right" w:leader="dot" w:pos="9350"/>
            </w:tabs>
            <w:rPr>
              <w:noProof/>
            </w:rPr>
          </w:pPr>
          <w:hyperlink w:anchor="_Toc240931701" w:history="1">
            <w:r>
              <w:rPr>
                <w:rStyle w:val="Hipervnculo"/>
                <w:b/>
                <w:bCs/>
                <w:noProof/>
              </w:rPr>
              <w:t>Capítulo I. La prueba indiciaria y el estándar de prueba: marco teórico general</w:t>
            </w:r>
            <w:r>
              <w:rPr>
                <w:noProof/>
              </w:rPr>
              <w:tab/>
              <w:fldChar w:fldCharType="begin"/>
              <w:instrText xml:space="preserve"> PAGEREF _Toc240931701 \h </w:instrText>
              <w:fldChar w:fldCharType="separate"/>
              <w:t>1</w:t>
              <w:fldChar w:fldCharType="end"/>
            </w:r>
          </w:hyperlink>
        </w:p>
        <w:p w14:paraId="476EE320" w14:textId="3B8E25E0" w:rsidR="002C4D33" w:rsidRDefault="002C4D33">
          <w:pPr>
            <w:pStyle w:val="TDC2"/>
            <w:tabs>
              <w:tab w:val="right" w:leader="dot" w:pos="9350"/>
            </w:tabs>
            <w:rPr>
              <w:noProof/>
            </w:rPr>
          </w:pPr>
          <w:hyperlink w:anchor="_Toc240931702" w:history="1">
            <w:r>
              <w:rPr>
                <w:rStyle w:val="Hipervnculo"/>
                <w:b/>
                <w:bCs/>
                <w:noProof/>
              </w:rPr>
              <w:t>1.1. La prueba indiciaria y el método de adminiculación probatoria</w:t>
            </w:r>
            <w:r>
              <w:rPr>
                <w:noProof/>
              </w:rPr>
              <w:tab/>
              <w:fldChar w:fldCharType="begin"/>
              <w:instrText xml:space="preserve"> PAGEREF _Toc240931702 \h </w:instrText>
              <w:fldChar w:fldCharType="separate"/>
              <w:t>1</w:t>
              <w:fldChar w:fldCharType="end"/>
            </w:r>
          </w:hyperlink>
        </w:p>
        <w:p w14:paraId="040C1EA4" w14:textId="2AE01CC3" w:rsidR="002C4D33" w:rsidRDefault="002C4D33">
          <w:pPr>
            <w:pStyle w:val="TDC2"/>
            <w:tabs>
              <w:tab w:val="right" w:leader="dot" w:pos="9350"/>
            </w:tabs>
            <w:rPr>
              <w:noProof/>
            </w:rPr>
          </w:pPr>
          <w:hyperlink w:anchor="_Toc240931703" w:history="1">
            <w:r>
              <w:rPr>
                <w:rStyle w:val="Hipervnculo"/>
                <w:b/>
                <w:bCs/>
                <w:noProof/>
              </w:rPr>
              <w:t>1.2. La distinción entre valoración de la prueba y estándar de prueba</w:t>
            </w:r>
            <w:r>
              <w:rPr>
                <w:noProof/>
              </w:rPr>
              <w:tab/>
              <w:fldChar w:fldCharType="begin"/>
              <w:instrText xml:space="preserve"> PAGEREF _Toc240931703 \h </w:instrText>
              <w:fldChar w:fldCharType="separate"/>
              <w:t>1</w:t>
              <w:fldChar w:fldCharType="end"/>
            </w:r>
          </w:hyperlink>
        </w:p>
        <w:p w14:paraId="60002F26" w14:textId="37CC4CC4" w:rsidR="002C4D33" w:rsidRDefault="002C4D33">
          <w:pPr>
            <w:pStyle w:val="TDC2"/>
            <w:tabs>
              <w:tab w:val="right" w:leader="dot" w:pos="9350"/>
            </w:tabs>
            <w:rPr>
              <w:noProof/>
            </w:rPr>
          </w:pPr>
          <w:hyperlink w:anchor="_Toc240931704" w:history="1">
            <w:r>
              <w:rPr>
                <w:rStyle w:val="Hipervnculo"/>
                <w:b/>
                <w:bCs/>
                <w:noProof/>
              </w:rPr>
              <w:t>1.3. Los requisitos metodológicos de un estándar de prueba válido</w:t>
            </w:r>
            <w:r>
              <w:rPr>
                <w:noProof/>
              </w:rPr>
              <w:tab/>
              <w:fldChar w:fldCharType="begin"/>
              <w:instrText xml:space="preserve"> PAGEREF _Toc240931704 \h </w:instrText>
              <w:fldChar w:fldCharType="separate"/>
              <w:t>1</w:t>
              <w:fldChar w:fldCharType="end"/>
            </w:r>
          </w:hyperlink>
        </w:p>
        <w:p w14:paraId="021DC024" w14:textId="16224FE0" w:rsidR="002C4D33" w:rsidRDefault="002C4D33">
          <w:pPr>
            <w:pStyle w:val="TDC2"/>
            <w:tabs>
              <w:tab w:val="right" w:leader="dot" w:pos="9350"/>
            </w:tabs>
            <w:rPr>
              <w:noProof/>
            </w:rPr>
          </w:pPr>
          <w:hyperlink w:anchor="_Toc240931705" w:history="1">
            <w:r>
              <w:rPr>
                <w:rStyle w:val="Hipervnculo"/>
                <w:b/>
                <w:bCs/>
                <w:noProof/>
              </w:rPr>
              <w:t>Nota de fuentes de este avance</w:t>
            </w:r>
            <w:r>
              <w:rPr>
                <w:noProof/>
              </w:rPr>
              <w:tab/>
              <w:fldChar w:fldCharType="begin"/>
              <w:instrText xml:space="preserve"> PAGEREF _Toc240931705 \h </w:instrText>
              <w:fldChar w:fldCharType="separate"/>
              <w:t>1</w:t>
              <w:fldChar w:fldCharType="end"/>
            </w:r>
          </w:hyperlink>
        </w:p>
        <w:p w14:paraId="4A60D7CE" w14:textId="03454A9B" w:rsidR="002C4D33" w:rsidRDefault="002C4D33">
          <w:pPr>
            <w:pStyle w:val="TDC1"/>
            <w:tabs>
              <w:tab w:val="right" w:leader="dot" w:pos="9350"/>
            </w:tabs>
            <w:rPr>
              <w:noProof/>
            </w:rPr>
          </w:pPr>
          <w:hyperlink w:anchor="_Toc240931706" w:history="1">
            <w:r>
              <w:rPr>
                <w:rStyle w:val="Hipervnculo"/>
                <w:b/>
                <w:bCs/>
                <w:noProof/>
              </w:rPr>
              <w:t>Capítulo II. El puente conceptual entre estándar de prueba y determinancia electoral, y el origen de la cláusula híbrida</w:t>
            </w:r>
            <w:r>
              <w:rPr>
                <w:noProof/>
              </w:rPr>
              <w:tab/>
              <w:fldChar w:fldCharType="begin"/>
              <w:instrText xml:space="preserve"> PAGEREF _Toc240931706 \h </w:instrText>
              <w:fldChar w:fldCharType="separate"/>
              <w:t>1</w:t>
              <w:fldChar w:fldCharType="end"/>
            </w:r>
          </w:hyperlink>
        </w:p>
        <w:p w14:paraId="0043D28F" w14:textId="3DAE09D4" w:rsidR="002C4D33" w:rsidRDefault="002C4D33">
          <w:pPr>
            <w:pStyle w:val="TDC2"/>
            <w:tabs>
              <w:tab w:val="right" w:leader="dot" w:pos="9350"/>
            </w:tabs>
            <w:rPr>
              <w:noProof/>
            </w:rPr>
          </w:pPr>
          <w:hyperlink w:anchor="_Toc240931707" w:history="1">
            <w:r>
              <w:rPr>
                <w:rStyle w:val="Hipervnculo"/>
                <w:b/>
                <w:bCs/>
                <w:noProof/>
              </w:rPr>
              <w:t>2.1. La sana crítica como error de categoría en la doctrina mexicana de la determinancia electoral</w:t>
            </w:r>
            <w:r>
              <w:rPr>
                <w:noProof/>
              </w:rPr>
              <w:tab/>
              <w:fldChar w:fldCharType="begin"/>
              <w:instrText xml:space="preserve"> PAGEREF _Toc240931707 \h </w:instrText>
              <w:fldChar w:fldCharType="separate"/>
              <w:t>1</w:t>
              <w:fldChar w:fldCharType="end"/>
            </w:r>
          </w:hyperlink>
        </w:p>
        <w:p w14:paraId="44F15E76" w14:textId="3BB97360" w:rsidR="002C4D33" w:rsidRDefault="002C4D33">
          <w:pPr>
            <w:pStyle w:val="TDC2"/>
            <w:tabs>
              <w:tab w:val="right" w:leader="dot" w:pos="9350"/>
            </w:tabs>
            <w:rPr>
              <w:noProof/>
            </w:rPr>
          </w:pPr>
          <w:hyperlink w:anchor="_Toc240931708" w:history="1">
            <w:r>
              <w:rPr>
                <w:rStyle w:val="Hipervnculo"/>
                <w:b/>
                <w:bCs/>
                <w:noProof/>
              </w:rPr>
              <w:t>2.2. El origen normativo de la cláusula híbrida: la jurisprudencia 38/2002 y la sentencia SUP-JRC-487/2000</w:t>
            </w:r>
            <w:r>
              <w:rPr>
                <w:noProof/>
              </w:rPr>
              <w:tab/>
              <w:fldChar w:fldCharType="begin"/>
              <w:instrText xml:space="preserve"> PAGEREF _Toc240931708 \h </w:instrText>
              <w:fldChar w:fldCharType="separate"/>
              <w:t>1</w:t>
              <w:fldChar w:fldCharType="end"/>
            </w:r>
          </w:hyperlink>
        </w:p>
        <w:p w14:paraId="7AC1BCA4" w14:textId="1C2961A0" w:rsidR="002C4D33" w:rsidRDefault="002C4D33">
          <w:pPr>
            <w:pStyle w:val="TDC2"/>
            <w:tabs>
              <w:tab w:val="right" w:leader="dot" w:pos="9350"/>
            </w:tabs>
            <w:rPr>
              <w:noProof/>
            </w:rPr>
          </w:pPr>
          <w:hyperlink w:anchor="_Toc240931709" w:history="1">
            <w:r>
              <w:rPr>
                <w:rStyle w:val="Hipervnculo"/>
                <w:b/>
                <w:bCs/>
                <w:noProof/>
              </w:rPr>
              <w:t>2.3. El voto particular de 2000 frente a la sentencia mayoritaria</w:t>
            </w:r>
            <w:r>
              <w:rPr>
                <w:noProof/>
              </w:rPr>
              <w:tab/>
              <w:fldChar w:fldCharType="begin"/>
              <w:instrText xml:space="preserve"> PAGEREF _Toc240931709 \h </w:instrText>
              <w:fldChar w:fldCharType="separate"/>
              <w:t>1</w:t>
              <w:fldChar w:fldCharType="end"/>
            </w:r>
          </w:hyperlink>
        </w:p>
        <w:p w14:paraId="756EDDC1" w14:textId="75A894CA" w:rsidR="002C4D33" w:rsidRDefault="002C4D33">
          <w:pPr>
            <w:pStyle w:val="TDC2"/>
            <w:tabs>
              <w:tab w:val="right" w:leader="dot" w:pos="9350"/>
            </w:tabs>
            <w:rPr>
              <w:noProof/>
            </w:rPr>
          </w:pPr>
          <w:hyperlink w:anchor="_Toc240931710" w:history="1">
            <w:r>
              <w:rPr>
                <w:rStyle w:val="Hipervnculo"/>
                <w:b/>
                <w:bCs/>
                <w:noProof/>
              </w:rPr>
              <w:t>Nota de fuentes y precisión sobre este avance</w:t>
            </w:r>
            <w:r>
              <w:rPr>
                <w:noProof/>
              </w:rPr>
              <w:tab/>
              <w:fldChar w:fldCharType="begin"/>
              <w:instrText xml:space="preserve"> PAGEREF _Toc240931710 \h </w:instrText>
              <w:fldChar w:fldCharType="separate"/>
              <w:t>1</w:t>
              <w:fldChar w:fldCharType="end"/>
            </w:r>
          </w:hyperlink>
        </w:p>
        <w:p w14:paraId="393E30D2" w14:textId="276C203E" w:rsidR="002C4D33" w:rsidRDefault="002C4D33">
          <w:pPr>
            <w:pStyle w:val="TDC1"/>
            <w:tabs>
              <w:tab w:val="right" w:leader="dot" w:pos="9350"/>
            </w:tabs>
            <w:rPr>
              <w:noProof/>
            </w:rPr>
          </w:pPr>
          <w:hyperlink w:anchor="_Toc240931711" w:history="1">
            <w:r>
              <w:rPr>
                <w:rStyle w:val="Hipervnculo"/>
                <w:b/>
                <w:bCs/>
                <w:noProof/>
              </w:rPr>
              <w:t>Capítulo III. La persistencia de la cláusula híbrida veinticinco años después</w:t>
            </w:r>
            <w:r>
              <w:rPr>
                <w:noProof/>
              </w:rPr>
              <w:tab/>
              <w:fldChar w:fldCharType="begin"/>
              <w:instrText xml:space="preserve"> PAGEREF _Toc240931711 \h </w:instrText>
              <w:fldChar w:fldCharType="separate"/>
              <w:t>1</w:t>
              <w:fldChar w:fldCharType="end"/>
            </w:r>
          </w:hyperlink>
        </w:p>
        <w:p w14:paraId="21E3BDEF" w14:textId="60E3ADE6" w:rsidR="002C4D33" w:rsidRDefault="002C4D33">
          <w:pPr>
            <w:pStyle w:val="TDC2"/>
            <w:tabs>
              <w:tab w:val="right" w:leader="dot" w:pos="9350"/>
            </w:tabs>
            <w:rPr>
              <w:noProof/>
            </w:rPr>
          </w:pPr>
          <w:hyperlink w:anchor="_Toc240931712" w:history="1">
            <w:r>
              <w:rPr>
                <w:rStyle w:val="Hipervnculo"/>
                <w:b/>
                <w:bCs/>
                <w:noProof/>
              </w:rPr>
              <w:t>3.1. La fórmula híbrida en la sentencia SUP-JIN-194/2025</w:t>
            </w:r>
            <w:r>
              <w:rPr>
                <w:noProof/>
              </w:rPr>
              <w:tab/>
              <w:fldChar w:fldCharType="begin"/>
              <w:instrText xml:space="preserve"> PAGEREF _Toc240931712 \h </w:instrText>
              <w:fldChar w:fldCharType="separate"/>
              <w:t>1</w:t>
              <w:fldChar w:fldCharType="end"/>
            </w:r>
          </w:hyperlink>
        </w:p>
        <w:p w14:paraId="38FA44E7" w14:textId="3F7D62F7" w:rsidR="002C4D33" w:rsidRDefault="002C4D33">
          <w:pPr>
            <w:pStyle w:val="TDC2"/>
            <w:tabs>
              <w:tab w:val="right" w:leader="dot" w:pos="9350"/>
            </w:tabs>
            <w:rPr>
              <w:noProof/>
            </w:rPr>
          </w:pPr>
          <w:hyperlink w:anchor="_Toc240931713" w:history="1">
            <w:r>
              <w:rPr>
                <w:rStyle w:val="Hipervnculo"/>
                <w:b/>
                <w:bCs/>
                <w:noProof/>
              </w:rPr>
              <w:t>3.2. El voto particular de 2025 frente al de 2000: la aparición de la crítica</w:t>
            </w:r>
            <w:r>
              <w:rPr>
                <w:noProof/>
              </w:rPr>
              <w:tab/>
              <w:fldChar w:fldCharType="begin"/>
              <w:instrText xml:space="preserve"> PAGEREF _Toc240931713 \h </w:instrText>
              <w:fldChar w:fldCharType="separate"/>
              <w:t>1</w:t>
              <w:fldChar w:fldCharType="end"/>
            </w:r>
          </w:hyperlink>
        </w:p>
        <w:p w14:paraId="74322BE7" w14:textId="6B21F5FC" w:rsidR="002C4D33" w:rsidRDefault="002C4D33">
          <w:pPr>
            <w:pStyle w:val="TDC2"/>
            <w:tabs>
              <w:tab w:val="right" w:leader="dot" w:pos="9350"/>
            </w:tabs>
            <w:rPr>
              <w:noProof/>
            </w:rPr>
          </w:pPr>
          <w:hyperlink w:anchor="_Toc240931714" w:history="1">
            <w:r>
              <w:rPr>
                <w:rStyle w:val="Hipervnculo"/>
                <w:b/>
                <w:bCs/>
                <w:noProof/>
              </w:rPr>
              <w:t>3.3. Caracterización teórica de la cláusula del artículo 16 de la LGSMIME como cláusula mixta</w:t>
            </w:r>
            <w:r>
              <w:rPr>
                <w:noProof/>
              </w:rPr>
              <w:tab/>
              <w:fldChar w:fldCharType="begin"/>
              <w:instrText xml:space="preserve"> PAGEREF _Toc240931714 \h </w:instrText>
              <w:fldChar w:fldCharType="separate"/>
              <w:t>1</w:t>
              <w:fldChar w:fldCharType="end"/>
            </w:r>
          </w:hyperlink>
        </w:p>
        <w:p w14:paraId="43CB42E4" w14:textId="7F4D948C" w:rsidR="002C4D33" w:rsidRDefault="002C4D33">
          <w:pPr>
            <w:pStyle w:val="TDC2"/>
            <w:tabs>
              <w:tab w:val="right" w:leader="dot" w:pos="9350"/>
            </w:tabs>
            <w:rPr>
              <w:noProof/>
            </w:rPr>
          </w:pPr>
          <w:hyperlink w:anchor="_Toc240931715" w:history="1">
            <w:r>
              <w:rPr>
                <w:rStyle w:val="Hipervnculo"/>
                <w:b/>
                <w:bCs/>
                <w:noProof/>
              </w:rPr>
              <w:t>Nota de fuentes de este avance</w:t>
            </w:r>
            <w:r>
              <w:rPr>
                <w:noProof/>
              </w:rPr>
              <w:tab/>
              <w:fldChar w:fldCharType="begin"/>
              <w:instrText xml:space="preserve"> PAGEREF _Toc240931715 \h </w:instrText>
              <w:fldChar w:fldCharType="separate"/>
              <w:t>1</w:t>
              <w:fldChar w:fldCharType="end"/>
            </w:r>
          </w:hyperlink>
        </w:p>
        <w:p w14:paraId="67D1F5F9" w14:textId="260D8F0D" w:rsidR="002C4D33" w:rsidRDefault="002C4D33">
          <w:pPr>
            <w:pStyle w:val="TDC1"/>
            <w:tabs>
              <w:tab w:val="right" w:leader="dot" w:pos="9350"/>
            </w:tabs>
            <w:rPr>
              <w:noProof/>
            </w:rPr>
          </w:pPr>
          <w:hyperlink w:anchor="_Toc240931716" w:history="1">
            <w:r>
              <w:rPr>
                <w:rStyle w:val="Hipervnculo"/>
                <w:b/>
                <w:bCs/>
                <w:noProof/>
              </w:rPr>
              <w:t>Capítulo IV. El fundamento metodológico de un estándar de prueba propio para la materia electoral</w:t>
            </w:r>
            <w:r>
              <w:rPr>
                <w:noProof/>
              </w:rPr>
              <w:tab/>
              <w:fldChar w:fldCharType="begin"/>
              <w:instrText xml:space="preserve"> PAGEREF _Toc240931716 \h </w:instrText>
              <w:fldChar w:fldCharType="separate"/>
              <w:t>1</w:t>
              <w:fldChar w:fldCharType="end"/>
            </w:r>
          </w:hyperlink>
        </w:p>
        <w:p w14:paraId="7CD646CB" w14:textId="30A7A6AD" w:rsidR="002C4D33" w:rsidRDefault="002C4D33">
          <w:pPr>
            <w:pStyle w:val="TDC2"/>
            <w:tabs>
              <w:tab w:val="right" w:leader="dot" w:pos="9350"/>
            </w:tabs>
            <w:rPr>
              <w:noProof/>
            </w:rPr>
          </w:pPr>
          <w:hyperlink w:anchor="_Toc240931717" w:history="1">
            <w:r>
              <w:rPr>
                <w:rStyle w:val="Hipervnculo"/>
                <w:b/>
                <w:bCs/>
                <w:noProof/>
              </w:rPr>
              <w:t>4.1. La distribución del riesgo del error como función del estándar de prueba</w:t>
            </w:r>
            <w:r>
              <w:rPr>
                <w:noProof/>
              </w:rPr>
              <w:tab/>
              <w:fldChar w:fldCharType="begin"/>
              <w:instrText xml:space="preserve"> PAGEREF _Toc240931717 \h </w:instrText>
              <w:fldChar w:fldCharType="separate"/>
              <w:t>1</w:t>
              <w:fldChar w:fldCharType="end"/>
            </w:r>
          </w:hyperlink>
        </w:p>
        <w:p w14:paraId="4366C4D2" w14:textId="0863E891" w:rsidR="002C4D33" w:rsidRDefault="002C4D33">
          <w:pPr>
            <w:pStyle w:val="TDC2"/>
            <w:tabs>
              <w:tab w:val="right" w:leader="dot" w:pos="9350"/>
            </w:tabs>
            <w:rPr>
              <w:noProof/>
            </w:rPr>
          </w:pPr>
          <w:hyperlink w:anchor="_Toc240931718" w:history="1">
            <w:r>
              <w:rPr>
                <w:rStyle w:val="Hipervnculo"/>
                <w:b/>
                <w:bCs/>
                <w:noProof/>
              </w:rPr>
              <w:t>4.2. La relatividad del estándar de prueba según los bienes en juego y los costes del error</w:t>
            </w:r>
            <w:r>
              <w:rPr>
                <w:noProof/>
              </w:rPr>
              <w:tab/>
              <w:fldChar w:fldCharType="begin"/>
              <w:instrText xml:space="preserve"> PAGEREF _Toc240931718 \h </w:instrText>
              <w:fldChar w:fldCharType="separate"/>
              <w:t>1</w:t>
              <w:fldChar w:fldCharType="end"/>
            </w:r>
          </w:hyperlink>
        </w:p>
        <w:p w14:paraId="5899757E" w14:textId="056DB327" w:rsidR="002C4D33" w:rsidRDefault="002C4D33">
          <w:pPr>
            <w:pStyle w:val="TDC2"/>
            <w:tabs>
              <w:tab w:val="right" w:leader="dot" w:pos="9350"/>
            </w:tabs>
            <w:rPr>
              <w:noProof/>
            </w:rPr>
          </w:pPr>
          <w:hyperlink w:anchor="_Toc240931719" w:history="1">
            <w:r>
              <w:rPr>
                <w:rStyle w:val="Hipervnculo"/>
                <w:b/>
                <w:bCs/>
                <w:noProof/>
              </w:rPr>
              <w:t>4.3. Los bienes en juego propios del contencioso electoral mexicano</w:t>
            </w:r>
            <w:r>
              <w:rPr>
                <w:noProof/>
              </w:rPr>
              <w:tab/>
              <w:fldChar w:fldCharType="begin"/>
              <w:instrText xml:space="preserve"> PAGEREF _Toc240931719 \h </w:instrText>
              <w:fldChar w:fldCharType="separate"/>
              <w:t>1</w:t>
              <w:fldChar w:fldCharType="end"/>
            </w:r>
          </w:hyperlink>
        </w:p>
        <w:p w14:paraId="123D4E60" w14:textId="7DAD228B" w:rsidR="002C4D33" w:rsidRDefault="002C4D33">
          <w:pPr>
            <w:pStyle w:val="TDC2"/>
            <w:tabs>
              <w:tab w:val="right" w:leader="dot" w:pos="9350"/>
            </w:tabs>
            <w:rPr>
              <w:noProof/>
            </w:rPr>
          </w:pPr>
          <w:hyperlink w:anchor="_Toc240931720" w:history="1">
            <w:r>
              <w:rPr>
                <w:rStyle w:val="Hipervnculo"/>
                <w:b/>
                <w:bCs/>
                <w:noProof/>
              </w:rPr>
              <w:t>Nota de fuentes de este avance</w:t>
            </w:r>
            <w:r>
              <w:rPr>
                <w:noProof/>
              </w:rPr>
              <w:tab/>
              <w:fldChar w:fldCharType="begin"/>
              <w:instrText xml:space="preserve"> PAGEREF _Toc240931720 \h </w:instrText>
              <w:fldChar w:fldCharType="separate"/>
              <w:t>1</w:t>
              <w:fldChar w:fldCharType="end"/>
            </w:r>
          </w:hyperlink>
        </w:p>
        <w:p w14:paraId="54F4660E" w14:textId="5766AC9F" w:rsidR="002C4D33" w:rsidRDefault="002C4D33">
          <w:pPr>
            <w:pStyle w:val="TDC1"/>
            <w:tabs>
              <w:tab w:val="right" w:leader="dot" w:pos="9350"/>
            </w:tabs>
            <w:rPr>
              <w:noProof/>
            </w:rPr>
          </w:pPr>
          <w:hyperlink w:anchor="_Toc240931721" w:history="1">
            <w:r>
              <w:rPr>
                <w:rStyle w:val="Hipervnculo"/>
                <w:b/>
                <w:bCs/>
                <w:noProof/>
              </w:rPr>
              <w:t>Capítulo V. Propuesta de diseño legislativo de un estándar de prueba para el contencioso electoral mexicano</w:t>
            </w:r>
            <w:r>
              <w:rPr>
                <w:noProof/>
              </w:rPr>
              <w:tab/>
              <w:fldChar w:fldCharType="begin"/>
              <w:instrText xml:space="preserve"> PAGEREF _Toc240931721 \h </w:instrText>
              <w:fldChar w:fldCharType="separate"/>
              <w:t>1</w:t>
              <w:fldChar w:fldCharType="end"/>
            </w:r>
          </w:hyperlink>
        </w:p>
        <w:p w14:paraId="3EFC153B" w14:textId="29B80AE1" w:rsidR="002C4D33" w:rsidRDefault="002C4D33">
          <w:pPr>
            <w:pStyle w:val="TDC2"/>
            <w:tabs>
              <w:tab w:val="right" w:leader="dot" w:pos="9350"/>
            </w:tabs>
            <w:rPr>
              <w:noProof/>
            </w:rPr>
          </w:pPr>
          <w:hyperlink w:anchor="_Toc240931722" w:history="1">
            <w:r>
              <w:rPr>
                <w:rStyle w:val="Hipervnculo"/>
                <w:b/>
                <w:bCs/>
                <w:noProof/>
              </w:rPr>
              <w:t>5.1. Criterios para la reforma del artículo 16 de la LGSMIME</w:t>
            </w:r>
            <w:r>
              <w:rPr>
                <w:noProof/>
              </w:rPr>
              <w:tab/>
              <w:fldChar w:fldCharType="begin"/>
              <w:instrText xml:space="preserve"> PAGEREF _Toc240931722 \h </w:instrText>
              <w:fldChar w:fldCharType="separate"/>
              <w:t>1</w:t>
              <w:fldChar w:fldCharType="end"/>
            </w:r>
          </w:hyperlink>
        </w:p>
        <w:p w14:paraId="67C752B8" w14:textId="76E0BB33" w:rsidR="002C4D33" w:rsidRDefault="002C4D33">
          <w:pPr>
            <w:pStyle w:val="TDC2"/>
            <w:tabs>
              <w:tab w:val="right" w:leader="dot" w:pos="9350"/>
            </w:tabs>
            <w:rPr>
              <w:noProof/>
            </w:rPr>
          </w:pPr>
          <w:hyperlink w:anchor="_Toc240931723" w:history="1">
            <w:r>
              <w:rPr>
                <w:rStyle w:val="Hipervnculo"/>
                <w:b/>
                <w:bCs/>
                <w:noProof/>
              </w:rPr>
              <w:t>5.2. Formulación del estándar de prueba propuesto</w:t>
            </w:r>
            <w:r>
              <w:rPr>
                <w:noProof/>
              </w:rPr>
              <w:tab/>
              <w:fldChar w:fldCharType="begin"/>
              <w:instrText xml:space="preserve"> PAGEREF _Toc240931723 \h </w:instrText>
              <w:fldChar w:fldCharType="separate"/>
              <w:t>1</w:t>
              <w:fldChar w:fldCharType="end"/>
            </w:r>
          </w:hyperlink>
        </w:p>
        <w:p w14:paraId="64BD5853" w14:textId="46740AD6" w:rsidR="002C4D33" w:rsidRDefault="002C4D33">
          <w:pPr>
            <w:pStyle w:val="TDC2"/>
            <w:tabs>
              <w:tab w:val="right" w:leader="dot" w:pos="9350"/>
            </w:tabs>
            <w:rPr>
              <w:noProof/>
            </w:rPr>
          </w:pPr>
          <w:hyperlink w:anchor="_Toc240931724" w:history="1">
            <w:r>
              <w:rPr>
                <w:rStyle w:val="Hipervnculo"/>
                <w:b/>
                <w:bCs/>
                <w:noProof/>
              </w:rPr>
              <w:t>5.3. Compatibilidad del estándar propuesto con la naturaleza indiciaria de la prueba electoral</w:t>
            </w:r>
            <w:r>
              <w:rPr>
                <w:noProof/>
              </w:rPr>
              <w:tab/>
              <w:fldChar w:fldCharType="begin"/>
              <w:instrText xml:space="preserve"> PAGEREF _Toc240931724 \h </w:instrText>
              <w:fldChar w:fldCharType="separate"/>
              <w:t>1</w:t>
              <w:fldChar w:fldCharType="end"/>
            </w:r>
          </w:hyperlink>
        </w:p>
        <w:p w14:paraId="4EF24F2E" w14:textId="195E2D16" w:rsidR="002C4D33" w:rsidRDefault="002C4D33">
          <w:pPr>
            <w:pStyle w:val="TDC2"/>
            <w:tabs>
              <w:tab w:val="right" w:leader="dot" w:pos="9350"/>
            </w:tabs>
            <w:rPr>
              <w:noProof/>
            </w:rPr>
          </w:pPr>
          <w:hyperlink w:anchor="_Toc240931725" w:history="1">
            <w:r>
              <w:rPr>
                <w:rStyle w:val="Hipervnculo"/>
                <w:b/>
                <w:bCs/>
                <w:noProof/>
              </w:rPr>
              <w:t>Nota de fuentes de este avance</w:t>
            </w:r>
            <w:r>
              <w:rPr>
                <w:noProof/>
              </w:rPr>
              <w:tab/>
              <w:fldChar w:fldCharType="begin"/>
              <w:instrText xml:space="preserve"> PAGEREF _Toc240931725 \h </w:instrText>
              <w:fldChar w:fldCharType="separate"/>
              <w:t>1</w:t>
              <w:fldChar w:fldCharType="end"/>
            </w:r>
          </w:hyperlink>
        </w:p>
        <w:p w14:paraId="35FB827A" w14:textId="40D4682F" w:rsidR="00A32EF9" w:rsidRDefault="00E354C7">
          <w:r>
            <w:fldChar w:fldCharType="end"/>
          </w:r>
        </w:p>
      </w:sdtContent>
    </w:sdt>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Relación de abreviaturas</w:t>
      </w:r>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DOF</w:t>
            </w:r>
          </w:p>
        </w:tc>
        <w:tc>
          <w:tcPr>
            <w:tcW w:w="6838" w:type="dxa"/>
          </w:tcPr>
          <w:p>
            <w:pPr>
              <w:spacing w:before="0" w:after="0" w:line="360" w:lineRule="auto"/>
              <w:jc w:val="left"/>
            </w:pPr>
            <w:r>
              <w:rPr>
                <w:rFonts w:ascii="Arial" w:eastAsia="Arial" w:hAnsi="Arial" w:cs="Arial"/>
                <w:color w:val="000000"/>
                <w:sz w:val="24"/>
                <w:szCs w:val="24"/>
              </w:rPr>
              <w:t xml:space="preserve">Diario Oficial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Introducción general</w:t>
      </w:r>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w:t>
      </w:r>
    </w:p>
    <w:p>
      <w:pPr>
        <w:pStyle w:val="Ttulo1"/>
        <w:keepNext/>
        <w:spacing w:before="0" w:after="0" w:line="360" w:lineRule="auto"/>
        <w:jc w:val="center"/>
      </w:pPr>
      <w:r>
        <w:rPr>
          <w:rFonts w:ascii="Arial" w:eastAsia="Arial" w:hAnsi="Arial" w:cs="Arial"/>
          <w:b/>
          <w:bCs/>
          <w:color w:val="000000"/>
          <w:sz w:val="24"/>
          <w:szCs w:val="24"/>
        </w:rPr>
        <w:t xml:space="preserve">La prueba indiciaria y el estándar de prueba: marco teórico general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pPr>
        <w:spacing w:before="0" w:after="0" w:line="360" w:lineRule="auto"/>
        <w:jc w:val="left"/>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Coherencia, no refutación y eliminación de hipótesis alternativas</w:t>
            </w:r>
          </w:p>
        </w:tc>
      </w:tr>
    </w:tbl>
    <w:p w14:paraId="4BA9792A"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1. Componentes del razonamiento indiciario. Elaboración propia con base en González Lagier, Quaestio facti, pp. 55-62 y 80-91, e Igartua Salaverría, Indicios, duda razonable, prueba científica, pp. 42-46.</w:t>
      </w:r>
    </w:p>
    <w:p>
      <w:pPr>
        <w:spacing w:before="0" w:after="0" w:line="360" w:lineRule="auto"/>
        <w:jc w:val="left"/>
      </w:pP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Los contraindicios no desvirtuados desarticulan la convergencia del conjunto.</w:t>
            </w:r>
          </w:p>
        </w:tc>
      </w:tr>
    </w:tbl>
    <w:p w14:paraId="321E52CE"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lastRenderedPageBreak/>
        <w:t xml:space="preserve">Tabla 2. Clasificaciones de los indicios y sus efectos. Elaboración propia con base en Mittermaier, pp. 365-378, Carnelutti, p. 219, Cortés Coto, pp. 280-287, e Igartua Salaverría, p. 48.</w:t>
      </w:r>
    </w:p>
    <w:p>
      <w:pPr>
        <w:spacing w:before="0" w:after="0" w:line="360" w:lineRule="auto"/>
        <w:jc w:val="left"/>
      </w:pP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legislador o, en su defecto, la jurisprudencia</w:t>
            </w:r>
          </w:p>
        </w:tc>
      </w:tr>
    </w:tbl>
    <w:p w14:paraId="63FAA4ED"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3. Deslinde entre adminiculación y estándar de prueba. Elaboración propia con base en Ferrer Beltrán, La valoración racional de la prueba, pp. 41-49, e Igartua Salaverría, Indicios, duda razonable, prueba científica, pp. 39 y 51.</w:t>
      </w:r>
    </w:p>
    <w:p>
      <w:pPr>
        <w:spacing w:before="0" w:after="0" w:line="360" w:lineRule="auto"/>
        <w:jc w:val="left"/>
      </w:pP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de Enjuiciamiento Criminal</w:t>
            </w:r>
            <w:r>
              <w:rPr>
                <w:rFonts w:ascii="Arial" w:eastAsia="Arial" w:hAnsi="Arial" w:cs="Arial"/>
                <w:color w:val="000000"/>
                <w:sz w:val="22"/>
                <w:szCs w:val="22"/>
              </w:rPr>
              <w:t xml:space="preserve">,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Penal</w:t>
            </w:r>
            <w:r>
              <w:rPr>
                <w:rFonts w:ascii="Arial" w:eastAsia="Arial" w:hAnsi="Arial" w:cs="Arial"/>
                <w:color w:val="000000"/>
                <w:sz w:val="22"/>
                <w:szCs w:val="22"/>
              </w:rPr>
              <w:t xml:space="preserve">,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 y Comercial de la Nación</w:t>
            </w:r>
            <w:r>
              <w:rPr>
                <w:rFonts w:ascii="Arial" w:eastAsia="Arial" w:hAnsi="Arial" w:cs="Arial"/>
                <w:color w:val="000000"/>
                <w:sz w:val="22"/>
                <w:szCs w:val="22"/>
              </w:rPr>
              <w:t xml:space="preserve">,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w:t>
            </w:r>
            <w:r>
              <w:rPr>
                <w:rFonts w:ascii="Arial" w:eastAsia="Arial" w:hAnsi="Arial" w:cs="Arial"/>
                <w:color w:val="000000"/>
                <w:sz w:val="22"/>
                <w:szCs w:val="22"/>
              </w:rPr>
              <w:t xml:space="preserve">,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bl>
    <w:p w14:paraId="5DE6E1B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1. Formulaciones legislativas de la suficiencia probatoria. Elaboración propia con base en Ferrer Beltrán, Prueba sin convicción, pp. 20, 21, 30 y 175, y en el texto vigente de los ordenamientos mexicanos citados.</w:t>
      </w:r>
    </w:p>
    <w:p>
      <w:pPr>
        <w:spacing w:before="0" w:after="0" w:line="360" w:lineRule="auto"/>
        <w:jc w:val="left"/>
      </w:pP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tabla anterior confirma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Estándares de prueba, cargas de la prueba y presunciones</w:t>
            </w:r>
          </w:p>
        </w:tc>
      </w:tr>
    </w:tbl>
    <w:p w14:paraId="13F1C78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2. Los tres momentos de la actividad probatoria. Elaboración propia con base en Ferrer Beltrán, La prueba es libertad, pero no tanto, pp. 24-28, y Prueba sin convicción, pp. 22-24.</w:t>
      </w:r>
    </w:p>
    <w:p>
      <w:pPr>
        <w:spacing w:before="0" w:after="0" w:line="360" w:lineRule="auto"/>
        <w:jc w:val="left"/>
      </w:pP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Cuándo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Artículo 15, párrafo 2, de la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Ausente como regla explícita. Sustituido por la convicción y por la plena acreditación</w:t>
            </w:r>
          </w:p>
        </w:tc>
      </w:tr>
    </w:tbl>
    <w:p w14:paraId="638C51D1"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 xml:space="preserve">Tabla 3. Deslinde entre carga de la prueba y estándar de prueba. Elaboración propia con base en Ferrer Beltrán, Prueba sin convicción, pp. 19, 114 y 142,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w:t>
      </w:r>
    </w:p>
    <w:p>
      <w:pPr>
        <w:spacing w:before="0" w:after="0" w:line="360" w:lineRule="auto"/>
        <w:jc w:val="left"/>
      </w:pP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Constitución federal,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carga, no estándar</w:t>
            </w:r>
          </w:p>
        </w:tc>
      </w:tr>
    </w:tbl>
    <w:p w14:paraId="709D2E12"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4. Diagnóstico de disposiciones mexicanas conforme a los requisitos de un estándar de prueba. Elaboración propia con base en los requisitos propuestos por Ferrer Beltrán, Prueba sin convicción, p. 29.</w:t>
      </w:r>
    </w:p>
    <w:p>
      <w:pPr>
        <w:spacing w:before="0" w:after="0" w:line="360" w:lineRule="auto"/>
        <w:jc w:val="left"/>
      </w:pP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Coherencia del procedimiento</w:t>
            </w:r>
          </w:p>
        </w:tc>
      </w:tr>
    </w:tbl>
    <w:p w14:paraId="38526140"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1. Los requisitos metodológicos de un estándar de prueba. Elaboración propia con base en Ferrer Beltrán, Prueba sin convicción, pp. 29-35, 65 y 100-103.</w:t>
      </w:r>
    </w:p>
    <w:p>
      <w:pPr>
        <w:spacing w:before="0" w:after="0" w:line="360" w:lineRule="auto"/>
        <w:jc w:val="left"/>
      </w:pP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es significativa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Fiabilidad de la inferencia y eliminación de hipótesis rivales</w:t>
            </w:r>
          </w:p>
        </w:tc>
      </w:tr>
    </w:tbl>
    <w:p w14:paraId="397321A1"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2. Probabilidad matemática y probabilidad inductiva. Elaboración propia con base en Ferrer Beltrán, Prueba sin convicción, pp. 89-91 y 100, y Haack, El probabilismo jurídico, pp. 78-82.</w:t>
      </w:r>
    </w:p>
    <w:p>
      <w:pPr>
        <w:spacing w:before="0" w:after="0" w:line="360" w:lineRule="auto"/>
        <w:jc w:val="left"/>
      </w:pP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Queda por precisar con qué razones debe fijarse el umbral. Su fijación es una decisión política, pero no una decisión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Pr>
          <w:rFonts w:ascii="Arial" w:eastAsia="Arial" w:hAnsi="Arial" w:cs="Arial"/>
          <w:color w:val="000000"/>
          <w:sz w:val="24"/>
          <w:szCs w:val="24"/>
          <w:vertAlign w:val="superscript"/>
        </w:rPr>
        <w:footnoteReference w:id="22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Enlaza con el cuarto requisito metodológico</w:t>
            </w:r>
          </w:p>
        </w:tc>
      </w:tr>
    </w:tbl>
    <w:p w14:paraId="59BF274F"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3. Razones para fijar el umbral de suficiencia probatoria. Elaboración propia con base en Ferrer Beltrán, Prueba sin convicción, pp. 154-170.</w:t>
      </w:r>
    </w:p>
    <w:p>
      <w:pPr>
        <w:spacing w:before="0" w:after="0" w:line="360" w:lineRule="auto"/>
        <w:jc w:val="left"/>
      </w:pP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 que se sintetizan en la tabla 4.</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probablemente verdadera que la de la parte contraria</w:t>
            </w:r>
          </w:p>
        </w:tc>
      </w:tr>
    </w:tbl>
    <w:p w14:paraId="134E22CD"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4. Ejemplos de estándares de prueba de exigencia decreciente. Paráfrasis propia de Ferrer Beltrán, Prueba sin convicción, pp. 209 y 210.</w:t>
      </w:r>
    </w:p>
    <w:p>
      <w:pPr>
        <w:spacing w:before="0" w:after="0" w:line="360" w:lineRule="auto"/>
        <w:jc w:val="left"/>
      </w:pP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 xml:space="preserve">Constitución,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diseño legislativo</w:t>
            </w:r>
          </w:p>
        </w:tc>
      </w:tr>
    </w:tbl>
    <w:p w14:paraId="0F257337"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5. Matriz de diagnóstico de reglas de suficiencia conforme a los requisitos metodológicos. Elaboración propia con base en Ferrer Beltrán, Prueba sin convicción, pp. 29, 214 y 215, y en los textos normativos citados.</w:t>
      </w:r>
    </w:p>
    <w:p>
      <w:pPr>
        <w:spacing w:before="0" w:after="0" w:line="360" w:lineRule="auto"/>
        <w:jc w:val="left"/>
      </w:pP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w:t>
      </w:r>
    </w:p>
    <w:p>
      <w:pPr>
        <w:pStyle w:val="Ttulo1"/>
        <w:keepNext/>
        <w:spacing w:before="0" w:after="0" w:line="360" w:lineRule="auto"/>
        <w:jc w:val="center"/>
      </w:pPr>
      <w:r>
        <w:rPr>
          <w:rFonts w:ascii="Arial" w:eastAsia="Arial" w:hAnsi="Arial" w:cs="Arial"/>
          <w:b/>
          <w:bCs/>
          <w:color w:val="000000"/>
          <w:sz w:val="24"/>
          <w:szCs w:val="24"/>
        </w:rPr>
        <w:t xml:space="preserve">El puente conceptual entre estándar de prueba y determinancia electoral, y el origen de la cláusula híbrida</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 La tabla 1 sintetiza esta evolución.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Añade la injerencia extranjera como causal de nulidad</w:t>
            </w:r>
          </w:p>
        </w:tc>
      </w:tr>
    </w:tbl>
    <w:p w14:paraId="08E7395F"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1. Evolución de la determinancia en la jurisprudencia y en la Constitución. Elaboración propia con base en los criterios citados y en Olaiz González, Estudio de la sentencia SUP-JIN-359/2012, pp. 58-73.</w:t>
      </w:r>
    </w:p>
    <w:p>
      <w:pPr>
        <w:spacing w:before="0" w:after="0" w:line="360" w:lineRule="auto"/>
        <w:jc w:val="left"/>
      </w:pP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Primero y segundo, pues remite a la apreciación del juzgador sin umbral identificable</w:t>
            </w:r>
          </w:p>
        </w:tc>
      </w:tr>
    </w:tbl>
    <w:p w14:paraId="15DEF71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2. El error de categoría en los tres factores de la determinancia. Elaboración propia con base en Ferrer Beltrán, Prueba sin convicción, p. 29, y en los criterios jurisprudenciales citados.</w:t>
      </w:r>
    </w:p>
    <w:p>
      <w:pPr>
        <w:spacing w:before="0" w:after="0" w:line="360" w:lineRule="auto"/>
        <w:jc w:val="left"/>
      </w:pP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La tabla 3 compara estos casos con el SUP-REC-1388/2018.</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bl>
    <w:p w14:paraId="14FBBEF0"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pPr>
        <w:spacing w:before="0" w:after="0" w:line="360" w:lineRule="auto"/>
        <w:jc w:val="left"/>
      </w:pP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Factores cualitativo,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Nulidades imprevisibles ante acervos análogos</w:t>
            </w:r>
          </w:p>
        </w:tc>
      </w:tr>
    </w:tbl>
    <w:p w14:paraId="4D015B4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4. Paralelismo entre el artículo 16 y la determinancia. Elaboración propia.</w:t>
      </w:r>
    </w:p>
    <w:p>
      <w:pPr>
        <w:spacing w:before="0" w:after="0" w:line="360" w:lineRule="auto"/>
        <w:jc w:val="left"/>
      </w:pP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En síntesis, 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Incumple el primer requisito y no satisface el segundo</w:t>
            </w:r>
          </w:p>
        </w:tc>
      </w:tr>
    </w:tbl>
    <w:p w14:paraId="2C8C4060"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 xml:space="preserve">Tabla 1. Estructura de la cláusula híbrida.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y en Ferrer Beltrán, Prueba sin convicción, p. 29.</w:t>
      </w:r>
    </w:p>
    <w:p>
      <w:pPr>
        <w:spacing w:before="0" w:after="0" w:line="360" w:lineRule="auto"/>
        <w:jc w:val="left"/>
      </w:pP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 y racionalidad controlable en un mismo párrafo</w:t>
            </w:r>
          </w:p>
        </w:tc>
      </w:tr>
    </w:tbl>
    <w:p w14:paraId="1697EEB4"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2. Trayectoria de la cláusula híbrida. Elaboración propia con base en Benfeld, Los orígenes del concepto de sana crítica, pp. 571-579, Zamacona Madrigal y García Rodríguez, p. 272, y las resoluciones citadas.</w:t>
      </w:r>
    </w:p>
    <w:p>
      <w:pPr>
        <w:spacing w:before="0" w:after="0" w:line="360" w:lineRule="auto"/>
        <w:jc w:val="left"/>
      </w:pP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Plena convicción</w:t>
            </w:r>
          </w:p>
        </w:tc>
      </w:tr>
    </w:tbl>
    <w:p w14:paraId="39DBD772"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3. Precedentes de la jurisprudencia 38/2002. Elaboración propia con base en las sentencias citadas.</w:t>
      </w:r>
    </w:p>
    <w:p>
      <w:pPr>
        <w:spacing w:before="0" w:after="0" w:line="360" w:lineRule="auto"/>
        <w:jc w:val="left"/>
      </w:pP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suficiente según el estándar aplicable</w:t>
            </w:r>
          </w:p>
        </w:tc>
      </w:tr>
    </w:tbl>
    <w:p w14:paraId="2A9E9B83"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4. Método y suficiencia en resoluciones seleccionadas. Elaboración propia con base en las resoluciones citadas.</w:t>
      </w:r>
    </w:p>
    <w:p>
      <w:pPr>
        <w:spacing w:before="0" w:after="0" w:line="360" w:lineRule="auto"/>
        <w:jc w:val="left"/>
      </w:pP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La tabla 1 sintetiza el contraste entre las inferencias de la mayoría y las objeciones de la minoría.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Congruencia entre casos</w:t>
            </w:r>
          </w:p>
        </w:tc>
      </w:tr>
    </w:tbl>
    <w:p w14:paraId="6E682FFC"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1. Inferencias de la mayoría y objeciones de la minoría en el caso Tabasco. Elaboración propia con base en la sentencia, t. I, pp. 499-505, y en el voto particular, t. II, pp. 2-7.</w:t>
      </w:r>
    </w:p>
    <w:p>
      <w:pPr>
        <w:spacing w:before="0" w:after="0" w:line="360" w:lineRule="auto"/>
        <w:jc w:val="left"/>
      </w:pP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r>
    </w:tbl>
    <w:p w14:paraId="583D89C6"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2. El par cuantitativo y cualitativo en el voto de 2000 y en la tesis XXXI/2004. Elaboración propia con base en el voto particular, t. II, pp. 3 y 269, y en la tesis XXXI/2004.</w:t>
      </w:r>
    </w:p>
    <w:p>
      <w:pPr>
        <w:spacing w:before="0" w:after="0" w:line="360" w:lineRule="auto"/>
        <w:jc w:val="left"/>
      </w:pP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 La tabla 3 compara ambos disensos.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Convicción de la minoría y suma de indicios no demostrados</w:t>
            </w:r>
          </w:p>
        </w:tc>
      </w:tr>
    </w:tbl>
    <w:p w14:paraId="51E0064F"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3. Continuidad del disenso entre los casos Tabasco y Colima. Elaboración propia con base en el voto particular del caso Tabasco, t. II, pp. 1-7, y en el SUP-JRC-221/2003, pp. 590-597 y 647.</w:t>
      </w:r>
    </w:p>
    <w:p>
      <w:pPr>
        <w:spacing w:before="0" w:after="0" w:line="360" w:lineRule="auto"/>
        <w:jc w:val="left"/>
      </w:pP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III</w:t>
      </w:r>
    </w:p>
    <w:p>
      <w:pPr>
        <w:pStyle w:val="Ttulo1"/>
        <w:keepNext/>
        <w:spacing w:before="0" w:after="0" w:line="360" w:lineRule="auto"/>
        <w:jc w:val="center"/>
      </w:pPr>
      <w:r>
        <w:rPr>
          <w:rFonts w:ascii="Arial" w:eastAsia="Arial" w:hAnsi="Arial" w:cs="Arial"/>
          <w:b/>
          <w:bCs/>
          <w:color w:val="000000"/>
          <w:sz w:val="24"/>
          <w:szCs w:val="24"/>
        </w:rPr>
        <w:t xml:space="preserve">La persistencia de la cláusula híbrida veinticinco años después</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La tabla 1 contrasta estos requisitos con los requisitos metodológicos expuestos en el apartado 1.3.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Requisitos de los indicios y de las inferencias, pero resultado expresado como convicción, certeza e irrefutabilidad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bl>
    <w:p w14:paraId="2259595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1. Requisitos metodológicos del estándar de prueba y doctrina probatoria de la mayoría en el SUP-JIN-194/2025.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y en el SUP-JIN-194/2025, párrafos 46 y 50-59, 92, 93 y 104-109.</w:t>
      </w:r>
    </w:p>
    <w:p>
      <w:pPr>
        <w:spacing w:before="0" w:after="0" w:line="360" w:lineRule="auto"/>
        <w:jc w:val="left"/>
      </w:pP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 La tabla 2 los ordena según su aparición en la sentencia.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bl>
    <w:p w14:paraId="0298BE0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Tabla 2. El vocabulario de la suficiencia en la sentencia mayoritaria del SUP-JIN-194/2025. Elaboración propia con base en el SUP-JIN-194/2025, párrafos 51-113.</w:t>
      </w:r>
    </w:p>
    <w:p>
      <w:pPr>
        <w:spacing w:before="0" w:after="0" w:line="360" w:lineRule="auto"/>
        <w:jc w:val="left"/>
      </w:pP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la tabla 2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Convicción, certeza, irrefutabilidad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584EFFB0"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3. Cotejo entre el caso Tabasco y el SUP-JIN-194/2025. Elaboración propia con base en </w:t>
      </w:r>
      <w:r>
        <w:rPr>
          <w:rFonts w:ascii="Arial" w:eastAsia="Arial" w:hAnsi="Arial" w:cs="Arial"/>
          <w:i/>
          <w:iCs/>
          <w:color w:val="000000"/>
          <w:sz w:val="20"/>
          <w:szCs w:val="20"/>
        </w:rPr>
        <w:t>Caso Tabasco</w:t>
      </w:r>
      <w:r>
        <w:rPr>
          <w:rFonts w:ascii="Arial" w:eastAsia="Arial" w:hAnsi="Arial" w:cs="Arial"/>
          <w:color w:val="000000"/>
          <w:sz w:val="20"/>
          <w:szCs w:val="20"/>
        </w:rPr>
        <w:t>, t. I, pp. 424, 430, 431, 499 y 505, y en el SUP-JIN-194/2025, párrafos 46, 48, 50-59, 74 y 109-113, y p. 34.</w:t>
      </w:r>
    </w:p>
    <w:p>
      <w:pPr>
        <w:spacing w:before="0" w:after="0" w:line="360" w:lineRule="auto"/>
        <w:jc w:val="left"/>
      </w:pP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como sintetiza la tabla 4.</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6A1965B2"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4. Reformas constitucionales y legales y régimen de suficiencia probatoria. Elaboración propia con base en la </w:t>
      </w:r>
      <w:r>
        <w:rPr>
          <w:rFonts w:ascii="Arial" w:eastAsia="Arial" w:hAnsi="Arial" w:cs="Arial"/>
          <w:i/>
          <w:iCs/>
          <w:color w:val="000000"/>
          <w:sz w:val="20"/>
          <w:szCs w:val="20"/>
        </w:rPr>
        <w:t xml:space="preserve">Constitución Política de los Estados Unidos Mexicanos</w:t>
      </w:r>
      <w:r>
        <w:rPr>
          <w:rFonts w:ascii="Arial" w:eastAsia="Arial" w:hAnsi="Arial" w:cs="Arial"/>
          <w:color w:val="000000"/>
          <w:sz w:val="20"/>
          <w:szCs w:val="20"/>
        </w:rPr>
        <w:t xml:space="preserve">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textos vigentes.</w:t>
      </w:r>
    </w:p>
    <w:p>
      <w:pPr>
        <w:spacing w:before="0" w:after="0" w:line="360" w:lineRule="auto"/>
        <w:jc w:val="left"/>
      </w:pP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En síntesis, 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Acreditado</w:t>
            </w:r>
          </w:p>
        </w:tc>
      </w:tr>
    </w:tbl>
    <w:p w14:paraId="59ADF591"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1. Esquema de estándares del voto particular de Rodríguez Mondragón. Elaboración propia con base en el proyecto reproducido en el voto, párrafos 82-126, 304, 471-473 y 513-527.</w:t>
      </w:r>
    </w:p>
    <w:p>
      <w:pPr>
        <w:spacing w:before="0" w:after="0" w:line="360" w:lineRule="auto"/>
        <w:jc w:val="left"/>
      </w:pP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 La tabla 2 sintetiza la comparación entre la sentencia mayoritaria y 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 xml:space="preserve">Método referido al acervo y resultado expresado como convicción, certeza e irrefutabilidad</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Estándares diferenciados por hecho y fijados por modulación judicial</w:t>
            </w:r>
          </w:p>
        </w:tc>
      </w:tr>
    </w:tbl>
    <w:p w14:paraId="43B8E716"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 xml:space="preserve">Tabla 2. La sentencia mayoritaria y el voto particular frente a los requisitos metodológicos.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en el SUP-JIN-194/2025, párrafos 46, 50-59 y 104-113, y en el voto particular, pp. 17-21 y 38-45, y párrafos 82-161 y 471-473 del proyecto.</w:t>
      </w:r>
    </w:p>
    <w:p>
      <w:pPr>
        <w:spacing w:before="0" w:after="0" w:line="360" w:lineRule="auto"/>
        <w:jc w:val="left"/>
      </w:pP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Tres factores y análisis estadístico</w:t>
            </w:r>
          </w:p>
        </w:tc>
      </w:tr>
    </w:tbl>
    <w:p w14:paraId="0E2F0593"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3. Cotejo entre los votos particulares de 2000 y 2025. Elaboración propia con base en el voto particular del caso Tabasco, t. II, pp. 1-7 y 269, y en el voto particular en el SUP-JIN-194/2025, pp. 17-21 y 38-45, y párrafos 82-161 del proyecto.</w:t>
      </w:r>
    </w:p>
    <w:p>
      <w:pPr>
        <w:spacing w:before="0" w:after="0" w:line="360" w:lineRule="auto"/>
        <w:jc w:val="left"/>
      </w:pP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Queda por precisar el alcance de esta crítica.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Solo parcial, porque falta la regla que debería interpretarse</w:t>
            </w:r>
          </w:p>
        </w:tc>
      </w:tr>
    </w:tbl>
    <w:p w14:paraId="5BA12819"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1. Deslinde entre la cláusula mixta, la textura abierta y la ambigüedad. Elaboración propia con base en Hart, </w:t>
      </w:r>
      <w:r>
        <w:rPr>
          <w:rFonts w:ascii="Arial" w:eastAsia="Arial" w:hAnsi="Arial" w:cs="Arial"/>
          <w:i/>
          <w:iCs/>
          <w:color w:val="000000"/>
          <w:sz w:val="20"/>
          <w:szCs w:val="20"/>
        </w:rPr>
        <w:t>El concepto de derecho</w:t>
      </w:r>
      <w:r>
        <w:rPr>
          <w:rFonts w:ascii="Arial" w:eastAsia="Arial" w:hAnsi="Arial" w:cs="Arial"/>
          <w:color w:val="000000"/>
          <w:sz w:val="20"/>
          <w:szCs w:val="20"/>
        </w:rPr>
        <w:t>, pp. 153, 158 y 159, en Montoya Zamora, Las reglas de la lógica, pp. 31 y 32, y en el artículo 16 de la ley de medios.</w:t>
      </w:r>
    </w:p>
    <w:p>
      <w:pPr>
        <w:spacing w:before="0" w:after="0" w:line="360" w:lineRule="auto"/>
        <w:jc w:val="left"/>
      </w:pP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Regla legal de peso derrotable</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Cuándo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Qué se valora</w:t>
            </w:r>
          </w:p>
        </w:tc>
      </w:tr>
    </w:tbl>
    <w:p w14:paraId="4A5864D0"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2. Estructura del artículo 16 de la ley de medios.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texto vigente.</w:t>
      </w:r>
    </w:p>
    <w:p>
      <w:pPr>
        <w:spacing w:before="0" w:after="0" w:line="360" w:lineRule="auto"/>
        <w:jc w:val="left"/>
      </w:pP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Ley General de Instituciones y Procedimientos Electorales</w:t>
            </w:r>
            <w:r>
              <w:rPr>
                <w:rFonts w:ascii="Arial" w:eastAsia="Arial" w:hAnsi="Arial" w:cs="Arial"/>
                <w:color w:val="000000"/>
                <w:sz w:val="22"/>
                <w:szCs w:val="22"/>
              </w:rPr>
              <w:t xml:space="preserve">,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que genere la pericial</w:t>
            </w:r>
          </w:p>
        </w:tc>
      </w:tr>
    </w:tbl>
    <w:p w14:paraId="7C0F411D"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Tabla 3. Cláusulas mixtas en el derecho procesal mexicano. Elaboración propia con base en los ordenamientos citados y en el SRE-PSC-236/2024.</w:t>
      </w:r>
    </w:p>
    <w:p>
      <w:pPr>
        <w:spacing w:before="0" w:after="0" w:line="360" w:lineRule="auto"/>
        <w:jc w:val="left"/>
      </w:pP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Resta precisar la relación entre la cláusula mixta y el error de categoría. Esta noción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síntesis, 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IV</w:t>
      </w:r>
    </w:p>
    <w:p>
      <w:pPr>
        <w:pStyle w:val="Ttulo1"/>
        <w:keepNext/>
        <w:spacing w:before="0" w:after="0" w:line="360" w:lineRule="auto"/>
        <w:jc w:val="center"/>
      </w:pPr>
      <w:r>
        <w:rPr>
          <w:rFonts w:ascii="Arial" w:eastAsia="Arial" w:hAnsi="Arial" w:cs="Arial"/>
          <w:b/>
          <w:bCs/>
          <w:color w:val="000000"/>
          <w:sz w:val="24"/>
          <w:szCs w:val="24"/>
        </w:rPr>
        <w:t xml:space="preserve">El fundamento metodológico de un estándar de prueba propio para la materia electoral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Sí. La concreta distribución depende de la altura del umbral</w:t>
            </w:r>
          </w:p>
        </w:tc>
      </w:tr>
    </w:tbl>
    <w:p w14:paraId="3108FED4"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1. Las tres funciones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109-115.</w:t>
      </w:r>
    </w:p>
    <w:p>
      <w:pPr>
        <w:spacing w:before="0" w:after="0" w:line="360" w:lineRule="auto"/>
        <w:jc w:val="left"/>
      </w:pP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Queda por precisar cuáles son los errores que el estándar distribuye. La falibilidad del razonamiento probatorio hace posibles dos errores materiales.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actor, que queda sin reparación por un daño real</w:t>
            </w:r>
          </w:p>
        </w:tc>
      </w:tr>
    </w:tbl>
    <w:p w14:paraId="620B3A6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lastRenderedPageBreak/>
        <w:t xml:space="preserve">Tabla 2. Los errores materiales en la decisión sobre los hechos.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xml:space="preserve">, p. 115, y Laudan, </w:t>
      </w:r>
      <w:r>
        <w:rPr>
          <w:rFonts w:ascii="Arial" w:eastAsia="Arial" w:hAnsi="Arial" w:cs="Arial"/>
          <w:i/>
          <w:iCs/>
          <w:color w:val="000000"/>
          <w:sz w:val="20"/>
          <w:szCs w:val="20"/>
        </w:rPr>
        <w:t>Truth, Error, and Criminal Law</w:t>
      </w:r>
      <w:r>
        <w:rPr>
          <w:rFonts w:ascii="Arial" w:eastAsia="Arial" w:hAnsi="Arial" w:cs="Arial"/>
          <w:color w:val="000000"/>
          <w:sz w:val="20"/>
          <w:szCs w:val="20"/>
        </w:rPr>
        <w:t>, p. 10.</w:t>
      </w:r>
    </w:p>
    <w:p>
      <w:pPr>
        <w:spacing w:before="0" w:after="0" w:line="360" w:lineRule="auto"/>
        <w:jc w:val="left"/>
      </w:pP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Actor y ciudadanía sujeta a un resultado que no expresa su voluntad libre</w:t>
            </w:r>
          </w:p>
        </w:tc>
      </w:tr>
    </w:tbl>
    <w:p w14:paraId="6179C73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3. Distribución de los errores entre quien impugna y quien defiende la validez de la elección.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artículos 12 y 15.</w:t>
      </w:r>
    </w:p>
    <w:p>
      <w:pPr>
        <w:spacing w:before="0" w:after="0" w:line="360" w:lineRule="auto"/>
        <w:jc w:val="left"/>
      </w:pP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169 y 170</w:t>
            </w:r>
          </w:p>
        </w:tc>
      </w:tr>
    </w:tbl>
    <w:p w14:paraId="18400E6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1. Razones para fijar el nivel de exigencia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154-170.</w:t>
      </w:r>
    </w:p>
    <w:p>
      <w:pPr>
        <w:spacing w:before="0" w:after="0" w:line="360" w:lineRule="auto"/>
        <w:jc w:val="left"/>
      </w:pP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por afectar bienes de la ciudadanía</w:t>
            </w:r>
          </w:p>
        </w:tc>
      </w:tr>
    </w:tbl>
    <w:p w14:paraId="5BF0F889"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64, y SUP-JIN-194/2025, párrafo 45.</w:t>
      </w:r>
    </w:p>
    <w:p>
      <w:pPr>
        <w:spacing w:before="0" w:after="0" w:line="360" w:lineRule="auto"/>
        <w:jc w:val="left"/>
      </w:pP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síntesis, 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1. Bienes en juego en la decisión sobre la validez de una elección. Elaboración propia con base en las disposiciones y criterios citados. La identificación de los tres bienes es una propuesta de esta investigación.</w:t>
      </w:r>
    </w:p>
    <w:p>
      <w:pPr>
        <w:spacing w:before="0" w:after="0" w:line="360" w:lineRule="auto"/>
        <w:jc w:val="left"/>
      </w:pP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2. Los dos errores en la decisión sobre la validez de una elección. Elaboración propia. La asignación de bienes a cada error es análisis de esta investigación.</w:t>
      </w:r>
    </w:p>
    <w:p>
      <w:pPr>
        <w:spacing w:before="0" w:after="0" w:line="360" w:lineRule="auto"/>
        <w:jc w:val="left"/>
      </w:pP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Resta examinar si el ordenamiento declara una preferencia entre ambos errores. 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V</w:t>
      </w:r>
    </w:p>
    <w:p>
      <w:pPr>
        <w:pStyle w:val="Ttulo1"/>
        <w:keepNext/>
        <w:spacing w:before="0" w:after="0" w:line="360" w:lineRule="auto"/>
        <w:jc w:val="center"/>
      </w:pPr>
      <w:r>
        <w:rPr>
          <w:rFonts w:ascii="Arial" w:eastAsia="Arial" w:hAnsi="Arial" w:cs="Arial"/>
          <w:b/>
          <w:bCs/>
          <w:color w:val="000000"/>
          <w:sz w:val="24"/>
          <w:szCs w:val="24"/>
        </w:rPr>
        <w:t xml:space="preserve">Propuesta de diseño legislativo de un estándar de prueba para el contencioso electoral mexicano</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La distribución queda al juzgador de cada caso</w:t>
            </w:r>
          </w:p>
        </w:tc>
      </w:tr>
    </w:tbl>
    <w:p w14:paraId="3051FBB3" w14:textId="77777777" w:rsidR="00256ADA" w:rsidRPr="00383BF1" w:rsidRDefault="00256ADA" w:rsidP="00256ADA">
      <w:pPr>
        <w:spacing w:before="0" w:after="0" w:line="360" w:lineRule="auto"/>
        <w:ind w:firstLine="0"/>
        <w:jc w:val="both"/>
      </w:pPr>
      <w:r>
        <w:rPr>
          <w:rFonts w:ascii="Arial" w:eastAsia="Arial" w:hAnsi="Arial" w:cs="Arial"/>
          <w:color w:val="000000"/>
          <w:sz w:val="20"/>
          <w:szCs w:val="20"/>
        </w:rPr>
        <w:t xml:space="preserve">Tabla 1. Criterios para la reforma del artículo 16 de la ley de medios. Elaboración propia. Los cuatro primeros criterios se basan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El quinto y la columna sobre el texto vigente son análisis de esta investigación.</w:t>
      </w:r>
    </w:p>
    <w:p>
      <w:pPr>
        <w:spacing w:before="0" w:after="0" w:line="360" w:lineRule="auto"/>
        <w:jc w:val="left"/>
      </w:pP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Preferencia moderada por la validez fijada en la ley</w:t>
            </w:r>
          </w:p>
        </w:tc>
      </w:tr>
    </w:tbl>
    <w:p w14:paraId="094397C0" w14:textId="77777777" w:rsidR="00E0113E" w:rsidRPr="00E0113E" w:rsidRDefault="00E0113E" w:rsidP="00E0113E">
      <w:pPr>
        <w:spacing w:before="0" w:after="0" w:line="360" w:lineRule="auto"/>
        <w:ind w:firstLine="0"/>
        <w:jc w:val="both"/>
      </w:pPr>
      <w:r>
        <w:rPr>
          <w:rFonts w:ascii="Arial" w:eastAsia="Arial" w:hAnsi="Arial" w:cs="Arial"/>
          <w:color w:val="000000"/>
          <w:sz w:val="20"/>
          <w:szCs w:val="20"/>
        </w:rPr>
        <w:t xml:space="preserve">Tabla 1. Correspondencia entre el estándar propuesto y los criterios para la reforma. Elaboración propia. La formulación del estándar y esta verificación son propuesta de esta investigación,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y 209-235.</w:t>
      </w:r>
    </w:p>
    <w:p>
      <w:pPr>
        <w:spacing w:before="0" w:after="0" w:line="360" w:lineRule="auto"/>
        <w:jc w:val="left"/>
      </w:pP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Ferrer Beltrán, pp. 231-234</w:t>
            </w:r>
          </w:p>
        </w:tc>
      </w:tr>
    </w:tbl>
    <w:p w14:paraId="0234E20D" w14:textId="77777777" w:rsidR="00DF3B02" w:rsidRPr="00DF3B02" w:rsidRDefault="00DF3B02" w:rsidP="00DF3B02">
      <w:pPr>
        <w:spacing w:before="0" w:after="0" w:line="360" w:lineRule="auto"/>
        <w:ind w:firstLine="0"/>
        <w:jc w:val="both"/>
      </w:pPr>
      <w:r>
        <w:rPr>
          <w:rFonts w:ascii="Arial" w:eastAsia="Arial" w:hAnsi="Arial" w:cs="Arial"/>
          <w:color w:val="000000"/>
          <w:sz w:val="20"/>
          <w:szCs w:val="20"/>
        </w:rPr>
        <w:t>Tabla 1. Correspondencia entre las condiciones del estándar propuesto y el razonamiento indiciario. Elaboración propia. La correspondencia es análisis de esta investigación con base en las fuentes citadas.</w:t>
      </w:r>
    </w:p>
    <w:p>
      <w:pPr>
        <w:spacing w:before="0" w:after="0" w:line="360" w:lineRule="auto"/>
        <w:jc w:val="left"/>
      </w:pP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Resta precisar qué cambia y qué permanece con la reforma.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Bibliografía</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