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14:paraId="35FB8274" w14:textId="77777777" w:rsidR="00A32EF9" w:rsidRDefault="00E354C7">
      <w:pPr>
        <w:spacing w:before="0" w:after="0" w:line="360" w:lineRule="auto"/>
        <w:ind w:firstLine="0"/>
        <w:jc w:val="both"/>
      </w:pPr>
      <w:r>
        <w:rPr>
          <w:rFonts w:ascii="Arial" w:eastAsia="Arial" w:hAnsi="Arial" w:cs="Arial"/>
          <w:color w:val="000000"/>
          <w:sz w:val="24"/>
          <w:szCs w:val="24"/>
        </w:rPr>
        <w:t xml:space="preserve">Article 16 of Mexico's General Law of the System of Means of Impugnation in Electoral Matters (LGSMIME) requires judges to weigh evidence according to logic, sound criticism, and experience, yet conditions its sufficiency on the judge's conviction, a psychologistic criterion detached from any objective threshold. This hybrid clause has remained largely unchanged in Mexican electoral case law for twenty-five years, undermining the rationality of fact-finding in electoral litigation. This thesis examines the extent to which this absence of an objective standard of proof compromises rational adjudication of the facts, and proposes a legislative design able to correct this deficiency without sacrificing the circumstantial nature of the evidence available in this field. The study follows a qualitative, documentary and dogmatic methodology, of descriptive and explanatory scope, complemented by a comparative approach to Spanish, Italian, and Anglo-American procedural doctrine and by a case analysis of the ruling SUP-JIN-194/2025. The analysis traced the hybrid clause to its earliest documented judicial application in SUP-JRC-487/2000, and found that this formula persisted virtually unchanged for a quarter of a century, while judicial awareness of the underlying problem has only recently emerged in a single dissenting opinion. The study also identified a category mistake between sound criticism and standard of proof running through the doctrine on the determinative effect of electoral irregularities. On this basis, the thesis confirms its hypothesis and formulates a qualitative standard of proof, grounded in the criteria of best explanation and evidentiary completeness,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39</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71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114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127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138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146</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167</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174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180</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14:paraId="35FB827D" w14:textId="77777777" w:rsidR="00A32EF9" w:rsidRPr="002F44CB" w:rsidRDefault="00E354C7" w:rsidP="002F44CB">
      <w:pPr>
        <w:spacing w:before="0" w:after="0" w:line="360" w:lineRule="auto"/>
        <w:ind w:firstLine="0"/>
        <w:jc w:val="both"/>
      </w:pPr>
      <w:r>
        <w:rPr>
          <w:rFonts w:ascii="Arial" w:eastAsia="Arial" w:hAnsi="Arial" w:cs="Arial"/>
          <w:color w:val="000000"/>
          <w:sz w:val="24"/>
          <w:szCs w:val="24"/>
        </w:rPr>
        <w:t xml:space="preserve">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fija el criterio conforme al cual deben valorarse las pruebas, y lo hace mediante una fórmula que combina un vocabulario racionalista, la lógica, la sana crítica y la experiencia, con un vocabulario psicologista, la convicción del juzgador. Esta investigación estudia esa fórmula y la carencia que encubre.</w:t>
      </w:r>
    </w:p>
    <w:p w14:paraId="35FB827E"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propios de la materia electoral permite corregir esa carencia sin sacrificar la naturaleza indiciaria de la prueba disponible.</w:t>
      </w:r>
    </w:p>
    <w:p w14:paraId="35FB8281"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correspondencia entre ellas.</w:t>
      </w:r>
    </w:p>
    <w:p w14:paraId="35FB8284"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 </w:t>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distinción adoptada en esta investigación tiene una utilidad que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formulaciones legislativas comparadas confirman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Esas preguntas pueden aplicarse a las disposiciones analizadas. Su resultado es una interpretación propia de esta investigación. No pretende sustituir el análisis doctrinal, sino ordenarlo.</w:t>
      </w: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Permite afirmar que una fórmula puede ser defectuosa por su estructura aun cuando el nivel de exigencia que pretende expresar resulte razonable.</w:t>
      </w: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w:t>
      </w:r>
      <w:r>
        <w:rPr>
          <w:rFonts w:ascii="Arial" w:eastAsia="Arial" w:hAnsi="Arial" w:cs="Arial"/>
          <w:color w:val="000000"/>
          <w:sz w:val="24"/>
          <w:szCs w:val="24"/>
          <w:vertAlign w:val="superscript"/>
        </w:rPr>
        <w:footnoteReference w:id="225"/>
      </w: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w:t>
      </w: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w:t>
      </w: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w:t>
      </w: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w: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Las dos figuras, en suma, comparten una misma raíz, que consiste en la falta de separación entre el método y la regla de decisión.</w:t>
      </w: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Esa estructura servirá como parámetro para analizar los precedentes.</w:t>
      </w: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w:t>
      </w: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w:t>
      </w: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w: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w:t>
      </w: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w:t>
      </w: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 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 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también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además, cuatro requisitos metodológicos.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Propone la probabilidad prevalente para la existencia de la irregularidad y un estándar elevado para la autoría.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también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además,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