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Esa disciplina distingue el apoyo empírico de una hipótesis del umbral normativo para darla por probada. La tradición analítica hispanoamericana e italiana desarrolló principalmente esta distinción. La distinción importa más donde la prueba es indiciaria, como en el contencioso electoral mexicano. En esta materia, las irregularidades determinantes suelen acreditarse con indicios y no con prueba directa. El artículo 16 fija el criterio de valoración mediante una fórmula que combina un vocabulario racionalista, compuesto por la lógica, la sana crítica y la experiencia, con un vocabulario psicologista, que es la convicción del juzgador. Esa combinación de vocabularios oculta la ausencia de una regla de suficiencia.</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El precepto apela, en su lugar, a la convicción del juzgador, una condición mental que no admite control intersubjetivo. Esta sustitución constituye el problema que motiva la investigación. La sustitución compromete la racionalidad del juicio sobre los hechos, porque remite la suficiencia a un estado subjetivo y no a un criterio verificable. De esta constatación deriva la pregunta general del trabajo. La pregunta indaga en qué medida esa ausencia y la cláusula psicologista de la convicción comprometen dicha racionalidad. La pregunta indaga qué diseño legislativo corregiría la carencia sin sacrificar la naturaleza indiciaria de la prueba.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la investigación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 En consecuencia, el problema estudiado trasciende la técnica procesal y alcanza la confianza pública en la justicia electoral.</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del trabajo. La primera parte afirma que la falta de un estándar objetivo en el artículo 16 y su sustitución por la convicción comprometen la racionalidad del juicio sobre los hechos. Esa primera parte es diagnóstica y se contrasta con la doctrina y con la jurisprudencia electoral. La segunda parte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 Esa segunda parte es propositiva. Por tanto, la hipótesis une un diagnóstico sobre el derecho vigente con una propuesta de reforma. Esa doble estructura orienta la formulación de los objetivos de la investigación.</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y debe ser compatible con la prueba indiciaria. Este objetivo se despliega en cinco objetivos específicos. El primer objetivo específico es sistematizar el marco teórico de la prueba indiciaria y del estándar de prueba, y el segundo es identificar el error de categoría que sirve de puente conceptual entre esa teoría y la doctrina mexicana de la determinancia electoral. El tercer objetivo específico es demostrar la persistencia de la cláusula híbrida a lo largo de veinticinco años de jurisprudencia electoral. El cuarto es exponer el fundamento metodológico de la relatividad del estándar según los bienes en juego. El quinto es formular una propuesta de diseño legislativo compatible con la prueba indiciaria. El cumplimiento de estos objetivos requiere un marco teórico definido.</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la valoración de la prueba, que es una operación epistémica, del estándar de prueba, que es una operación normativa que fija el umbral de suficiencia. El marco se apoya sobre todo en la obra de Jordi Ferrer Beltrán sobre los requisitos de un estándar válido y su relatividad según los bienes en juego. El marco recoge la tradición racionalista de la prueba representada, entre otros, por Michele Taruffo. La investigación contrasta ese marco con la doctrina mexicana de la determinancia, que ha tratado su problema de suficiencia sin ese aparato conceptual. La investigación no asume que la literatura existente agote este diálogo. Por ello, el desarrollo del trabajo advierte cuándo un planteamiento corresponde a una fuente verificada y cuándo constituye una propuesta original. Ese marco teórico se aplica mediante una estrategia metodológica precisa.</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El método comparado contrasta la sana crítica, la íntima convicción y los estándares de prueba de las tradiciones española, italiana y angloamericana con el derecho electoral mexicano. El método se complementa con el análisis de caso de la sentencia SUP-JIN-194/2025 y con su comparación frente a la sentencia SUP-JRC-487/2000. Esta última sentencia se seleccionó porque constituye el primer registro documentado de la aplicación judicial de la cláusula híbrida. El análisis documental y jurisprudencial sistematizó las sentencias y la jurisprudencia electoral relevantes. El análisis conceptual permitió descomponer las categorías de sana crítica, convicción, adminiculación y determinancia para evidenciar la falta de correspondencia entre ellas. En consecuencia, la metodología combina la teoría, la comparación y el estudio de casos. Esa combinación se refleja en la organización del trabajo.</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 Los tres primeros capítulos integran, por tanto, la fase de diagnóstico de la investigación.</w:t>
      </w:r>
    </w:p>
    <w:p>
      <w:pPr>
        <w:spacing w:before="0" w:after="0" w:line="360" w:lineRule="auto"/>
        <w:ind w:firstLine="709"/>
        <w:jc w:val="both"/>
      </w:pPr>
      <w:r>
        <w:rPr>
          <w:rFonts w:ascii="Arial" w:eastAsia="Arial" w:hAnsi="Arial" w:cs="Arial"/>
          <w:color w:val="000000"/>
          <w:sz w:val="24"/>
          <w:szCs w:val="24"/>
        </w:rPr>
        <w:t xml:space="preserve">La fase propositiva comprende los dos capítulos restantes. 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y verifican la hipótesis planteada en esta introducción. Las conclusiones sintetizan la aportación de la investigación al estado del arte de la epistemología jurídica de la prueba y del derecho electoral mexicano. En consecuencia, el recorrido completo avanza del diagnóstico del derecho vigente a una propuesta de reforma fundada en la teoría del estándar de prueba.</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define el estándar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r>
        <w:rPr>
          <w:rFonts w:ascii="Arial" w:eastAsia="Arial" w:hAnsi="Arial" w:cs="Arial"/>
          <w:color w:val="000000"/>
          <w:sz w:val="24"/>
          <w:szCs w:val="24"/>
        </w:rPr>
        <w:t xml:space="preserve">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r>
        <w:rPr>
          <w:rFonts w:ascii="Arial" w:eastAsia="Arial" w:hAnsi="Arial" w:cs="Arial"/>
          <w:color w:val="000000"/>
          <w:sz w:val="24"/>
          <w:szCs w:val="24"/>
        </w:rPr>
        <w:t xml:space="preserve"> 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Ese particularismo entrega la decisión a la arbitrariedad judicial o a una supuesta respuesta moral objetiva en cada caso.</w:t>
      </w:r>
      <w:r>
        <w:rPr>
          <w:rFonts w:ascii="Arial" w:eastAsia="Arial" w:hAnsi="Arial" w:cs="Arial"/>
          <w:color w:val="000000"/>
          <w:sz w:val="24"/>
          <w:szCs w:val="24"/>
          <w:vertAlign w:val="superscript"/>
        </w:rPr>
        <w:footnoteReference w:id="577"/>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Esos principios buscan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advierte que la doctrina mayoritaria, especialmente la anglosajona, ha puesto el acento únicamente en la función distributiva.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distribuyen igualmente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Según Ferrer Beltrán, la farmacología exige más que la historia por el coste del error y no por razones epistemológicas.</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es la riqueza del conjunto de elementos de juicio. Ese peso separa las hipótesis verdaderas de las falsas y reduce la zona en que ambas se confunden.</w:t>
      </w:r>
      <w:r>
        <w:rPr>
          <w:rFonts w:ascii="Arial" w:eastAsia="Arial" w:hAnsi="Arial" w:cs="Arial"/>
          <w:color w:val="000000"/>
          <w:sz w:val="24"/>
          <w:szCs w:val="24"/>
          <w:vertAlign w:val="superscript"/>
        </w:rPr>
        <w:footnoteReference w:id="595"/>
      </w:r>
      <w:r>
        <w:rPr>
          <w:rFonts w:ascii="Arial" w:eastAsia="Arial" w:hAnsi="Arial" w:cs="Arial"/>
          <w:color w:val="000000"/>
          <w:sz w:val="24"/>
          <w:szCs w:val="24"/>
        </w:rPr>
        <w:t xml:space="preserve">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r>
        <w:rPr>
          <w:rFonts w:ascii="Arial" w:eastAsia="Arial" w:hAnsi="Arial" w:cs="Arial"/>
          <w:color w:val="000000"/>
          <w:sz w:val="24"/>
          <w:szCs w:val="24"/>
        </w:rPr>
        <w:t xml:space="preserve">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En otras disciplinas ocurre lo mismo, pues la farmacología exige más que la historia por el coste del error.</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el autor precisa que el umbral para considerar probada una hipótesis difiere entre la farmacología y la paleontología. La razón es que cada disciplina usa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Antes había sostenido que las comunidades científicas fijan sus estándares según la proporción aceptable de errores positivos y negativos.</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debe variar. 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w:t>
      </w:r>
      <w:r>
        <w:rPr>
          <w:rFonts w:ascii="Arial" w:eastAsia="Arial" w:hAnsi="Arial" w:cs="Arial"/>
          <w:color w:val="000000"/>
          <w:sz w:val="24"/>
          <w:szCs w:val="24"/>
          <w:vertAlign w:val="superscript"/>
        </w:rPr>
        <w:footnoteReference w:id="609"/>
      </w:r>
      <w:r>
        <w:rPr>
          <w:rFonts w:ascii="Arial" w:eastAsia="Arial" w:hAnsi="Arial" w:cs="Arial"/>
          <w:color w:val="000000"/>
          <w:sz w:val="24"/>
          <w:szCs w:val="24"/>
        </w:rPr>
        <w:t xml:space="preserve">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w:t>
      </w:r>
      <w:r>
        <w:rPr>
          <w:rFonts w:ascii="Arial" w:eastAsia="Arial" w:hAnsi="Arial" w:cs="Arial"/>
          <w:color w:val="000000"/>
          <w:sz w:val="24"/>
          <w:szCs w:val="24"/>
          <w:vertAlign w:val="superscript"/>
        </w:rPr>
        <w:footnoteReference w:id="619"/>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propone una lista abierta de seis razones y advierte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es el coste de las absoluciones falsas, como la minera absuelta por error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que pueden justificar un umbral menor para que la norma no sea inaplicable, como en la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w:t>
      </w:r>
      <w:r>
        <w:rPr>
          <w:rFonts w:ascii="Arial" w:eastAsia="Arial" w:hAnsi="Arial" w:cs="Arial"/>
          <w:color w:val="000000"/>
          <w:sz w:val="24"/>
          <w:szCs w:val="24"/>
          <w:vertAlign w:val="superscript"/>
        </w:rPr>
        <w:footnoteReference w:id="627"/>
      </w:r>
      <w:r>
        <w:rPr>
          <w:rFonts w:ascii="Arial" w:eastAsia="Arial" w:hAnsi="Arial" w:cs="Arial"/>
          <w:color w:val="000000"/>
          <w:sz w:val="24"/>
          <w:szCs w:val="24"/>
        </w:rPr>
        <w:t xml:space="preserve">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el código exige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r>
        <w:rPr>
          <w:rFonts w:ascii="Arial" w:eastAsia="Arial" w:hAnsi="Arial" w:cs="Arial"/>
          <w:color w:val="000000"/>
          <w:sz w:val="24"/>
          <w:szCs w:val="24"/>
        </w:rPr>
        <w:t xml:space="preserve">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Según Pardo, la preponderancia reparte el riesgo de modo casi equitativo. Ese reparto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proyecto recordó la contradicción SUP-CDC-2/2013, según la cual el proceso electoral renueva periódicamente los poderes y respeta la certeza y la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llama doctrina de distribución del error al estándar, la presunción de inocencia, el beneficio de la duda y la carga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son igualmente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contencioso electoral mexicano tiene bienes en juego propios y dos tipos de error que un estándar de prueba electoral debe distribuir de manera consciente. Esos hallazgos se traducen aquí en una propuesta concreta de diseño legislativo para el artículo 16 de la LGSMIME. La propuesta expone primero los criterios que debe satisfacer cualquier reforma a ese artículo para superar la cláusula mixta. Sobre esa base se formula el estándar de prueba propuesto en sus propios términos. El examen de la compatibilidad de ese estándar con la naturaleza indiciaria de la prueba electoral cierra el argumento central de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 En consecuencia, la propuesta completa el tránsito del diagnóstico a la construcción normativa.</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exige, para la prueba plena de los demás medios, que el expediente genere convicción en el órgano. Ninguna de esas disposiciones indica cuánto apoyo probatorio basta para tener por acreditada una irregularidad electoral. Por tanto, toda propuesta de reforma debe satisfacer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Un quinto criterio deriva de la distribución del riesgo del error electoral.</w:t>
      </w:r>
    </w:p>
    <w:p>
      <w:pPr>
        <w:spacing w:before="0" w:after="0" w:line="360" w:lineRule="auto"/>
        <w:ind w:firstLine="709"/>
        <w:jc w:val="both"/>
      </w:pPr>
      <w:r>
        <w:rPr>
          <w:rFonts w:ascii="Arial" w:eastAsia="Arial" w:hAnsi="Arial" w:cs="Arial"/>
          <w:color w:val="000000"/>
          <w:sz w:val="24"/>
          <w:szCs w:val="24"/>
        </w:rPr>
        <w:t xml:space="preserve">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Esa exigencia excluye cualquier formulación que remita a estados mentales o psicológicos del juzgador. Ferrer Beltrán ofrece ejemplos legislativos que incumplen el requisito. Uno es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exige la convicción del tribunal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los criterios del estándar deben referirse a cuánto apoya objetivamente el acervo probatorio a cada hipótesis.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Ese apoyo objetivo es el grado de corroboración que las hipótesis alcanzan a la luz de las pruebas.</w:t>
      </w:r>
    </w:p>
    <w:p>
      <w:pPr>
        <w:spacing w:before="0" w:after="0" w:line="360" w:lineRule="auto"/>
        <w:ind w:firstLine="709"/>
        <w:jc w:val="both"/>
      </w:pPr>
      <w:r>
        <w:rPr>
          <w:rFonts w:ascii="Arial" w:eastAsia="Arial" w:hAnsi="Arial" w:cs="Arial"/>
          <w:color w:val="000000"/>
          <w:sz w:val="24"/>
          <w:szCs w:val="24"/>
        </w:rPr>
        <w:t xml:space="preserve">La Primera Sala sostuvo un criterio compatible. La Primera Sala rechazó la interpretación psicológica de la duda asociada al principio de que la duda favorece al acusado. Según la Primera Sala,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Por tanto, la reforma debe sustituir la convicción por el grado de corroboración de la hipótesis. 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Según Ferrer Beltrán, la sana crítica no cumple el requisito, porque a lo sumo es un método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Las referencias a la inducción o al respeto de las leyes de la lógica y de la ciencia tampoco cumplen ese requisito.</w:t>
      </w:r>
    </w:p>
    <w:p>
      <w:pPr>
        <w:spacing w:before="0" w:after="0" w:line="360" w:lineRule="auto"/>
        <w:ind w:firstLine="709"/>
        <w:jc w:val="both"/>
      </w:pPr>
      <w:r>
        <w:rPr>
          <w:rFonts w:ascii="Arial" w:eastAsia="Arial" w:hAnsi="Arial" w:cs="Arial"/>
          <w:color w:val="000000"/>
          <w:sz w:val="24"/>
          <w:szCs w:val="24"/>
        </w:rPr>
        <w:t xml:space="preserve">El razonamiento probatorio debe respetar las leyes de la lógica y de la ciencia en todas las etapas del proceso. Las exigencias probatorias de cada etapa son y deben ser, sin embargo, distintas. Por ello no basta con decir que una decisión debe estar inductivamente justificada. El legislador debe determinar el umbral a partir del cual esa decisión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El requisito exige que el umbral se formule de la manera más precisa posible, de modo que los casos claros de cumplimiento o incumplimiento sean más numerosos y el margen de casos dudosos sea menor. En consecuencia, la reforma debe indicar qué resultado probatorio mínimo debe alcanzar la hipótesis de la irregularidad para tenerse por acreditada.</w:t>
      </w:r>
    </w:p>
    <w:p>
      <w:pPr>
        <w:spacing w:before="0" w:after="0" w:line="360" w:lineRule="auto"/>
        <w:ind w:firstLine="709"/>
        <w:jc w:val="both"/>
      </w:pPr>
      <w:r>
        <w:rPr>
          <w:rFonts w:ascii="Arial" w:eastAsia="Arial" w:hAnsi="Arial" w:cs="Arial"/>
          <w:color w:val="000000"/>
          <w:sz w:val="24"/>
          <w:szCs w:val="24"/>
        </w:rPr>
        <w:t xml:space="preserve">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Para Ferrer Beltrán, en una concepción racional el umbral debe reflejar el carácter probabilístico y epistémico del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el autor critica la exigencia de certeza como estándar de prueba, frecuente en los países de tradición romano-germánica. Siguiendo a Tillers, el autor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estadística es arbitrario asignar números a hipótesis, testigos o documentos.</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Ese descarte no obliga a adoptar un modelo concreto de razonamiento.</w:t>
      </w:r>
    </w:p>
    <w:p>
      <w:pPr>
        <w:spacing w:before="0" w:after="0" w:line="360" w:lineRule="auto"/>
        <w:ind w:firstLine="709"/>
        <w:jc w:val="both"/>
      </w:pPr>
      <w:r>
        <w:rPr>
          <w:rFonts w:ascii="Arial" w:eastAsia="Arial" w:hAnsi="Arial" w:cs="Arial"/>
          <w:color w:val="000000"/>
          <w:sz w:val="24"/>
          <w:szCs w:val="24"/>
        </w:rPr>
        <w:t xml:space="preserve">Ferrer Beltrán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el autor expone, el grado de corroboración de una hipótesis depende de las predicciones verdaderas que permite formular. Ese grado depende igualmente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Por tanto, la reforma debe formular el umbral con criterios de corroboración y refutación de hipótesis, sin recurrir a la certeza absoluta ni a porcentajes. 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Esa realidad probatoria confirma la conveniencia del tercer criterio.</w:t>
      </w:r>
    </w:p>
    <w:p>
      <w:pPr>
        <w:spacing w:before="0" w:after="0" w:line="360" w:lineRule="auto"/>
        <w:ind w:firstLine="709"/>
        <w:jc w:val="both"/>
      </w:pPr>
      <w:r>
        <w:rPr>
          <w:rFonts w:ascii="Arial" w:eastAsia="Arial" w:hAnsi="Arial" w:cs="Arial"/>
          <w:color w:val="000000"/>
          <w:sz w:val="24"/>
          <w:szCs w:val="24"/>
        </w:rPr>
        <w:t xml:space="preserve">Un estándar formulado en términos de corroboración inductiva se ajusta a la prueba indiciaria. Ese estándar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exige un examen propio al cierre de la propuesta. Basta señalar aquí que el tercer criterio es una exigencia general de todo estándar de prueba, con independencia de la materia en que se aplique. Esa exigencia general resulta especialmente relevante en la materia electoral, donde la prueba indirecta predomina. En consecuencia, el tercer criterio y la naturaleza de la prueba electoral apuntan en la misma dirección.</w:t>
      </w:r>
    </w:p>
    <w:p>
      <w:pPr>
        <w:spacing w:before="0" w:after="0" w:line="360" w:lineRule="auto"/>
        <w:ind w:firstLine="709"/>
        <w:jc w:val="both"/>
      </w:pPr>
      <w:r>
        <w:rPr>
          <w:rFonts w:ascii="Arial" w:eastAsia="Arial" w:hAnsi="Arial" w:cs="Arial"/>
          <w:color w:val="000000"/>
          <w:sz w:val="24"/>
          <w:szCs w:val="24"/>
        </w:rPr>
        <w:t xml:space="preserve">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La sentencia no es la única decisión probatoria, pues antes se decide sobre medidas cautelares o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proyección se refiere a las decisiones intermedias que la ley ya prevé.</w:t>
      </w:r>
    </w:p>
    <w:p>
      <w:pPr>
        <w:spacing w:before="0" w:after="0" w:line="360" w:lineRule="auto"/>
        <w:ind w:firstLine="709"/>
        <w:jc w:val="both"/>
      </w:pPr>
      <w:r>
        <w:rPr>
          <w:rFonts w:ascii="Arial" w:eastAsia="Arial" w:hAnsi="Arial" w:cs="Arial"/>
          <w:color w:val="000000"/>
          <w:sz w:val="24"/>
          <w:szCs w:val="24"/>
        </w:rPr>
        <w:t xml:space="preserve">El incidente de nuevo escrutinio y cómputo es una decisión intermedia prevista en la ley. Ese incidente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proyección atañe a decisiones finales de distinto alcance, como la nulidad de una casilla y la de una elección. En consecuencia, la reforma debe fijar el umbral de la decisión final más grave y ordenar a partir de él los umbrales de las demás decisiones. 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Según Ferrer Beltrán, los costes de la condena falsa dependen del tipo de condena y no de la jurisdicción.</w:t>
      </w:r>
      <w:r>
        <w:rPr>
          <w:rFonts w:ascii="Arial" w:eastAsia="Arial" w:hAnsi="Arial" w:cs="Arial"/>
          <w:color w:val="000000"/>
          <w:sz w:val="24"/>
          <w:szCs w:val="24"/>
          <w:vertAlign w:val="superscript"/>
        </w:rPr>
        <w:footnoteReference w:id="681"/>
      </w:r>
    </w:p>
    <w:p>
      <w:pPr>
        <w:spacing w:before="0" w:after="0" w:line="360" w:lineRule="auto"/>
        <w:ind w:firstLine="709"/>
        <w:jc w:val="both"/>
      </w:pP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Por tanto, el cuarto criterio exige un sistema coherente de estándares y no un único umbral para todo el contencioso electoral. El quinto criterio consiste en distribuir de manera consciente el riesgo del error. Ese criterio deriva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debido proceso exige, según el autor, que el legislador fije el umbral y asigne el riesgo entre las partes.</w:t>
      </w:r>
      <w:r>
        <w:rPr>
          <w:rFonts w:ascii="Arial" w:eastAsia="Arial" w:hAnsi="Arial" w:cs="Arial"/>
          <w:color w:val="000000"/>
          <w:sz w:val="24"/>
          <w:szCs w:val="24"/>
          <w:vertAlign w:val="superscript"/>
        </w:rPr>
        <w:footnoteReference w:id="684"/>
      </w:r>
    </w:p>
    <w:p>
      <w:pPr>
        <w:spacing w:before="0" w:after="0" w:line="360" w:lineRule="auto"/>
        <w:ind w:firstLine="709"/>
        <w:jc w:val="both"/>
      </w:pPr>
      <w:r>
        <w:rPr>
          <w:rFonts w:ascii="Arial" w:eastAsia="Arial" w:hAnsi="Arial" w:cs="Arial"/>
          <w:color w:val="000000"/>
          <w:sz w:val="24"/>
          <w:szCs w:val="24"/>
        </w:rPr>
        <w:t xml:space="preserve">En la materia electoral, el riesgo se distribuye entre quien impugna una elección y quien defiende su validez. El ordenamiento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Por consiguiente, la reforma debe fijar el umbral atendiendo a esas reglas y a los bienes en juego. La reforma debe justificar expresamente la preferencia de error que adopte. Los cinco criterios permiten descartar ciertas reformas aparentes.</w:t>
      </w:r>
    </w:p>
    <w:p>
      <w:pPr>
        <w:spacing w:before="0" w:after="0" w:line="360" w:lineRule="auto"/>
        <w:ind w:firstLine="709"/>
        <w:jc w:val="both"/>
      </w:pPr>
      <w:r>
        <w:rPr>
          <w:rFonts w:ascii="Arial" w:eastAsia="Arial" w:hAnsi="Arial" w:cs="Arial"/>
          <w:color w:val="000000"/>
          <w:sz w:val="24"/>
          <w:szCs w:val="24"/>
        </w:rPr>
        <w:t xml:space="preserve">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Por tanto, la reforma debe satisfacer conjuntamente los cinco criterios. El texto vigente, en cambio, no satisface ninguno de ellos.</w:t>
      </w:r>
    </w:p>
    <w:p>
      <w:pPr>
        <w:spacing w:before="0" w:after="0" w:line="360" w:lineRule="auto"/>
        <w:ind w:firstLine="709"/>
        <w:jc w:val="both"/>
      </w:pPr>
      <w:r>
        <w:rPr>
          <w:rFonts w:ascii="Arial" w:eastAsia="Arial" w:hAnsi="Arial" w:cs="Arial"/>
          <w:color w:val="000000"/>
          <w:sz w:val="24"/>
          <w:szCs w:val="24"/>
        </w:rPr>
        <w:t xml:space="preserve">El método de valoración del párrafo 1 del artículo 16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En consecuencia, la reforma del artículo 16 no es una cuestión de técnica legislativa menor, sino una exigencia de las garantías procesales en la materia electoral. Los cinco criterios constituyen el parámetro para formular el estándar de prueba propuesto. Ese estándar debe traducir los criterios en un texto normativo preciso y aplicable.</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Los criterios para la reforma del artículo 16 de la ley de medios permiten formular un estándar de prueba para la nulidad de elecciones. La formulación se presenta con su fundamento doctrinal y su anclaje en el vocabulario jurisprudencial de la prueba indiciaria. El análisis explica después las operaciones que el estándar exige al juzgador y verifica si satisface los cinco criterios enunciados. El examen identifica la parte que soporta el riesgo cuando el estándar no se satisface. La formulación es una propuesta de esta investigación. Esa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Por tanto, la responsabilidad por la formulación concreta corresponde a esta investigación.</w:t>
      </w:r>
    </w:p>
    <w:p>
      <w:pPr>
        <w:spacing w:before="0" w:after="0" w:line="360" w:lineRule="auto"/>
        <w:ind w:firstLine="709"/>
        <w:jc w:val="both"/>
      </w:pPr>
      <w:r>
        <w:rPr>
          <w:rFonts w:ascii="Arial" w:eastAsia="Arial" w:hAnsi="Arial" w:cs="Arial"/>
          <w:color w:val="000000"/>
          <w:sz w:val="24"/>
          <w:szCs w:val="24"/>
        </w:rPr>
        <w:t xml:space="preserve">El estándar para acreditar una irregularidad determinante se formula en tres condiciones conjuntas. La primera condición exige que la hipótesis de la irregularidad explique de forma coherente los indicios acreditados mejor que cualquier alternativa plausible compatible con la validez de la elección. Esa comparación excluye las hipótesis construidas para el caso. La segunda condición exige que ningún elemento relevante aportado por las partes quede sin explicar. La tercera condición exige un acervo tendencialmente completo, que incorpore las pruebas relevantes accesibles para esclarecer los hechos. Si falta solo la tercera, la hipótesis no se tiene por probada y rige la carga de la prueba. La falta de pruebas accesibles no cuenta en contra del actor cuando es imputable a la parte que se beneficiaría de esa omisión. En consecuencia, las tres condiciones funcionan como un umbral único que el acervo debe superar.</w:t>
      </w:r>
    </w:p>
    <w:p>
      <w:pPr>
        <w:spacing w:before="0" w:after="0" w:line="360" w:lineRule="auto"/>
        <w:ind w:firstLine="709"/>
        <w:jc w:val="both"/>
      </w:pPr>
      <w:r>
        <w:rPr>
          <w:rFonts w:ascii="Arial" w:eastAsia="Arial" w:hAnsi="Arial" w:cs="Arial"/>
          <w:color w:val="000000"/>
          <w:sz w:val="24"/>
          <w:szCs w:val="24"/>
        </w:rPr>
        <w:t xml:space="preserve">El estándar propuesto no exige que el juzgador declare hallarse convencido de los hechos. El estándar tampoco asigna a la hipótesis un grado de probabilidad numérico. El estándar exige operaciones cuyo resultado puede ser revisado por las partes y por el órgano que conozca de un recurso. Esa revisabilidad distingue el estándar propuesto del criterio de convicción que rige en el texto vigente del artículo 16. La convicción del órgano no puede verificarse desde fuera, mientras que la comparación explicativa y la completitud del acervo sí pueden verificarse. En consecuencia, el estándar convierte la suficiencia probatoria en una cuestión justificable y controlable. La propuesta puede expresarse en términos legislativos precisos. 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709"/>
        <w:jc w:val="both"/>
      </w:pPr>
      <w:r>
        <w:rPr>
          <w:rFonts w:ascii="Arial" w:eastAsia="Arial" w:hAnsi="Arial" w:cs="Arial"/>
          <w:color w:val="000000"/>
          <w:sz w:val="24"/>
          <w:szCs w:val="24"/>
        </w:rPr>
        <w:t xml:space="preserve">La redacción propuesta conserva el método de valoración del párrafo 1, que sigue remitiendo a la lógica, la sana crítica y la experiencia. La redacción conserva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contiene hoy el criterio de convicción que se pretende sustituir. En consecuencia, la reforma modifica solo el elemento defectuoso de la cláusula mixta y preserva sus componentes racionales. 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p>
    <w:p>
      <w:pPr>
        <w:spacing w:before="0" w:after="0" w:line="360" w:lineRule="auto"/>
        <w:ind w:firstLine="709"/>
        <w:jc w:val="both"/>
      </w:pPr>
      <w:r>
        <w:rPr>
          <w:rFonts w:ascii="Arial" w:eastAsia="Arial" w:hAnsi="Arial" w:cs="Arial"/>
          <w:color w:val="000000"/>
          <w:sz w:val="24"/>
          <w:szCs w:val="24"/>
        </w:rPr>
        <w:t xml:space="preserve">Los tres primeros estándares de Ferrer Beltrán exigen que la hipótesis explique los datos disponibles integrándolos de forma coherente y que se hayan refutado todas o algunas de las hipótesis alternativas. El cuarto exige la hipótesis más probablemente verdadera y un peso probatorio completo. Los estándares sexto y séptimo solo exigen que la hipótesis sea más probable que las demás o que la de la parte contraria. Antes el autor había formulado la primera cláusula del cuarto estándar como la mejor explicación disponible.</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La formulación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 Esa exigencia responde a una objeción conocida contra los estándares comparativos.</w:t>
      </w:r>
    </w:p>
    <w:p>
      <w:pPr>
        <w:spacing w:before="0" w:after="0" w:line="360" w:lineRule="auto"/>
        <w:ind w:firstLine="709"/>
        <w:jc w:val="both"/>
      </w:pPr>
      <w:r>
        <w:rPr>
          <w:rFonts w:ascii="Arial" w:eastAsia="Arial" w:hAnsi="Arial" w:cs="Arial"/>
          <w:color w:val="000000"/>
          <w:sz w:val="24"/>
          <w:szCs w:val="24"/>
        </w:rPr>
        <w:t xml:space="preserve">Ferrer Beltrán advierte que exigir que una hipótesis sea más probable que otras puede ser una exigencia muy débil.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Esa cláusula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La completitud es tendencial y se refiere a las pruebas relevantes accesibles, salvo inaccesibilidad imputable a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y la tercera condición de la formulación propuesta recoge esa exigencia en los mismos términos.</w:t>
      </w:r>
    </w:p>
    <w:p>
      <w:pPr>
        <w:spacing w:before="0" w:after="0" w:line="360" w:lineRule="auto"/>
        <w:ind w:firstLine="709"/>
        <w:jc w:val="both"/>
      </w:pPr>
      <w:r>
        <w:rPr>
          <w:rFonts w:ascii="Arial" w:eastAsia="Arial" w:hAnsi="Arial" w:cs="Arial"/>
          <w:color w:val="000000"/>
          <w:sz w:val="24"/>
          <w:szCs w:val="24"/>
        </w:rPr>
        <w:t xml:space="preserve">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La sentencia no establece, sin embargo, cuándo la conclusión elegida es suficiente para tener por acreditada la irregularidad. La formulación propuesta aprovecha esos requisitos como condiciones de la valoración y les añade la regla de suficiencia que faltaba.</w:t>
      </w:r>
    </w:p>
    <w:p>
      <w:pPr>
        <w:spacing w:before="0" w:after="0" w:line="360" w:lineRule="auto"/>
        <w:ind w:firstLine="709"/>
        <w:jc w:val="both"/>
      </w:pPr>
      <w:r>
        <w:rPr>
          <w:rFonts w:ascii="Arial" w:eastAsia="Arial" w:hAnsi="Arial" w:cs="Arial"/>
          <w:color w:val="000000"/>
          <w:sz w:val="24"/>
          <w:szCs w:val="24"/>
        </w:rPr>
        <w:t xml:space="preserve">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pPr>
        <w:spacing w:before="0" w:after="0" w:line="360" w:lineRule="auto"/>
        <w:ind w:firstLine="709"/>
        <w:jc w:val="both"/>
      </w:pPr>
      <w:r>
        <w:rPr>
          <w:rFonts w:ascii="Arial" w:eastAsia="Arial" w:hAnsi="Arial" w:cs="Arial"/>
          <w:color w:val="000000"/>
          <w:sz w:val="24"/>
          <w:szCs w:val="24"/>
        </w:rPr>
        <w:t xml:space="preserve">El estándar propuesto exige tres operaciones controlables. La primera operación compara la hipótesis de la irregularidad con las alternativas plausibles compatibles con la validez. Ferrer Beltrán precisa que una hipótesis alternativa solo puede tomarse en consideración si es ella misma contrastable, lo que excluye las hipótesis construidas para el caso.</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verifica que la hipótesis explique todos los elementos relevantes, incluidos los de la responsable y el tercero. La tercera operación es determinar qué pruebas serían necesarias para esclarecer los hechos y si se han incorporado al expediente. El autor propone preguntar qué pruebas exigen las hipótesis y sus predicciones, y si se aportaron.</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pPr>
        <w:spacing w:before="0" w:after="0" w:line="360" w:lineRule="auto"/>
        <w:ind w:firstLine="709"/>
        <w:jc w:val="both"/>
      </w:pPr>
      <w:r>
        <w:rPr>
          <w:rFonts w:ascii="Arial" w:eastAsia="Arial" w:hAnsi="Arial" w:cs="Arial"/>
          <w:color w:val="000000"/>
          <w:sz w:val="24"/>
          <w:szCs w:val="24"/>
        </w:rPr>
        <w:t xml:space="preserve">La regla sobre las pruebas no aportadas tiene una función específica en la materia electoral. La información sobre gastos, programas públicos o recursos utilizados en una campaña suele estar en poder de autoridades, partidos o candidaturas, y no de quien impugna. Según Ferrer Beltrán, una laguna probatoria causada por la parte beneficiada no debe impedir tener por satisfecho el estándar.</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La regla no invierte la carga de la prueba, porque el actor debe seguir acreditando los indicios en que funda su hipótesis. La regla solo impide que la incompletitud imputable a la contraparte cuente en contra del actor. Por tanto, esta regla es una de las decisiones de distribución del riesgo que la formulación hace explícitas.</w:t>
      </w:r>
    </w:p>
    <w:p>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w:t>
      </w:r>
    </w:p>
    <w:p>
      <w:pPr>
        <w:spacing w:before="0" w:after="0" w:line="360" w:lineRule="auto"/>
        <w:ind w:firstLine="709"/>
        <w:jc w:val="both"/>
      </w:pPr>
      <w:r>
        <w:rPr>
          <w:rFonts w:ascii="Arial" w:eastAsia="Arial" w:hAnsi="Arial" w:cs="Arial"/>
          <w:color w:val="000000"/>
          <w:sz w:val="24"/>
          <w:szCs w:val="24"/>
        </w:rPr>
        <w:t xml:space="preserve">La formulación satisface el quinto criterio, porque determina qué ocurre cuando las condiciones no se cumplen y sobre quién recae entonces el riesgo del error. 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Una misma estructura, basada en la comparación explicativa y en la completitud del acervo, puede emplearse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precedente, y deja abierta la formulación de los estándares para las decisiones de menor alcance.</w:t>
      </w:r>
    </w:p>
    <w:p>
      <w:pPr>
        <w:spacing w:before="0" w:after="0" w:line="360" w:lineRule="auto"/>
        <w:ind w:firstLine="709"/>
        <w:jc w:val="both"/>
      </w:pPr>
      <w:r>
        <w:rPr>
          <w:rFonts w:ascii="Arial" w:eastAsia="Arial" w:hAnsi="Arial" w:cs="Arial"/>
          <w:color w:val="000000"/>
          <w:sz w:val="24"/>
          <w:szCs w:val="24"/>
        </w:rPr>
        <w:t xml:space="preserve">El estándar propuesto expresa una preferencia de error explícita y moderada. Si la hipótesis de la irregularidad no explica los indicios mejor que las alternativas compatibles con la validez, la elección se tiene por válida. Si la explica mejor pero el acervo es incompleto, la elección es válida, salvo incompletitud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En consecuencia, el riesgo del falso negativo recae sobre el actor y la ciudadanía, en la medida en que el acervo no alcance el umbral. El riesgo del falso positivo se reduce porque la irregularidad exige una explicación superior y un acervo completo. La preferencia es moderada, porque el estándar no exige refutar todas las alternativas, lo que haría prácticamente inalcanzable la acreditación de irregularidades encubiertas.</w:t>
      </w:r>
    </w:p>
    <w:p>
      <w:pPr>
        <w:spacing w:before="0" w:after="0" w:line="360" w:lineRule="auto"/>
        <w:ind w:firstLine="709"/>
        <w:jc w:val="both"/>
      </w:pPr>
      <w:r>
        <w:rPr>
          <w:rFonts w:ascii="Arial" w:eastAsia="Arial" w:hAnsi="Arial" w:cs="Arial"/>
          <w:color w:val="000000"/>
          <w:sz w:val="24"/>
          <w:szCs w:val="24"/>
        </w:rPr>
        <w:t xml:space="preserve">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equilibra la carga del actor. El resultado es un diseño en el que la validez sigue siendo la solución por defecto, pero en el que la medida de esa preferencia queda fijada en la ley. Ese diseño plantea una última cuestión de viabilidad. Esa cuestión es si la prueba indiciaria electoral puede alcanzar el estándar.</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resultar inaplicable si exige un tipo de prueba que la materia no puede ofrecer. La prueba de que dispone el contencioso electoral es predominantemente indiciaria. La tesis que se sostiene es que el estándar propuesto es compatible con esa prueba. El estándar formaliza como regla de suficiencia operaciones que el razonamiento indiciario ya exige. La demostración caracteriza primero la naturaleza indiciaria de la prueba electoral y examina cómo adquieren fuerza probatoria los indicios según la doctrina y la jurisprudencia. Después establece la correspondencia entre esos requisitos y las condiciones del estándar. El análisis responde después a las objeciones más previsibles y precisa qué cambia y qué permanece con la reforma. En consecuencia, este examen cierra el argumento central de la investigación.</w:t>
      </w:r>
    </w:p>
    <w:p>
      <w:pPr>
        <w:spacing w:before="0" w:after="0" w:line="360" w:lineRule="auto"/>
        <w:ind w:firstLine="709"/>
        <w:jc w:val="both"/>
      </w:pPr>
      <w:r>
        <w:rPr>
          <w:rFonts w:ascii="Arial" w:eastAsia="Arial" w:hAnsi="Arial" w:cs="Arial"/>
          <w:color w:val="000000"/>
          <w:sz w:val="24"/>
          <w:szCs w:val="24"/>
        </w:rPr>
        <w:t xml:space="preserve">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del voto de Rodríguez Mondragón recordó un criterio de la Sala sobre los actos ilícitos. Según ese criterio,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Por tanto, la prueba indirecta es la vía ordinaria de acreditación electoral. La legislación y la jurisprudencia reflejan esa realidad.</w:t>
      </w:r>
    </w:p>
    <w:p>
      <w:pPr>
        <w:spacing w:before="0" w:after="0" w:line="360" w:lineRule="auto"/>
        <w:ind w:firstLine="709"/>
        <w:jc w:val="both"/>
      </w:pPr>
      <w:r>
        <w:rPr>
          <w:rFonts w:ascii="Arial" w:eastAsia="Arial" w:hAnsi="Arial" w:cs="Arial"/>
          <w:color w:val="000000"/>
          <w:sz w:val="24"/>
          <w:szCs w:val="24"/>
        </w:rPr>
        <w:t xml:space="preserve">La ley de medios atribuye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En consecuencia, cualquier estándar para la nulidad de elecciones debe poder operar sobre acervos formados principalmente por indicios. La doctrina explica cómo adquieren fuerza probatoria los indicios. Gascón Abellán señala que el requisito de la pluralidad exige que la prueba de un hecho se funde en más de un indicio. Ese requisito suele acompañarse del de la concordancia, que exige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La autora justifica la pluralidad por dos razones. Ambas razones se refieren a la naturaleza del dato indiciario y del razonamiento que lo procesa.</w:t>
      </w:r>
    </w:p>
    <w:p>
      <w:pPr>
        <w:spacing w:before="0" w:after="0" w:line="360" w:lineRule="auto"/>
        <w:ind w:firstLine="709"/>
        <w:jc w:val="both"/>
      </w:pPr>
      <w:r>
        <w:rPr>
          <w:rFonts w:ascii="Arial" w:eastAsia="Arial" w:hAnsi="Arial" w:cs="Arial"/>
          <w:color w:val="000000"/>
          <w:sz w:val="24"/>
          <w:szCs w:val="24"/>
        </w:rPr>
        <w:t xml:space="preserve">La primera razón es que la pluralidad evita fundar una conclusión en un único dato, que por naturaleza es equívoco. La segunda razón es que el razonamiento indiciario es inductivo, de modo que su resultado es de mera probabilidad y resulta más fiable cuantos más indicios lo apoyen. Gascón Abellán matiza, sin embargo, que nada excluye en principio que un hecho se pruebe con un solo indicio si su calidad epistemológica es muy elevada. Por tanto, la afirmación de que un indicio aislado carece siempre de fuerza demostrativa debe matizarse. La regla general es que la fuerza probatoria depende de la pluralidad y la concordancia. La cantidad de indicios no sustituye, sin embargo,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r>
        <w:rPr>
          <w:rFonts w:ascii="Arial" w:eastAsia="Arial" w:hAnsi="Arial" w:cs="Arial"/>
          <w:color w:val="000000"/>
          <w:sz w:val="24"/>
          <w:szCs w:val="24"/>
        </w:rPr>
        <w:t xml:space="preserve"> La jurisprudencia electoral contiene, junto a esos requisitos, un criterio sobre la graduación de la fuerza de los indicios.</w:t>
      </w:r>
    </w:p>
    <w:p>
      <w:pPr>
        <w:spacing w:before="0" w:after="0" w:line="360" w:lineRule="auto"/>
        <w:ind w:firstLine="709"/>
        <w:jc w:val="both"/>
      </w:pPr>
      <w:r>
        <w:rPr>
          <w:rFonts w:ascii="Arial" w:eastAsia="Arial" w:hAnsi="Arial" w:cs="Arial"/>
          <w:color w:val="000000"/>
          <w:sz w:val="24"/>
          <w:szCs w:val="24"/>
        </w:rPr>
        <w:t xml:space="preserve">La jurisprudencia 38/2002 distingue entre indicios simples e indicios de mayor grado convictivo. El juzgador pondera si hay varias notas de distintos medios y autores, coincidentes en lo sustancial y sin desmentido. Cuando concurren esas circunstancias, la jurisprudencia concluye que los elementos faltantes para alcanzar la fuerza probatoria plena son menores. El criterio muestra que la jurisprudencia ya concibe la prueba indiciaria como una cuestión de grado. El criterio no indica, sin embargo, cuándo el grado alcanzado es suficiente para tener por probado el hecho. La diferencia entre acumular indicios débiles y tejer una red que se corrobora depende de la independencia, la coincidencia y la pertinencia de las fuentes. Esos factores pertenecen a la valoración del valor probatorio y no a la regla de suficiencia. El estándar propuesto se apoya en esa valoración y le añade la decisión sobre la suficiencia que la jurisprudencia deja abierta.</w:t>
      </w:r>
    </w:p>
    <w:p>
      <w:pPr>
        <w:spacing w:before="0" w:after="0" w:line="360" w:lineRule="auto"/>
        <w:ind w:firstLine="709"/>
        <w:jc w:val="both"/>
      </w:pPr>
      <w:r>
        <w:rPr>
          <w:rFonts w:ascii="Arial" w:eastAsia="Arial" w:hAnsi="Arial" w:cs="Arial"/>
          <w:color w:val="000000"/>
          <w:sz w:val="24"/>
          <w:szCs w:val="24"/>
        </w:rPr>
        <w:t xml:space="preserve">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hipótesis rivales pueden resultar suficientemente fundadas.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Por consiguiente, la primera condición convierte esa confrontación en una regla expresa de decisión, cuya aplicación solo exige que el juzgador exponga la comparación que ya debería realizar.</w:t>
      </w:r>
    </w:p>
    <w:p>
      <w:pPr>
        <w:spacing w:before="0" w:after="0" w:line="360" w:lineRule="auto"/>
        <w:ind w:firstLine="709"/>
        <w:jc w:val="both"/>
      </w:pPr>
      <w:r>
        <w:rPr>
          <w:rFonts w:ascii="Arial" w:eastAsia="Arial" w:hAnsi="Arial" w:cs="Arial"/>
          <w:color w:val="000000"/>
          <w:sz w:val="24"/>
          <w:szCs w:val="24"/>
        </w:rPr>
        <w:t xml:space="preserve">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Esa condición no mide la calidad de la relación entre los indicios, sino la riqueza del conjunto de elementos de juicio con que se decide. Ferrer Beltrán distingue el peso probatorio, que mide la completitud, del valor probatorio, que mide la confirmación.</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Por tanto, la distinción entre indicios genuinamente interrelacionados y la mera acumulación de indicios débiles descansa en la segunda condición y en la valoración, no en la completitud.</w:t>
      </w:r>
    </w:p>
    <w:p>
      <w:pPr>
        <w:spacing w:before="0" w:after="0" w:line="360" w:lineRule="auto"/>
        <w:ind w:firstLine="709"/>
        <w:jc w:val="both"/>
      </w:pPr>
      <w:r>
        <w:rPr>
          <w:rFonts w:ascii="Arial" w:eastAsia="Arial" w:hAnsi="Arial" w:cs="Arial"/>
          <w:color w:val="000000"/>
          <w:sz w:val="24"/>
          <w:szCs w:val="24"/>
        </w:rPr>
        <w:t xml:space="preserve">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Las lagunas imputables a la parte beneficiada no impiden satisfacer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Subsiste, con todo, un riesgo de que el acervo no alcance la completitud por razones de tiempo, y ese riesgo es una consecuencia de la distribución elegida que debe reconocerse como tal.</w:t>
      </w:r>
    </w:p>
    <w:p>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Según esa objeción, el estándar permitiría anular una elección con una hipótesis apenas mejor que una alternativa igualmente débil. Ferrer Beltrán reconoce ese problema en los estándares que solo exigen una mayor probabilidad relativa entre hipótesis.</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enfrenta el problema con dos condiciones adicionales, que son la coherencia de la hipótesis con todos los elementos relevantes y la completitud del acervo. La tercera objeción sostiene, en sentido contrario, que el estándar es demasiado exigente frente a irregularidades encubiertas. La respuesta es que el estándar no exige refutar todas las alternativas, exigencia que haría prácticamente inalcanzable la prueba indiciaria de esas irregularidades. En consecuencia, el estándar evita tanto la debilidad de la mera comparación como la rigidez de la refutación total. El proyecto de Rodríguez Mondragón ofrece un apoyo para esa posición intermedia.</w:t>
      </w:r>
    </w:p>
    <w:p>
      <w:pPr>
        <w:spacing w:before="0" w:after="0" w:line="360" w:lineRule="auto"/>
        <w:ind w:firstLine="709"/>
        <w:jc w:val="both"/>
      </w:pPr>
      <w:r>
        <w:rPr>
          <w:rFonts w:ascii="Arial" w:eastAsia="Arial" w:hAnsi="Arial" w:cs="Arial"/>
          <w:color w:val="000000"/>
          <w:sz w:val="24"/>
          <w:szCs w:val="24"/>
        </w:rPr>
        <w:t xml:space="preserve">El proyecto de Rodríguez Mondragón sostuvo que las dificultades probatorias no justifican disminuir el estándar. Según el proyecto,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El estándar formula la exigencia en términos que la prueba indiciaria puede satisfacer sin rebajarla por la dificultad. Por tanto, ninguna de las objeciones demuestra una incompatibilidad estructural entre el estándar y la prueba disponible.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w:t>
      </w:r>
    </w:p>
    <w:p>
      <w:pPr>
        <w:spacing w:before="0" w:after="0" w:line="360" w:lineRule="auto"/>
        <w:ind w:firstLine="709"/>
        <w:jc w:val="both"/>
      </w:pPr>
      <w:r>
        <w:rPr>
          <w:rFonts w:ascii="Arial" w:eastAsia="Arial" w:hAnsi="Arial" w:cs="Arial"/>
          <w:color w:val="000000"/>
          <w:sz w:val="24"/>
          <w:szCs w:val="24"/>
        </w:rPr>
        <w:t xml:space="preserve">La regla de peso de las documentales públicas permanecería igualmente vigente. El estándar modifica el criterio con que se decide si el acervo, una vez valorado, es suficiente para tener por acreditada la irregularidad. Esa modificación recae sobre el párrafo 3 del artículo 16, que hoy remite la prueba plena a la convicción del órgano. El precepto conserva la redacción publicada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22 de noviembre de 1996, sin reformas de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en el texto legal durante casi treinta años. En consecuencia, la reforma propuesta corrige esa confusión sin alterar las demás piezas del sistema probatorio electoral. La distinción entre el objeto de la prueba y el criterio de su suficiencia es la misma que la investigación ha sostenido entre la valoración de la prueba y el estándar de prueba. Esa distinción puede ilustrarse con una analogía que Ferrer Beltrán propone.</w:t>
      </w:r>
    </w:p>
    <w:p>
      <w:pPr>
        <w:spacing w:before="0" w:after="0" w:line="360" w:lineRule="auto"/>
        <w:ind w:firstLine="709"/>
        <w:jc w:val="both"/>
      </w:pPr>
      <w:r>
        <w:rPr>
          <w:rFonts w:ascii="Arial" w:eastAsia="Arial" w:hAnsi="Arial" w:cs="Arial"/>
          <w:color w:val="000000"/>
          <w:sz w:val="24"/>
          <w:szCs w:val="24"/>
        </w:rPr>
        <w:t xml:space="preserve">La valoración determina cuánto apoyan las pruebas a cada hipótesis, mientras que el estándar determina si ese apoyo basta para decidir. Ferrer Beltrán expresa esa diferencia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Esa jurisprudencia no ha desarrollado, sin embargo, la nota mínima. El estándar propuesto aporta esa nota mínima sin sustituir los criterios de valoración. Por tanto, la compatibilidad con la prueba indiciaria es una consecuencia del diseño. El argumento central partió del diagnóstico de la cláusula mixta del artículo 16. Ese argumento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sobre el artículo 16 de la LGSMIME. La pregunta buscaba determinar en qué medida la ausencia de un estándar de prueba objetivo en ese precepto,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la investigación. Las seis primeras conclusiones corresponden al diagnóstico teórico, histórico y jurisprudencial. Las tres restantes corresponden al fundamento metodológico y a la propuesta. La verificación de la hipótesis y la revisión del cumplimiento de los objetivos siguen a esas nueve conclusiones.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plano de la valoración, porque explica cómo se construyen y se articulan los indicios, pero no dice cuánta corroboración conjunta se requiere para decidir. La fijación de ese umbral es una decisión política sobre la distribución del riesgo del error, que la epistemología no puede tomar. Por ello esa decisión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y su párrafo 3 remite la prueba plena a la convicción del órgano que decide. La sana crítica llegó indeterminada, y la práctica española del siglo XIX ya la había acercado a la íntima convicción. La sentencia del caso Tabasco, de diciembre de 2000, aplicó un método de valoración racional que consideró hipótesis alternativas. Esa sentencia expresó la suficiencia, sin embargo, en términos de convencimiento y de posibilidad de un resultado distinto. La jurisprudencia 38/2002 graduó el peso de las notas periodísticas, pero no fijó el punto de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porque enuncia requisitos controlables para los indicios y las inferencias y exige contrastar la conclusión con hipótesis alternativas. Ese avance no alcanzó el plano de la suficiencia. La mayoría expresó el resultado en tres vocabularios distintos, que son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y las reformas constitucionales y legales posteriores reprodujeron la exigencia de plena acreditación sin definirla. Por tanto, el error de categoría subsiste.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ese voto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y aplica este último aun en contra de su propia pretensión. La ruptura es, sin embargo, parcial en la aplicación. El voto conserva expresiones de convicción y hace depender el estándar de la modulación judicial. El voto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y la vaguedad y la ambigüedad de algunos de sus términos agravan el problema, pero no lo explican. De ese defecto deriva el funcionamiento inerte de su componente racional, que opera en la valoración, pero no orienta la decisión sobre la suficiencia. La jurisprudencia respondió con nuevas reglas de peso, como las relativas a notas periodísticas, pruebas técnicas y testimoniales. Esas reglas desplazaron el problema sin resolverlo. La interpretación puede despsicologizar la palabra convicción, pero no puede extraer del texto un umbral que el texto no contiene. En consecuencia, la corrección del error exige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Los modelos penal y civil no se trasladan a la nulidad, porque ambos errores afectan a la ciudadanía, ajena al juicio. Los bienes en juego son la certeza sobre el resultado, en sus dimensiones de fidelidad y de firmeza, el derecho al voto y la renovación ordenada de los órganos del poder público. El ordenamiento contiene una preferencia implícita por la validez de las elecciones.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mejor que cualquier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Por tanto,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ni se conforma con una mayor probabilidad relativa. La reforma no modifica los medios de prueba admisibles ni el método de valoración. En consecuencia, la reforma se limita a añadir la regla de suficiencia que hoy falta en el contencioso electoral.</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La primera parte de la hipótesis afirmaba que la ausencia de un estándar objetivo y su sustitución por la convicción comprometen la racionalidad del juicio sobre los hechos. El análisis de los casos de 2000 y de 2025 confirma esa primera parte, porque mayorías y minorías leyeron el mismo acervo de manera opuesta sin una regla previa que permitiera arbitrar entre ellas. Las decisiones sobre la suficiencia se expresaron como estados de convicción que no pueden controlarse intersubjetivamente. La segunda parte de la hipótesis afirmaba que un diseño fundado en la relatividad del estándar permite corregir esa carencia sin sacrificar la prueba indiciaria. El fundamento metodológico y la propuesta confirman esa segunda parte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primer objetivo se cumplió con la sistematización del marco teórico de la prueba indiciaria y del estándar de prueba. El segundo se cumplió al identificar el error de categoría en la determinancia y reconstruir el origen de la cláusula híbrida. El tercero se cumplió al demostrar su persistencia en 2025 y caracterizarla como cláusula mixta. El cuarto objetivo se cumplió con la exposición del fundamento metodológico de la relatividad del estándar según los bienes en juego. El quinto se cumplió con la propuesta legislativa y su compatibilidad con la prueba indiciaria. En consecuencia, la investigación alcanzó cada uno de los propósitos que se planteó desde su inicio.</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aportación es un puente conceptual entre la teoría analítica del estándar de prueba y la doctrina mexicana de la determinancia. Esas dos literaturas se habían desarrollado por separado. La segunda aportación es la categoría de cláusula mixta, que permite distinguir el defecto del artículo 16 de la vaguedad y de la ambigüedad. La tercera aportación es la constatación de que el disenso de 2000 y la mayoría de 2025 comparten el vocabulario de la convicción. El disenso de 2025, en cambio, introduce por primera vez la crítica explícita a la ausencia de estándar. La cuarta aportación es una formulación legislativa concreta del estándar, acompañada de las razones de su diseño y de su verificación frente a los requisitos metodológicos. Por tanto, las aportaciones combinan un diagnóstico conceptual con una propuesta normativa aplicable.</w:t>
      </w:r>
    </w:p>
    <w:p>
      <w:pPr>
        <w:spacing w:before="0" w:after="0" w:line="360" w:lineRule="auto"/>
        <w:ind w:firstLine="709"/>
        <w:jc w:val="both"/>
      </w:pPr>
      <w:r>
        <w:rPr>
          <w:rFonts w:ascii="Arial" w:eastAsia="Arial" w:hAnsi="Arial" w:cs="Arial"/>
          <w:color w:val="000000"/>
          <w:sz w:val="24"/>
          <w:szCs w:val="24"/>
        </w:rPr>
        <w:t xml:space="preserve">El trabajo tiene límites que conviene declarar. El análisis es documental y dogmático, y no mide empíricamente el comportamiento de los tribunales. La selección de casos se centró en el caso Tabasco y en el SUP-JIN-194/2025, complementados con otros precedentes relevantes. Esa selección no pretende ser exhaustiva. Los antecedentes parlamentarios de la reforma de 1996 quedaron fuera del acervo examinado, porque exceden el acervo documental de esta investigación. La propuesta se limita a la decisión de mayor alcance, que es la nulidad de una elección, y no gradúa los estándares de las demás decisiones del procedimiento. En consecuencia, las conclusiones valen para el plano normativo y para los casos examinados, y no para la totalidad de la práctica jurisdiccional electoral. Esos límites no debilitan la tesis, pero señalan con precisión las tareas que quedan pendientes.</w:t>
      </w:r>
    </w:p>
    <w:p>
      <w:pPr>
        <w:spacing w:before="0" w:after="0" w:line="360" w:lineRule="auto"/>
        <w:ind w:firstLine="709"/>
        <w:jc w:val="both"/>
      </w:pPr>
      <w:r>
        <w:rPr>
          <w:rFonts w:ascii="Arial" w:eastAsia="Arial" w:hAnsi="Arial" w:cs="Arial"/>
          <w:color w:val="000000"/>
          <w:sz w:val="24"/>
          <w:szCs w:val="24"/>
        </w:rPr>
        <w:t xml:space="preserve">Los límites del trabajo señalan las líneas de investigación futura. La primera línea consiste en examinar los antecedentes legislativos del artículo 16 para contrastar la hipótesis de que la cláusula híbrida resultó de la recepción de fórmulas imprecisas y no de una decisión deliberada. La segunda línea consiste en graduar los estándares aplicables a la nulidad de la votación en casilla, a las medidas cautelares y al incidente de nuevo escrutinio y cómputo. La tercera línea consiste en un estudio empírico de las sentencias de nulidad que permita medir la variación del umbral. La cuarta línea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