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r>
        <w:rPr>
          <w:rFonts w:ascii="Arial" w:eastAsia="Arial" w:hAnsi="Arial" w:cs="Arial"/>
          <w:sz w:val="24"/>
          <w:szCs w:val="24"/>
        </w:rPr>
        <w:t xml:space="preserve">invocó</w:t>
      </w:r>
      <w:r>
        <w:rPr>
          <w:rFonts w:ascii="Arial" w:eastAsia="Arial" w:hAnsi="Arial" w:cs="Arial"/>
          <w:sz w:val="24"/>
          <w:szCs w:val="24"/>
        </w:rPr>
        <w:t xml:space="preserve"> la presunción de determinancia prevista para diferencias menores al cinco por ciento.</w:t>
      </w:r>
      <w:r>
        <w:rPr>
          <w:rFonts w:ascii="Arial" w:eastAsia="Arial" w:hAnsi="Arial" w:cs="Arial"/>
          <w:sz w:val="24"/>
          <w:szCs w:val="24"/>
        </w:rPr>
        <w:t xml:space="preserve"> Como la diferencia entre el primero y el segundo lugar era de 11.11 por ciento, atribuyó la carga de acreditar la determinancia a quien pretendía la nulidad.</w:t>
      </w:r>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aplicación de la presunción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r>
        <w:t xml:space="preserve">, 572 y 577</w:t>
      </w:r>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r>
        <w:t xml:space="preserve">, y p. 87</w:t>
      </w:r>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10-12</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r>
        <w:t xml:space="preserve">pp. 48 y 49</w:t>
      </w:r>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r>
        <w:t xml:space="preserve">98</w:t>
      </w:r>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7</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8</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10</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r>
        <w:t xml:space="preserve">82</w:t>
      </w:r>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México, Tribunal Electoral del Poder Judicial de la Federación,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México, El Colegio de México, 2012, apartado relativo a la reforma electoral de 1996.</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p. 576.</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México, Tribunal Electoral del Poder Judicial de la Federación, pp. 257-288,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r>
        <w:rPr>
          <w:i/>
          <w:iCs/>
        </w:rPr>
        <w:t>Ibidem</w:t>
      </w:r>
      <w:r>
        <w:t>,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p. 22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p. 6.</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p. 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p. 18.</w:t>
      </w:r>
    </w:p>
  </w:footnote>
  <w:footnote w:id="441">
    <w:p w14:paraId="7DB37C03" w14:textId="77777777" w:rsidR="00224E50" w:rsidRDefault="00224E50" w:rsidP="00224E50">
      <w:pPr>
        <w:jc w:val="both"/>
      </w:pPr>
      <w:r>
        <w:rPr>
          <w:rStyle w:val="Refdenotaalpie"/>
        </w:rPr>
        <w:footnoteRef/>
      </w:r>
      <w:r>
        <w:t xml:space="preserve"> </w:t>
      </w:r>
      <w:r>
        <w:rPr>
          <w:i/>
          <w:iCs/>
        </w:rPr>
        <w:t>Ibidem</w:t>
      </w:r>
      <w:r>
        <w:t>, p. 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p. 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p. 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pp. 40-42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México, Tribunal Electoral del Poder Judicial de la Federación,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 27,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