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160</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El autor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sino que esa sea su única o principal razón de ser. Un estándar diseñado solo para obtener cierta proporción global de errores podría aceptar cualquier fórmula que produzca esa proporción, aunque no permita controlar la decisión de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las encuentra entre las diversas decisiones sobre los hechos que se adoptan a lo largo de un mismo proceso. El autor añade una segunda objeción, que afecta a ambas corrientes, porque presuponen el concepto clásico de conocimiento, mientras que la actitud del juzgador al declarar probado un hecho no es la creencia ni el conocimiento, sino la aceptación. El autor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El autor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El proyecto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El proyecto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y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En el proceso civil, a diferencia de la materia electoral, los costes recaen 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El autor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autor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operaciones que el estándar exige al juzgador y verifica si satisface los cinco criterios enunciados. Finalmente identifica sobre qué parte recae el riesgo del error cuando el estándar no se satisface. La formulación es una propuesta de esta investigación. La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El estándar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y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La formulación satisface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El autor precisa que las lagunas imputables a la parte que se beneficiaría de ellas no deben impedir tener por satisfecho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La adminiculación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La sentencia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La sentencia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El voto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El estándar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