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su División de Estudios de Posgrado la formación que recibí, pues en sus aulas surgieron muchas preguntas de este trabajo. Mi director de tesis, el doctor Manuel Alejandro Sánchez Vega, leyó cada avance con atención y orientó la investigación desde su inicio. Sus observaciones mejoraron el planteamiento y la redacción, y por ello le estoy particularmente agradecido. A las profesoras y los profesores de la maestría les debo varias preguntas aquí examinadas, sobre todo las surgidas en las clases de justicia electoral, argumentación y prueba. A mis compañeras y compañeros de generación les agradezco las conversaciones y la compañía durante el programa. Agradezco de antemano sus observaciones a quienes integren el comité revisor. Mi familia tuvo paciencia durante todo el tiempo que exigió esta tesis, y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The same provision makes the sufficiency of evidence depend on the conviction of the judge. Conviction is a psychologistic criterion detached from any objective threshold. This hybrid clause has remained largely unchanged in Mexican electoral case law for twenty-five years. The clause therefore undermines the rationality of fact-finding in electoral litigation. The thesis examines the extent to which the absence of an objective standard compromises rational adjudication of the facts. The thesis then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A comparative approach to Spanish, Italian and Anglo-American procedural doctrine complements this methodology, together with a case analysis of ruling SUP-JIN-194/2025. The analysis traced the hybrid clause to its earliest documented judicial application in SUP-JRC-487/2000. The formula persisted virtually unchanged for a quarter of a century. Judicial awareness of the underlying problem emerged only recently in a single dissenting opinion. The study identified a category mistake between sound criticism and standard of proof in the doctrine on the determinative effect of electoral irregularities. On this basis, the thesis confirms its hypothesis. The thesis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Esa disciplina distingue el apoyo empírico de una hipótesis del umbral normativo para darla por probada. La tradición analítica hispanoamericana e italiana desarrolló principalmente esta distinción. La distinción importa más donde la prueba es indiciaria, como en el contencioso electoral mexicano. En esta materia, las irregularidades determinantes suelen acreditarse con indicios y no con prueba directa. El artículo 16 fija el criterio de valoración mediante una fórmula que combina un vocabulario racionalista, compuesto por la lógica, la sana crítica y la experiencia, con un vocabulario psicologista, que es la convicción del juzgador. Esa combinación de vocabularios oculta la ausencia de una regla de suficiencia.</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El precepto apela, en su lugar, a la convicción del juzgador, una condición mental que no admite control intersubjetivo. Esta sustitución constituye el problema que motiva la investigación. La sustitución compromete la racionalidad del juicio sobre los hechos, porque remite la suficiencia a un estado subjetivo y no a un criterio verificable. De esta constatación deriva la pregunta general del trabajo. La pregunta indaga en qué medida esa ausencia y la cláusula psicologista de la convicción comprometen dicha racionalidad. La pregunta indaga qué diseño legislativo corregiría la carencia sin sacrificar la naturaleza indiciaria de la prueba.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la investigación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 En consecuencia, el problema estudiado trasciende la técnica procesal y alcanza la confianza pública en la justicia electoral.</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del trabajo. La primera parte afirma que la falta de un estándar objetivo en el artículo 16 y su sustitución por la convicción comprometen la racionalidad del juicio sobre los hechos. Esa primera parte es diagnóstica y se contrasta con la doctrina y con la jurisprudencia electoral. La segunda parte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 Esa segunda parte es propositiva. Por tanto, la hipótesis une un diagnóstico sobre el derecho vigente con una propuesta de reforma. Esa doble estructura orienta la formulación de los objetivos de la investigación.</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y debe ser compatible con la prueba indiciaria. Este objetivo se despliega en cinco objetivos específicos. El primer objetivo específico es sistematizar el marco teórico de la prueba indiciaria y del estándar de prueba, y el segundo es identificar el error de categoría que sirve de puente conceptual entre esa teoría y la doctrina mexicana de la determinancia electoral. El tercer objetivo específico es demostrar la persistencia de la cláusula híbrida a lo largo de veinticinco años de jurisprudencia electoral. El cuarto es exponer el fundamento metodológico de la relatividad del estándar según los bienes en juego. El quinto es formular una propuesta de diseño legislativo compatible con la prueba indiciaria. El cumplimiento de estos objetivos requiere un marco teórico definido.</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que fija el umbral de suficiencia. El marco se apoya sobre todo en la obra de Jordi Ferrer Beltrán sobre los requisitos de un estándar válido y su relatividad según los bienes en juego. El marco recoge la tradición racionalista de la prueba representada, entre otros, por Michele Taruffo. La investigación contrasta ese marco con la doctrina mexicana de la determinancia, que ha tratado su problema de suficiencia sin ese aparato conceptual. La investigación no asume que la literatura existente agote este diálogo. Por ello, el desarrollo del trabajo advierte cuándo un planteamiento corresponde a una fuente verificada y cuándo constituye una propuesta original. Ese marco teórico se aplica mediante una estrategia metodológica precisa.</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El método comparado contrasta la sana crítica, la íntima convicción y los estándares de prueba de las tradiciones española, italiana y angloamericana con el derecho electoral mexicano. El método se complementa con el análisis de caso de la sentencia SUP-JIN-194/2025 y con su comparación frente a la sentencia SUP-JRC-487/2000. Esta última sentencia se seleccionó porque constituye el primer registro documentado de la aplicación judicial de la cláusula híbrida. El análisis documental y jurisprudencial sistematizó las sentencias y la jurisprudencia electoral relevantes. El análisis conceptual permitió descomponer las categorías de sana crítica, convicción, adminiculación y determinancia para evidenciar la falta de correspondencia entre ellas. En consecuencia, la metodología combina la teoría, la comparación y el estudio de casos. Esa combinación se refleja en la organización del trabajo.</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 Los tres primeros capítulos integran, por tanto, la fase de diagnóstico de la investigación.</w:t>
      </w:r>
    </w:p>
    <w:p>
      <w:pPr>
        <w:spacing w:before="0" w:after="0" w:line="360" w:lineRule="auto"/>
        <w:ind w:firstLine="709"/>
        <w:jc w:val="both"/>
      </w:pPr>
      <w:r>
        <w:rPr>
          <w:rFonts w:ascii="Arial" w:eastAsia="Arial" w:hAnsi="Arial" w:cs="Arial"/>
          <w:color w:val="000000"/>
          <w:sz w:val="24"/>
          <w:szCs w:val="24"/>
        </w:rPr>
        <w:t xml:space="preserve">La fase propositiva comprende los dos capítulos restantes. 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y verifican la hipótesis planteada en esta introducción. Las conclusiones sintetizan la aportación de la investigación al estado del arte de la epistemología jurídica de la prueba y del derecho electoral mexicano. En consecuencia, el recorrido completo avanza del diagnóstico del derecho vigente a una propuesta de reforma fundada en la teoría del estándar de prueba.</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Según Ferrer Beltrán, la sana crítica no cumple el requisito, porque a lo sumo es un método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Para Ferrer Beltrán, en una concepción racional el umbral debe reflejar el carácter probabilístico y epistémico del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estadística es arbitrario asignar números a hipótesis, testigos o documentos.</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el autor expone, el grado de corroboración de una hipótesis depende de las predicciones verdaderas que permite formular. Ese grado depende igualmente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La sentencia no es la única decisión probatoria, pues antes se decide sobre medidas cautelares o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los costes de la condena falsa dependen del tipo de condena y no de la jurisdicción.</w:t>
      </w:r>
      <w:r>
        <w:rPr>
          <w:rFonts w:ascii="Arial" w:eastAsia="Arial" w:hAnsi="Arial" w:cs="Arial"/>
          <w:color w:val="000000"/>
          <w:sz w:val="24"/>
          <w:szCs w:val="24"/>
          <w:vertAlign w:val="superscript"/>
        </w:rPr>
        <w:footnoteReference w:id="681"/>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debido proceso exige, según el autor, que el legislador fije el umbral y asigne el riesgo entre las partes.</w:t>
      </w:r>
      <w:r>
        <w:rPr>
          <w:rFonts w:ascii="Arial" w:eastAsia="Arial" w:hAnsi="Arial" w:cs="Arial"/>
          <w:color w:val="000000"/>
          <w:sz w:val="24"/>
          <w:szCs w:val="24"/>
          <w:vertAlign w:val="superscript"/>
        </w:rPr>
        <w:footnoteReference w:id="684"/>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La completitud es tendencial y se refiere a las pruebas relevantes accesibles, salvo inaccesibilidad imputable a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precisa que una hipótesis alternativa solo puede tomarse en consideración si es ella misma contrastable, lo que excluye las hipótesis construidas para el caso.</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una laguna probatoria causada por la parte beneficiada no debe impedir tener por satisfecho el estándar.</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r>
        <w:rPr>
          <w:rFonts w:ascii="Arial" w:eastAsia="Arial" w:hAnsi="Arial" w:cs="Arial"/>
          <w:color w:val="000000"/>
          <w:sz w:val="24"/>
          <w:szCs w:val="24"/>
        </w:rPr>
        <w:t xml:space="preserve">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hipótesis rivales pueden resultar suficientemente fundadas.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distingue el peso probatorio, que mide la completitud, del valor probatorio, que mide la confirmación.</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Las lagunas imputables a la parte beneficiada no impiden satisfacer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reconoce ese problema en los estándares que solo exigen una mayor probabilidad relativa entre hipótesis.</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expresa esa diferencia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