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La tercera función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Queda por precisar cuáles son los errores que el estándar distribuye. 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Descartado el contextualismo, el criterio de la relatividad debe buscarse en la consecuencia jurídica. 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síntesis, 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Resta examinar si el ordenamiento declara una preferencia entre ambos errores. 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