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mi familia, que me acompañó durante los años de estudio en que se hizo este trabajo.</w:t>
      </w:r>
    </w:p>
    <w:p>
      <w:pPr>
        <w:spacing w:before="0" w:after="0" w:line="360" w:lineRule="auto"/>
        <w:jc w:val="left"/>
      </w:pPr>
    </w:p>
    <w:p>
      <w:pPr>
        <w:spacing w:before="0" w:after="0" w:line="360" w:lineRule="auto"/>
        <w:ind w:left="4536" w:firstLine="0"/>
        <w:jc w:val="left"/>
      </w:pPr>
      <w:r>
        <w:rPr>
          <w:rFonts w:ascii="Arial" w:eastAsia="Arial" w:hAnsi="Arial" w:cs="Arial"/>
          <w:color w:val="000000"/>
          <w:sz w:val="24"/>
          <w:szCs w:val="24"/>
        </w:rPr>
        <w:t xml:space="preserve">A quienes piensan que una elección debe resolverse con reglas claras y con razones que cualquiera pueda revisar.</w:t>
      </w:r>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pPr>
        <w:spacing w:before="0" w:after="0" w:line="360" w:lineRule="auto"/>
        <w:ind w:firstLine="0"/>
        <w:jc w:val="both"/>
      </w:pPr>
      <w:r>
        <w:rPr>
          <w:rFonts w:ascii="Arial" w:eastAsia="Arial" w:hAnsi="Arial" w:cs="Arial"/>
          <w:color w:val="000000"/>
          <w:sz w:val="24"/>
          <w:szCs w:val="24"/>
        </w:rPr>
        <w:t xml:space="preserve">Esta tesis se escribió en la Maestría en Derecho Electoral de la Universidad Michoacana de San Nicolás de Hidalgo. Agradezco a su Facultad de Derecho y Ciencias Sociales y a la División de Estudios de Posgrado la formación que recibí. Buena parte de las preguntas que animan este trabajo surgió en sus aulas. Mi director de tesis, el doctor Manuel Alejandro Sánchez Vega, leyó cada avance con atención y orientó la investigación desde su inicio. Sus observaciones mejoraron el planteamiento y la redacción del trabajo, y por ello le estoy particularmente agradecido.</w:t>
      </w:r>
    </w:p>
    <w:p>
      <w:pPr>
        <w:spacing w:before="0" w:after="0" w:line="360" w:lineRule="auto"/>
        <w:ind w:firstLine="709"/>
        <w:jc w:val="both"/>
      </w:pPr>
      <w:r>
        <w:rPr>
          <w:rFonts w:ascii="Arial" w:eastAsia="Arial" w:hAnsi="Arial" w:cs="Arial"/>
          <w:color w:val="000000"/>
          <w:sz w:val="24"/>
          <w:szCs w:val="24"/>
        </w:rPr>
        <w:t xml:space="preserve">A las profesoras y los profesores de la maestría les debo varias de las preguntas que aquí se examinan, en particular las que surgieron en las clases sobre justicia electoral, argumentación y prueba. A mis compañeras y compañeros de generación les agradezco las conversaciones y la compañía durante el programa. Quienes integren el comité revisor dedicarán tiempo a leer estas páginas. Les agradezco de antemano sus observaciones. Mi familia tuvo paciencia durante todo el tiempo que exigió esta tesis. Su respaldo hizo posible terminarla.</w:t>
      </w:r>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pPr>
        <w:spacing w:before="0" w:after="0" w:line="360" w:lineRule="auto"/>
        <w:ind w:firstLine="0"/>
        <w:jc w:val="both"/>
      </w:pPr>
      <w:r>
        <w:rPr>
          <w:rFonts w:ascii="Arial" w:eastAsia="Arial" w:hAnsi="Arial" w:cs="Arial"/>
          <w:color w:val="000000"/>
          <w:sz w:val="24"/>
          <w:szCs w:val="24"/>
        </w:rPr>
        <w:t xml:space="preserve">This thesis argues that Article 16 of Mexico's General Law of the System of Means of Impugnation in Electoral Matters (LGSMIME) lacks an objective standard of proof. The provision requires judges to weigh evidence according to logic, sound criticism, and experience. Yet it makes sufficiency depend on the judge's conviction, a psychologistic criterion detached from any objective threshold. This hybrid clause has remained largely unchanged in Mexican electoral case law for twenty-five years and undermines the rationality of fact-finding in electoral litigation. The thesis examines the extent to which this absence compromises rational adjudication of the facts. It also proposes a legislative design able to correct the deficiency without sacrificing the circumstantial nature of the evidence available in this field.</w:t>
      </w:r>
    </w:p>
    <w:p>
      <w:pPr>
        <w:spacing w:before="0" w:after="0" w:line="360" w:lineRule="auto"/>
        <w:ind w:firstLine="709"/>
        <w:jc w:val="both"/>
      </w:pPr>
      <w:r>
        <w:rPr>
          <w:rFonts w:ascii="Arial" w:eastAsia="Arial" w:hAnsi="Arial" w:cs="Arial"/>
          <w:color w:val="000000"/>
          <w:sz w:val="24"/>
          <w:szCs w:val="24"/>
        </w:rPr>
        <w:t xml:space="preserve">The study follows a qualitative, documentary and dogmatic methodology of descriptive and explanatory scope. It is complemented by a comparative approach to Spanish, Italian, and Anglo-American procedural doctrine and by a case analysis of ruling SUP-JIN-194/2025. The analysis traced the hybrid clause to its earliest documented judicial application in SUP-JRC-487/2000. The formula persisted virtually unchanged for a quarter of a century, and judicial awareness of the underlying problem emerged only recently in a single dissenting opinion. The study also identified a category mistake between sound criticism and standard of proof in the doctrine on the determinative effect of electoral irregularities. On this basis, the thesis confirms its hypothesis. It formulates a qualitative standard of proof, grounded in best explanation and evidentiary completeness, that is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20" w:line="240"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20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20" w:line="240"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20" w:line="240"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pPr>
        <w:spacing w:before="0" w:after="0" w:line="360" w:lineRule="auto"/>
        <w:ind w:firstLine="0"/>
        <w:jc w:val="both"/>
      </w:pPr>
      <w:r>
        <w:rPr>
          <w:rFonts w:ascii="Arial" w:eastAsia="Arial" w:hAnsi="Arial" w:cs="Arial"/>
          <w:color w:val="000000"/>
          <w:sz w:val="24"/>
          <w:szCs w:val="24"/>
        </w:rPr>
        <w:t xml:space="preserve">Esta investigación estudia la fórmula de valoración probatoria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y la carencia que esa fórmula encubre. La valoración racional de la prueba es una de las preocupaciones centrales de la epistemología jurídica contemporánea. Esta disciplina distingue la operación de sopesar el apoyo empírico de una hipótesis fáctica y la operación normativa de fijar el umbral a partir del cual esa hipótesis debe darse por probada. La tradición analítica hispanoamericana e italiana desarrolló principalmente esta distinción. Su relevancia crece en las materias donde la prueba disponible es predominantemente indiciaria, como el contencioso electoral mexicano. En esta materia, la acreditación de irregularidades determinantes para el resultado de una elección depende, en la mayoría de los casos, de la integración razonada de indicios y no de prueba directa. El artículo 16 fija el criterio de valoración mediante una fórmula que combina un vocabulario racionalista, compuesto por la lógica, la sana crítica y la experiencia, con un vocabulario psicologista, que es la convicción del juzgador.</w:t>
      </w:r>
    </w:p>
    <w:p>
      <w:pPr>
        <w:spacing w:before="0" w:after="0" w:line="360" w:lineRule="auto"/>
        <w:ind w:firstLine="709"/>
        <w:jc w:val="both"/>
      </w:pPr>
      <w:r>
        <w:rPr>
          <w:rFonts w:ascii="Arial" w:eastAsia="Arial" w:hAnsi="Arial" w:cs="Arial"/>
          <w:color w:val="000000"/>
          <w:sz w:val="24"/>
          <w:szCs w:val="24"/>
        </w:rPr>
        <w:t xml:space="preserve">El artículo 16 de la LGSMIME no fija un estándar de prueba objetivo. En su lugar, apela a la convicción del juzgador, una condición mental que no admite control intersubjetivo. Esta sustitución constituye el problema que motiva la investigación. La sustitución compromete la racionalidad del juicio sobre los hechos en el contencioso electoral mexicano, porque remite la suficiencia probatoria a un estado subjetivo del juzgador y no a un criterio objetivo y verificable. De esta constatación deriva la pregunta general del trabajo. La pregunta indaga en qué medida la ausencia de estándares de prueba objetivos en el artículo 16 y su sustitución por la cláusula psicologista de la convicción comprometen esa racionalidad. La misma pregunta indaga qué diseño legislativo permitiría corregir la carencia sin sacrificar la naturaleza indiciaria de la prueba disponible en esta materia. La pregunta general se desagrega en preguntas específicas sobre el error de categoría entre sana crítica y estándar de prueba, sobre el origen y la persistencia histórica de la cláusula híbrida y sobre el fundamento metodológico de un estándar propio para la materia electoral.</w:t>
      </w:r>
    </w:p>
    <w:p>
      <w:pPr>
        <w:spacing w:before="0" w:after="0" w:line="360" w:lineRule="auto"/>
        <w:ind w:firstLine="709"/>
        <w:jc w:val="both"/>
      </w:pPr>
      <w:r>
        <w:rPr>
          <w:rFonts w:ascii="Arial" w:eastAsia="Arial" w:hAnsi="Arial" w:cs="Arial"/>
          <w:color w:val="000000"/>
          <w:sz w:val="24"/>
          <w:szCs w:val="24"/>
        </w:rPr>
        <w:t xml:space="preserve">La investigación se justifica en tres planos. En el plano teórico, tiende un puente entre la teoría analítica del estándar de prueba y la doctrina mexicana sobre la determinancia electoral. Ambas literaturas se han desarrollado hasta ahora sin comunicarse entre sí. En el plano práctico, un estándar de prueba explícito daría a los partidos políticos y a las personas candidatas previsibilidad sobre la carga probatoria que deben satisfacer. Con ese estándar, las salas del Tribunal Electoral contarían con un criterio intersubjetivamente controlable para justificar sus decisiones sobre los hechos. En el plano social, la certeza sobre cuándo debe tenerse por probada una irregularidad determinante es una condición de legitimidad democrática de las sentencias que anulan o confirman los resultados de una elección. Esa certeza contribuye a desterrar sospechas de arbitrariedad en su resolución.</w:t>
      </w:r>
    </w:p>
    <w:p>
      <w:pPr>
        <w:spacing w:before="0" w:after="0" w:line="360" w:lineRule="auto"/>
        <w:ind w:firstLine="709"/>
        <w:jc w:val="both"/>
      </w:pPr>
      <w:r>
        <w:rPr>
          <w:rFonts w:ascii="Arial" w:eastAsia="Arial" w:hAnsi="Arial" w:cs="Arial"/>
          <w:color w:val="000000"/>
          <w:sz w:val="24"/>
          <w:szCs w:val="24"/>
        </w:rPr>
        <w:t xml:space="preserve">La hipótesis de la investigación tiene dos partes, que se ponen a prueba a lo largo de los capítulos. La primera afirma que la ausencia de un estándar de prueba objetivo en el artículo 16 de la LGSMIME, y su sustitución por la cláusula psicologista de la convicción, compromete la racionalidad del juicio sobre los hechos en el contencioso electoral mexicano. La segunda afirma que un diseño legislativo puede corregir esa carencia sin sacrificar la naturaleza indiciaria de la prueba disponible. Ese diseño debe fundarse en la relatividad del estándar de prueba según los bienes en juego y los costes específicos del error propios de la materia electoral.</w:t>
      </w:r>
    </w:p>
    <w:p>
      <w:pPr>
        <w:spacing w:before="0" w:after="0" w:line="360" w:lineRule="auto"/>
        <w:ind w:firstLine="709"/>
        <w:jc w:val="both"/>
      </w:pPr>
      <w:r>
        <w:rPr>
          <w:rFonts w:ascii="Arial" w:eastAsia="Arial" w:hAnsi="Arial" w:cs="Arial"/>
          <w:color w:val="000000"/>
          <w:sz w:val="24"/>
          <w:szCs w:val="24"/>
        </w:rPr>
        <w:t xml:space="preserve">El objetivo general consiste en diseñar y fundamentar una propuesta de estándar de prueba objetivo para el contencioso electoral mexicano. La propuesta parte del diagnóstico de la cláusula psicologista del artículo 16 de la LGSMIME y debe ser compatible con la naturaleza indiciaria de la prueba disponible en esta materia. Este objetivo se despliega en cinco objetivos específicos. El primero es sistematizar el marco teórico de la prueba indiciaria y del estándar de prueba. El segundo es identificar el error de categoría que sirve de puente conceptual entre esa teoría y la doctrina mexicana de la determinancia electoral. El tercero es demostrar la persistencia de la cláusula híbrida a lo largo de veinticinco años de jurisprudencia electoral. El cuarto es exponer el fundamento metodológico que permite justificar la relatividad del estándar de prueba según los bienes en juego. El quinto es formular una propuesta de diseño legislativo compatible con la prueba indiciaria.</w:t>
      </w:r>
    </w:p>
    <w:p>
      <w:pPr>
        <w:spacing w:before="0" w:after="0" w:line="360" w:lineRule="auto"/>
        <w:ind w:firstLine="709"/>
        <w:jc w:val="both"/>
      </w:pPr>
      <w:r>
        <w:rPr>
          <w:rFonts w:ascii="Arial" w:eastAsia="Arial" w:hAnsi="Arial" w:cs="Arial"/>
          <w:color w:val="000000"/>
          <w:sz w:val="24"/>
          <w:szCs w:val="24"/>
        </w:rPr>
        <w:t xml:space="preserve">El marco teórico de la investigación es la epistemología jurídica racionalista de la prueba. Esta corriente distingue dos operaciones. La valoración de la prueba es una operación epistémica. El estándar de prueba es una operación normativa que fija el umbral de suficiencia. El marco se apoya principalmente en la obra de Jordi Ferrer Beltrán sobre los requisitos metodológicos de un estándar de prueba válido y sobre la relatividad de ese estándar según los bienes en juego. El marco recoge la tradición racionalista de la prueba representada, entre otros, por Michele Taruffo. La investigación contrasta ese marco con la doctrina mexicana sobre la determinancia electoral, que hasta ahora ha abordado su propio problema de suficiencia probatoria sin el aparato conceptual que esa epistemología exige. La investigación no asume que la literatura existente agote este diálogo. Por ello, advierte en el desarrollo de sus capítulos cuándo un planteamiento corresponde a una fuente verificada y cuándo constituye una propuesta original.</w:t>
      </w:r>
    </w:p>
    <w:p>
      <w:pPr>
        <w:spacing w:before="0" w:after="0" w:line="360" w:lineRule="auto"/>
        <w:ind w:firstLine="709"/>
        <w:jc w:val="both"/>
      </w:pPr>
      <w:r>
        <w:rPr>
          <w:rFonts w:ascii="Arial" w:eastAsia="Arial" w:hAnsi="Arial" w:cs="Arial"/>
          <w:color w:val="000000"/>
          <w:sz w:val="24"/>
          <w:szCs w:val="24"/>
        </w:rPr>
        <w:t xml:space="preserve">La estrategia metodológica es de tipo cualitativo, documental y dogmático, con alcance descriptivo y explicativo y diseño no experimental. La investigación emplea el método comparado frente a la doctrina procesal española, italiana y angloamericana. Con él contrasta el tratamiento de la sana crítica, la íntima convicción y los estándares de prueba en esas tradiciones con el tratamiento vigente en el derecho electoral mexicano. El método se complementa con el análisis de caso de la sentencia SUP-JIN-194/2025 y con su comparación frente a la sentencia SUP-JRC-487/2000. Esta última se seleccionó porque constituye el primer registro documentado de la aplicación judicial de la cláusula híbrida. El análisis documental y jurisprudencial permitió recopilar y sistematizar las sentencias y la jurisprudencia electoral relevantes para la investigación. El análisis conceptual permitió descomponer las categorías de sana crítica, convicción, adminiculación y determinancia para evidenciar la falta de correspondencia entre ellas.</w:t>
      </w:r>
    </w:p>
    <w:p>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y el método de adminiculación probatoria. Ese capítulo expone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El mismo capítulo reconstruye el origen normativo de la 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w:t>
      </w:r>
    </w:p>
    <w:p>
      <w:pPr>
        <w:spacing w:before="0" w:after="0" w:line="360" w:lineRule="auto"/>
        <w:ind w:firstLine="709"/>
        <w:jc w:val="both"/>
      </w:pPr>
      <w:r>
        <w:rPr>
          <w:rFonts w:ascii="Arial" w:eastAsia="Arial" w:hAnsi="Arial" w:cs="Arial"/>
          <w:color w:val="000000"/>
          <w:sz w:val="24"/>
          <w:szCs w:val="24"/>
        </w:rPr>
        <w:t xml:space="preserve">El Capítulo IV expone el fundamento metodológico que permite sostener un estándar de prueba propio para la materia electoral. Ese fundamento parte de la función distributiva del riesgo del error y de los bienes en juego específicos de esta materia. El Capítulo V traduce el fundamento en una propuesta concreta de diseño legislativo para el artículo 16 de la LGSMIME. Ese capítulo examina la compatibilidad de la propuesta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 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importancia. Adquiere relevancia en el momento en que el juez advierte su conexión con otro hecho.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 Su artículo 148 permitía calificar el dicho de los testigos conforme a esas reglas. La fórmula pasó después al artículo 317 de la Ley de Enjuiciamiento Civil de 1855. Según Benfeld, su propósito fue 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 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 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 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 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si se confirmaron sus hipótesis derivadas y si se eliminaron las hipótesis alternativas. El último criterio atiende 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González Lagier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gravedad, la precisión y la concordancia de los indicios. La convergencia solo tiene sentido si los indicios son varios.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 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 Designaba varios testimonios que versaban sobre hechos distintos, pero que se sucedían y se completaban entre sí. El juez debía hacerse cargo de todos y de su íntimo enlace. El 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 La Sala definió la prueba indiciaria como la dirigida a demostrar hechos que, sin ser constitutivos del delito, permiten inferirlo. Exigió una conexión racional entre los hechos probados y los que se pretende acreditar. La Sala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El colegiado citó, en el mismo sentido, la sentencia 229/1988 del Tribunal Constitucional español,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El colegiado mencionó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 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 Esa dejación convierte la valoración conjunta en el baluarte de la valoración más subjetiva e incontrolable. El autor describe dos imágenes opuestas. La correcta es la de 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 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 Ese riesgo aparece si los criterios se aplican como requisitos mecánicos y no como pautas graduales. La historia confirma la advertencia. La ley 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y critica la convicción del juzgador como criterio de suficiencia. El apartado cierra con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 De esa concepción derivaban dos consecuencias. La valoración correspondía exclusivamente al juez de instancia. El juez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 Autores como Locke y Wilkins distinguían la certeza moral 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 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 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 El estándar de prueba presupone una decisión de política pública sobre el beneficio de la duda que se concede a cada parte. Con ello decide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 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 Las teorías deontológicas pueden afirmar que una condena falsa es peor que una absolución falsa. Sin embargo, no pueden determinar cuánto peor es. Laudan ilustra el problema con la llamada ratio de Blackstone. 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 y controlar la decisión mediante los recursos.</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 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Esos estándares resultarían, según el autor,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Nieva Fenoll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 Si no es posible alcanzar certezas racionales, es imprescindible determinar qué grado de probabilidad basta. Esa labor no puede realizarla la valoración, que solo mide el grado de corroboración.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misma distinción debe trazarse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 El que niega está obligado a probar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 Bajo la carga objetiva se describiría, en realidad, el nivel de convicción del juez. Por ello, el concepto resultaría redundante. Esta posición confirma, desde un ángulo distinto, que la 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 Primero se valora la prueba y se determina el 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 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 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 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 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doctrina nacional reciente refleja esa misma ambivalencia.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 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 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 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 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 Un estándar debe apelar a criterios relativos a la capacidad justificativa del acervo probatorio respecto de las hipótesis, fijar un umbral a partir del cual una hipótesis se considera probada y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 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y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 Según esa línea, la duda que activa el principio in dubio pro reo no debe entenderse como la falta de convicción del juzgador. Debe entenderse, más bien, como una propiedad del acervo probatorio que puede 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 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 Ferrer Beltrán advierte que el estándar debe adecuarse 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 Haack sostiene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independientes. Ambas posiciones coinciden, con todo, en rechazar la regla multiplicativa como modelo de la prueba judicial. Ambas coinciden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El legislador debe considerar la relativa gravedad de los errores de cada decisión, pues no cuesta lo mismo una condena errónea que una prisión preventiva, una suspensión de derechos o un embargo preventivo. El autor advierte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 Ninguna de esas decisiones cuenta con un estándar explícito, de modo que no puede verificarse si guardan entre sí la progresión exigida. La ausencia de estándares intermedios impide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 De ahí se sigue que los estándares deben expresarse en reglas generales y no pueden depender de decisiones individuales, por exigencias de igualdad y de irretroactividad. El autor advierte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 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 El mismo autor informa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El juez debe verificar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 Haack reconoce que ninguno de los estándares vigentes está definido con precisión, y sugiere que una definición precisa podría no ser deseable. Esta posición 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 Según ese criterio, puede atenderse, junto a los criterios aritméticos,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La Sala distinguió cuatro situaciones. Hay irregularidades generalizadas que no son cualitativamente determinantes, violaciones graves pero aisladas que carecen del elemento cuantitativo, violaciones graves y extendidas que se traducen en una cantidad calculable de votos e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 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 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 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 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Woldenberg destaca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 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 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 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 Ambos preceptos ordenan valorar las pruebas conforme a las reglas de la lógica, la sana crítica y la experiencia. El artículo 321, fracción II, del código local reproducía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 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La Sala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 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 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 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 Ese voto constituye un disenso temprano y documentado 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 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Los disidentes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 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Entre el voto y la tesis existe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 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 La minoría invocó la misma experiencia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Los actores pidieron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 El proyecto fue rechazado por los magistrados Felipe de la Mata Pizaña y 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 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al lenguaje del artículo 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 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 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La mayoría exigió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La sentencia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un criterio propio de la probabilidad inductiva. Las carencias se localizan en los requisitos segundo y cuarto. La sentencia no identifica 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 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 El acervo incluyó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 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 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 El legislador conservó, sin embargo, la exigencia de plena acreditación sin precisar qué grado de corroboración la satisface cuando la 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El voto denuncia formalmente la ausencia de un estándar de prueba y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 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acordeones evidencian una operación estructural con probable participación de partidos políticos y personas servidoras públicas, aunque sin pruebas plenas de su responsabilidad directa. La magistrada sostiene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 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 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El mismo cuerpo del voto exige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 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El proyecto adopta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La formulación satisface el segundo requisito,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 Lo justifica por la gravedad de atribuir responsabilidad a actores institucionales y por las 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 El proyecto requiere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 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 El proyecto sostiene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A ese acervo se sumaban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 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reconocimientos de la existencia del fenómeno. El voto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 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El proyecto recuerda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 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El proyecto afirma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 Su disenso combinó un argumento de legalidad, centrado en la jornada electoral, con una crítica detallada de las inferencias de la mayoría. Exigieron datos empíricos concretos y propusieron hipótesis alternativas, pero expresaron la suficiencia 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El sentido del reproche se invierte,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 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El voto muestra que el artículo 16 de la ley de medios admitió, en el mismo asunto, al 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 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 Zeferín Hernández sitúa el origen de ese sistema en el derecho canónico y observa que automatiza al juzgador al valor limitado y específico establecido en la ley. El sistema de íntima convicción, asociado al 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 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El mismo autor recoge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Montoya Zamora refiere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 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 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 Conforme a esa 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 Entre esas circunstancias figuran la pluralidad de notas, su procedencia de distintos medios y autores, su coincidencia sustancial y la falta de desmentido del afectado. Cuando concurren, los elementos faltantes para alcanzar la 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 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 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 Esa lectura encuentra apoyo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 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y decidir si el estándar debe fijarse en la ley, como sugiere el diagnóstico de este capítulo. El capítulo quinto retomará esa cuestión al 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 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 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 Solo si las partes conocen 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 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sino que esa sea su única o principal razón de ser. Un estándar diseñado solo para obtener cierta proporción global de errores podría aceptar cualquier fórmula que produzca esa proporción, aunque no permita controlar la decisión de cada caso. Ferrer Beltrán observa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 Ninguna elección del umbral es neutral respecto de esa proporción. Ferrer Beltrán advierte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 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 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 A esa dificultad se suman los plazos breves y la limitación de las periciales ya señalados. El acervo electoral tiende, por tanto, a tener un peso probatorio reducido. En esas 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 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 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 En el caso Stavropoulos 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 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 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 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 Esa determinación requiere identificar primero los bienes constitucionales en juego en la nulidad de elecciones y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 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 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El mismo error afecta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En el proceso civil, a diferencia de la materia electoral, los costes recaen 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 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 La Constitución exige que las violaciones graves, dolosas y determinantes se 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 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 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 Su fundamento no es una característica particular de la materia electoral, sino la naturaleza del razonamiento probatorio en general. Ferrer 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 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 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El estándar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y la regla de peso de las documentales públicas del párrafo 2. El criterio de convicción del párrafo 3, en cambio, se sustituye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La Sala precisó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 La segunda operación es verificar que la hipótesis de la irregularidad explique todos los elementos de juicio relevantes, incluidos los que 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 La misma estructura puede graduarse para otras decisiones, por ejemplo limitando la comparación a la hipótesis sostenida por la parte contraria, como ocurre en el quinto estándar de Ferrer Beltrán. La formulación satisface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 La graduación concreta entre decisiones corresponde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 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 El estándar se aplicaría a la acreditación de la irregularidad y, fuera de ese 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 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El autor precisa que las lagunas imputables a la parte que se beneficiaría de ellas no deben impedir tener por satisfecho el estándar. El órgano electoral dispone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