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545337F5" w14:textId="77777777" w:rsidR="00E22D4B" w:rsidRPr="00E22D4B" w:rsidRDefault="00E22D4B" w:rsidP="00E22D4B">
      <w:pPr>
        <w:spacing w:line="360" w:lineRule="auto"/>
        <w:rPr>
          <w:rFonts w:ascii="Arial" w:eastAsia="Arial" w:hAnsi="Arial" w:cs="Arial"/>
          <w:sz w:val="24"/>
          <w:szCs w:val="24"/>
        </w:rPr>
      </w:pPr>
      <w:bookmarkStart w:id="8" w:name="_Toc240931705"/>
    </w:p>
    <w:p w14:paraId="17969270" w14:textId="77777777" w:rsidR="00E22D4B" w:rsidRPr="00E22D4B" w:rsidRDefault="00E22D4B" w:rsidP="00E22D4B">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1.3. Los requisitos metodológicos de un estándar de prueba válido</w:t>
      </w:r>
    </w:p>
    <w:p w14:paraId="067CA3C4" w14:textId="77777777" w:rsidR="00E22D4B" w:rsidRPr="00E22D4B" w:rsidRDefault="00E22D4B" w:rsidP="00E22D4B">
      <w:pPr>
        <w:spacing w:line="360" w:lineRule="auto"/>
        <w:rPr>
          <w:rFonts w:ascii="Arial" w:eastAsia="Arial" w:hAnsi="Arial" w:cs="Arial"/>
          <w:sz w:val="24"/>
          <w:szCs w:val="24"/>
        </w:rPr>
      </w:pPr>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w:t>
      </w:r>
    </w:p>
    <w:p w14:paraId="6EA248A9" w14:textId="77777777" w:rsidR="00E22D4B" w:rsidRPr="00E22D4B" w:rsidRDefault="00E22D4B" w:rsidP="00E22D4B">
      <w:pPr>
        <w:spacing w:line="360" w:lineRule="auto"/>
        <w:rPr>
          <w:rFonts w:ascii="Arial" w:eastAsia="Arial" w:hAnsi="Arial" w:cs="Arial"/>
          <w:sz w:val="24"/>
          <w:szCs w:val="24"/>
        </w:rPr>
      </w:pPr>
    </w:p>
    <w:p w14:paraId="62CA6A83"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 La noción de requisito metodológico y su alcance</w:t>
      </w:r>
    </w:p>
    <w:p w14:paraId="0A650BD2" w14:textId="77777777" w:rsidR="00E22D4B" w:rsidRPr="00E22D4B" w:rsidRDefault="00E22D4B" w:rsidP="00E22D4B">
      <w:pPr>
        <w:spacing w:line="360" w:lineRule="auto"/>
        <w:rPr>
          <w:rFonts w:ascii="Arial" w:eastAsia="Arial" w:hAnsi="Arial" w:cs="Arial"/>
          <w:sz w:val="24"/>
          <w:szCs w:val="24"/>
        </w:rPr>
      </w:pP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C46B7D" w14:textId="77777777" w:rsidR="00E22D4B" w:rsidRPr="00E22D4B" w:rsidRDefault="00E22D4B" w:rsidP="00E22D4B">
      <w:pPr>
        <w:spacing w:line="360" w:lineRule="auto"/>
        <w:rPr>
          <w:rFonts w:ascii="Arial" w:eastAsia="Arial" w:hAnsi="Arial" w:cs="Arial"/>
          <w:sz w:val="24"/>
          <w:szCs w:val="24"/>
        </w:rPr>
      </w:pPr>
    </w:p>
    <w:p w14:paraId="405C60B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1.3.2. Primer requisito. Criterios relativos a la capacidad justificativa del acervo probatorio</w:t>
      </w:r>
    </w:p>
    <w:p w14:paraId="32F64EAD"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4B905DAC" w14:textId="77777777" w:rsidR="00E22D4B" w:rsidRPr="00E22D4B" w:rsidRDefault="00E22D4B" w:rsidP="00E22D4B">
      <w:pPr>
        <w:spacing w:line="360" w:lineRule="auto"/>
        <w:rPr>
          <w:rFonts w:ascii="Arial" w:eastAsia="Arial" w:hAnsi="Arial" w:cs="Arial"/>
          <w:sz w:val="24"/>
          <w:szCs w:val="24"/>
        </w:rPr>
      </w:pPr>
    </w:p>
    <w:p w14:paraId="7C667A2E"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1.3.3. Segundo requisito. La determinación de un umbral de suficiencia con vaguedad minimizada</w:t>
      </w:r>
    </w:p>
    <w:p w14:paraId="026A29BB" w14:textId="77777777" w:rsidR="00E22D4B" w:rsidRPr="00E22D4B" w:rsidRDefault="00E22D4B" w:rsidP="00E22D4B">
      <w:pPr>
        <w:spacing w:line="360" w:lineRule="auto"/>
        <w:rPr>
          <w:rFonts w:ascii="Arial" w:eastAsia="Arial" w:hAnsi="Arial" w:cs="Arial"/>
          <w:sz w:val="24"/>
          <w:szCs w:val="24"/>
        </w:rPr>
      </w:pP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5D477E8" w14:textId="77777777" w:rsidR="00E22D4B" w:rsidRPr="00E22D4B" w:rsidRDefault="00E22D4B" w:rsidP="00E22D4B">
      <w:pPr>
        <w:spacing w:line="360" w:lineRule="auto"/>
        <w:rPr>
          <w:rFonts w:ascii="Arial" w:eastAsia="Arial" w:hAnsi="Arial" w:cs="Arial"/>
          <w:sz w:val="24"/>
          <w:szCs w:val="24"/>
        </w:rPr>
      </w:pPr>
    </w:p>
    <w:p w14:paraId="5308DB1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1.3.4. Tercer requisito. Criterios propios de la probabilidad inductiva</w:t>
      </w:r>
    </w:p>
    <w:p w14:paraId="15C90893" w14:textId="77777777" w:rsidR="00E22D4B" w:rsidRPr="00E22D4B" w:rsidRDefault="00E22D4B" w:rsidP="00E22D4B">
      <w:pPr>
        <w:spacing w:line="360" w:lineRule="auto"/>
        <w:rPr>
          <w:rFonts w:ascii="Arial" w:eastAsia="Arial" w:hAnsi="Arial" w:cs="Arial"/>
          <w:sz w:val="24"/>
          <w:szCs w:val="24"/>
        </w:rPr>
      </w:pP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2AC2CD17" w14:textId="77777777" w:rsidR="00E22D4B" w:rsidRPr="00E22D4B" w:rsidRDefault="00E22D4B" w:rsidP="00E22D4B">
      <w:pPr>
        <w:spacing w:line="360" w:lineRule="auto"/>
        <w:rPr>
          <w:rFonts w:ascii="Arial" w:eastAsia="Arial" w:hAnsi="Arial" w:cs="Arial"/>
          <w:sz w:val="24"/>
          <w:szCs w:val="24"/>
        </w:rPr>
      </w:pPr>
    </w:p>
    <w:p w14:paraId="0E42BD4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1.3.5. Cuarto requisito. La progresión de los estándares dentro de un mismo proceso</w:t>
      </w:r>
    </w:p>
    <w:p w14:paraId="31632E8C"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52D53D67" w14:textId="77777777" w:rsidR="00E22D4B" w:rsidRPr="00E22D4B" w:rsidRDefault="00E22D4B" w:rsidP="00E22D4B">
      <w:pPr>
        <w:spacing w:line="360" w:lineRule="auto"/>
        <w:rPr>
          <w:rFonts w:ascii="Arial" w:eastAsia="Arial" w:hAnsi="Arial" w:cs="Arial"/>
          <w:sz w:val="24"/>
          <w:szCs w:val="24"/>
        </w:rPr>
      </w:pPr>
    </w:p>
    <w:p w14:paraId="59A18836"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1.3.6. La distribución del riesgo del error y el peligro de absorber las demás funciones</w:t>
      </w:r>
    </w:p>
    <w:p w14:paraId="24F359C2" w14:textId="77777777" w:rsidR="00E22D4B" w:rsidRPr="00E22D4B" w:rsidRDefault="00E22D4B" w:rsidP="00E22D4B">
      <w:pPr>
        <w:spacing w:line="360" w:lineRule="auto"/>
        <w:rPr>
          <w:rFonts w:ascii="Arial" w:eastAsia="Arial" w:hAnsi="Arial" w:cs="Arial"/>
          <w:sz w:val="24"/>
          <w:szCs w:val="24"/>
        </w:rPr>
      </w:pP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7171A3B2" w14:textId="77777777" w:rsidR="00E22D4B" w:rsidRPr="00E22D4B" w:rsidRDefault="00E22D4B" w:rsidP="00E22D4B">
      <w:pPr>
        <w:spacing w:line="360" w:lineRule="auto"/>
        <w:rPr>
          <w:rFonts w:ascii="Arial" w:eastAsia="Arial" w:hAnsi="Arial" w:cs="Arial"/>
          <w:sz w:val="24"/>
          <w:szCs w:val="24"/>
        </w:rPr>
      </w:pPr>
    </w:p>
    <w:p w14:paraId="2FA1C7B2"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1.3.7. Las razones para fijar el umbral. Relatividad según los bienes y los costos del error</w:t>
      </w:r>
    </w:p>
    <w:p w14:paraId="6C76BE05" w14:textId="77777777" w:rsidR="00E22D4B" w:rsidRPr="00E22D4B" w:rsidRDefault="00E22D4B" w:rsidP="00E22D4B">
      <w:pPr>
        <w:spacing w:line="360" w:lineRule="auto"/>
        <w:rPr>
          <w:rFonts w:ascii="Arial" w:eastAsia="Arial" w:hAnsi="Arial" w:cs="Arial"/>
          <w:sz w:val="24"/>
          <w:szCs w:val="24"/>
        </w:rPr>
      </w:pP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fijación del umbral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029B6185" w14:textId="77777777" w:rsidR="00E22D4B" w:rsidRPr="00E22D4B" w:rsidRDefault="00E22D4B" w:rsidP="00E22D4B">
      <w:pPr>
        <w:spacing w:line="360" w:lineRule="auto"/>
        <w:rPr>
          <w:rFonts w:ascii="Arial" w:eastAsia="Arial" w:hAnsi="Arial" w:cs="Arial"/>
          <w:sz w:val="24"/>
          <w:szCs w:val="24"/>
        </w:rPr>
      </w:pPr>
    </w:p>
    <w:p w14:paraId="1DF8ED08"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1.3.8. Ejemplos de estándares que satisfacen los requisitos metodológicos</w:t>
      </w:r>
    </w:p>
    <w:p w14:paraId="71AA0AD8" w14:textId="77777777" w:rsidR="00E22D4B" w:rsidRPr="00E22D4B" w:rsidRDefault="00E22D4B" w:rsidP="00E22D4B">
      <w:pPr>
        <w:spacing w:line="360" w:lineRule="auto"/>
        <w:rPr>
          <w:rFonts w:ascii="Arial" w:eastAsia="Arial" w:hAnsi="Arial" w:cs="Arial"/>
          <w:sz w:val="24"/>
          <w:szCs w:val="24"/>
        </w:rPr>
      </w:pP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3941C16" w14:textId="77777777" w:rsidR="00E22D4B" w:rsidRPr="00E22D4B" w:rsidRDefault="00E22D4B" w:rsidP="00E22D4B">
      <w:pPr>
        <w:spacing w:line="360" w:lineRule="auto"/>
        <w:rPr>
          <w:rFonts w:ascii="Arial" w:eastAsia="Arial" w:hAnsi="Arial" w:cs="Arial"/>
          <w:sz w:val="24"/>
          <w:szCs w:val="24"/>
        </w:rPr>
      </w:pPr>
    </w:p>
    <w:p w14:paraId="44065ABF"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1.3.9. Objeciones a la teoría de los requisitos metodológicos</w:t>
      </w:r>
    </w:p>
    <w:p w14:paraId="42D43AA9" w14:textId="77777777" w:rsidR="00E22D4B" w:rsidRPr="00E22D4B" w:rsidRDefault="00E22D4B" w:rsidP="00E22D4B">
      <w:pPr>
        <w:spacing w:line="360" w:lineRule="auto"/>
        <w:rPr>
          <w:rFonts w:ascii="Arial" w:eastAsia="Arial" w:hAnsi="Arial" w:cs="Arial"/>
          <w:sz w:val="24"/>
          <w:szCs w:val="24"/>
        </w:rPr>
      </w:pP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sido objeto de críticas que conviene examinar, porque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693C686D" w14:textId="77777777" w:rsidR="00E22D4B" w:rsidRPr="00E22D4B" w:rsidRDefault="00E22D4B" w:rsidP="00E22D4B">
      <w:pPr>
        <w:spacing w:line="360" w:lineRule="auto"/>
        <w:rPr>
          <w:rFonts w:ascii="Arial" w:eastAsia="Arial" w:hAnsi="Arial" w:cs="Arial"/>
          <w:sz w:val="24"/>
          <w:szCs w:val="24"/>
        </w:rPr>
      </w:pPr>
    </w:p>
    <w:p w14:paraId="4D7F00BA"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1.3.10. Aplicación de los requisitos a la prueba indiciaria en materia electoral</w:t>
      </w:r>
    </w:p>
    <w:p w14:paraId="1C4BC553" w14:textId="77777777" w:rsidR="00E22D4B" w:rsidRPr="00E22D4B" w:rsidRDefault="00E22D4B" w:rsidP="00E22D4B">
      <w:pPr>
        <w:spacing w:line="360" w:lineRule="auto"/>
        <w:rPr>
          <w:rFonts w:ascii="Arial" w:eastAsia="Arial" w:hAnsi="Arial" w:cs="Arial"/>
          <w:sz w:val="24"/>
          <w:szCs w:val="24"/>
        </w:rPr>
      </w:pP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65274E2A" w14:textId="77777777" w:rsidR="00E22D4B" w:rsidRPr="00E22D4B" w:rsidRDefault="00E22D4B" w:rsidP="00E22D4B">
      <w:pPr>
        <w:spacing w:line="360" w:lineRule="auto"/>
        <w:rPr>
          <w:rFonts w:ascii="Arial" w:eastAsia="Arial" w:hAnsi="Arial" w:cs="Arial"/>
          <w:sz w:val="24"/>
          <w:szCs w:val="24"/>
        </w:rPr>
      </w:pPr>
    </w:p>
    <w:p w14:paraId="2FEE9459"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1.3.11. Recapitulación y tránsito al capítulo segundo</w:t>
      </w:r>
    </w:p>
    <w:p w14:paraId="6EBDF42B"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w:t>
      </w:r>
    </w:p>
    <w:p w14:paraId="6B96F34C" w14:textId="77777777" w:rsidR="00BA1C97" w:rsidRPr="00BA1C97" w:rsidRDefault="00BA1C97" w:rsidP="00BA1C97">
      <w:pPr>
        <w:spacing w:line="360" w:lineRule="auto"/>
        <w:rPr>
          <w:rFonts w:ascii="Arial" w:eastAsia="Arial" w:hAnsi="Arial" w:cs="Arial"/>
          <w:sz w:val="24"/>
          <w:szCs w:val="24"/>
        </w:rPr>
      </w:pPr>
    </w:p>
    <w:p w14:paraId="190095D6"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2.1.1. La determinancia como institución. Fundamento normativo y principio de conservación</w:t>
      </w:r>
    </w:p>
    <w:p w14:paraId="4680E385" w14:textId="77777777" w:rsidR="00BA1C97" w:rsidRPr="00BA1C97" w:rsidRDefault="00BA1C97" w:rsidP="00BA1C97">
      <w:pPr>
        <w:spacing w:line="360" w:lineRule="auto"/>
        <w:rPr>
          <w:rFonts w:ascii="Arial" w:eastAsia="Arial" w:hAnsi="Arial" w:cs="Arial"/>
          <w:sz w:val="24"/>
          <w:szCs w:val="24"/>
        </w:rPr>
      </w:pP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53FA3365" w14:textId="77777777" w:rsidR="00BA1C97" w:rsidRPr="00BA1C97" w:rsidRDefault="00BA1C97" w:rsidP="00BA1C97">
      <w:pPr>
        <w:spacing w:line="360" w:lineRule="auto"/>
        <w:rPr>
          <w:rFonts w:ascii="Arial" w:eastAsia="Arial" w:hAnsi="Arial" w:cs="Arial"/>
          <w:sz w:val="24"/>
          <w:szCs w:val="24"/>
        </w:rPr>
      </w:pPr>
    </w:p>
    <w:p w14:paraId="40928122"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2.1.2. Genealogía de los factores. De la jurisprudencia de 1998 a la jurisprudencia 44/2024</w:t>
      </w:r>
    </w:p>
    <w:p w14:paraId="4F70CE37" w14:textId="77777777" w:rsidR="00BA1C97" w:rsidRPr="00BA1C97" w:rsidRDefault="00BA1C97" w:rsidP="00BA1C97">
      <w:pPr>
        <w:spacing w:line="360" w:lineRule="auto"/>
        <w:rPr>
          <w:rFonts w:ascii="Arial" w:eastAsia="Arial" w:hAnsi="Arial" w:cs="Arial"/>
          <w:sz w:val="24"/>
          <w:szCs w:val="24"/>
        </w:rPr>
      </w:pP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5F793D95" w14:textId="77777777" w:rsidR="00BA1C97" w:rsidRPr="00BA1C97" w:rsidRDefault="00BA1C97" w:rsidP="00BA1C97">
      <w:pPr>
        <w:spacing w:line="360" w:lineRule="auto"/>
        <w:rPr>
          <w:rFonts w:ascii="Arial" w:eastAsia="Arial" w:hAnsi="Arial" w:cs="Arial"/>
          <w:sz w:val="24"/>
          <w:szCs w:val="24"/>
        </w:rPr>
      </w:pPr>
    </w:p>
    <w:p w14:paraId="493C70D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2.1.3. El factor cuantitativo. Precisión aritmética y problema probatorio</w:t>
      </w:r>
    </w:p>
    <w:p w14:paraId="2EC0ED26" w14:textId="77777777" w:rsidR="00BA1C97" w:rsidRPr="00BA1C97" w:rsidRDefault="00BA1C97" w:rsidP="00BA1C97">
      <w:pPr>
        <w:spacing w:line="360" w:lineRule="auto"/>
        <w:rPr>
          <w:rFonts w:ascii="Arial" w:eastAsia="Arial" w:hAnsi="Arial" w:cs="Arial"/>
          <w:sz w:val="24"/>
          <w:szCs w:val="24"/>
        </w:rPr>
      </w:pP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2076C353" w14:textId="77777777" w:rsidR="00BA1C97" w:rsidRPr="00BA1C97" w:rsidRDefault="00BA1C97" w:rsidP="00BA1C97">
      <w:pPr>
        <w:spacing w:line="360" w:lineRule="auto"/>
        <w:rPr>
          <w:rFonts w:ascii="Arial" w:eastAsia="Arial" w:hAnsi="Arial" w:cs="Arial"/>
          <w:sz w:val="24"/>
          <w:szCs w:val="24"/>
        </w:rPr>
      </w:pPr>
    </w:p>
    <w:p w14:paraId="072FFBC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2.1.4. El factor cualitativo. Gravedad de la violación y suficiencia probatoria encubierta</w:t>
      </w:r>
    </w:p>
    <w:p w14:paraId="56D9E238" w14:textId="77777777" w:rsidR="00BA1C97" w:rsidRPr="00BA1C97" w:rsidRDefault="00BA1C97" w:rsidP="00BA1C97">
      <w:pPr>
        <w:spacing w:line="360" w:lineRule="auto"/>
        <w:rPr>
          <w:rFonts w:ascii="Arial" w:eastAsia="Arial" w:hAnsi="Arial" w:cs="Arial"/>
          <w:sz w:val="24"/>
          <w:szCs w:val="24"/>
        </w:rPr>
      </w:pP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39440386" w14:textId="77777777" w:rsidR="00BA1C97" w:rsidRPr="00BA1C97" w:rsidRDefault="00BA1C97" w:rsidP="00BA1C97">
      <w:pPr>
        <w:spacing w:line="360" w:lineRule="auto"/>
        <w:rPr>
          <w:rFonts w:ascii="Arial" w:eastAsia="Arial" w:hAnsi="Arial" w:cs="Arial"/>
          <w:sz w:val="24"/>
          <w:szCs w:val="24"/>
        </w:rPr>
      </w:pPr>
    </w:p>
    <w:p w14:paraId="0147FE5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2.1.5. El factor constitucional. La presunción del cinco por ciento y su alcance</w:t>
      </w:r>
    </w:p>
    <w:p w14:paraId="41F49D67" w14:textId="77777777" w:rsidR="00BA1C97" w:rsidRPr="00BA1C97" w:rsidRDefault="00BA1C97" w:rsidP="00BA1C97">
      <w:pPr>
        <w:spacing w:line="360" w:lineRule="auto"/>
        <w:rPr>
          <w:rFonts w:ascii="Arial" w:eastAsia="Arial" w:hAnsi="Arial" w:cs="Arial"/>
          <w:sz w:val="24"/>
          <w:szCs w:val="24"/>
        </w:rPr>
      </w:pP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3838EF63" w14:textId="77777777" w:rsidR="00BA1C97" w:rsidRPr="00BA1C97" w:rsidRDefault="00BA1C97" w:rsidP="00BA1C97">
      <w:pPr>
        <w:spacing w:line="360" w:lineRule="auto"/>
        <w:rPr>
          <w:rFonts w:ascii="Arial" w:eastAsia="Arial" w:hAnsi="Arial" w:cs="Arial"/>
          <w:sz w:val="24"/>
          <w:szCs w:val="24"/>
        </w:rPr>
      </w:pPr>
    </w:p>
    <w:p w14:paraId="7B44826D"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2.1.6. El error de categoría proyectado sobre los tres factores</w:t>
      </w:r>
    </w:p>
    <w:p w14:paraId="0E4C8B28" w14:textId="77777777" w:rsidR="00BA1C97" w:rsidRPr="00BA1C97" w:rsidRDefault="00BA1C97" w:rsidP="00BA1C97">
      <w:pPr>
        <w:spacing w:line="360" w:lineRule="auto"/>
        <w:rPr>
          <w:rFonts w:ascii="Arial" w:eastAsia="Arial" w:hAnsi="Arial" w:cs="Arial"/>
          <w:sz w:val="24"/>
          <w:szCs w:val="24"/>
        </w:rPr>
      </w:pP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937C2ED" w14:textId="77777777" w:rsidR="00BA1C97" w:rsidRPr="00BA1C97" w:rsidRDefault="00BA1C97" w:rsidP="00BA1C97">
      <w:pPr>
        <w:spacing w:line="360" w:lineRule="auto"/>
        <w:rPr>
          <w:rFonts w:ascii="Arial" w:eastAsia="Arial" w:hAnsi="Arial" w:cs="Arial"/>
          <w:sz w:val="24"/>
          <w:szCs w:val="24"/>
        </w:rPr>
      </w:pPr>
    </w:p>
    <w:p w14:paraId="1B3DE307"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2.1.7. Consecuencias prácticas. La variación del umbral en los casos</w:t>
      </w:r>
    </w:p>
    <w:p w14:paraId="303B50B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421A045D" w14:textId="77777777" w:rsidR="00BA1C97" w:rsidRPr="00BA1C97" w:rsidRDefault="00BA1C97" w:rsidP="00BA1C97">
      <w:pPr>
        <w:spacing w:line="360" w:lineRule="auto"/>
        <w:rPr>
          <w:rFonts w:ascii="Arial" w:eastAsia="Arial" w:hAnsi="Arial" w:cs="Arial"/>
          <w:sz w:val="24"/>
          <w:szCs w:val="24"/>
        </w:rPr>
      </w:pPr>
    </w:p>
    <w:p w14:paraId="7B2643C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2.1.8. El paralelismo con el artículo 16 de la ley de medios</w:t>
      </w:r>
    </w:p>
    <w:p w14:paraId="0602AA32" w14:textId="77777777" w:rsidR="00BA1C97" w:rsidRPr="00BA1C97" w:rsidRDefault="00BA1C97" w:rsidP="00BA1C97">
      <w:pPr>
        <w:spacing w:line="360" w:lineRule="auto"/>
        <w:rPr>
          <w:rFonts w:ascii="Arial" w:eastAsia="Arial" w:hAnsi="Arial" w:cs="Arial"/>
          <w:sz w:val="24"/>
          <w:szCs w:val="24"/>
        </w:rPr>
      </w:pP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4B556AB2" w14:textId="77777777" w:rsidR="00BA1C97" w:rsidRPr="00BA1C97" w:rsidRDefault="00BA1C97" w:rsidP="00BA1C97">
      <w:pPr>
        <w:spacing w:line="360" w:lineRule="auto"/>
        <w:rPr>
          <w:rFonts w:ascii="Arial" w:eastAsia="Arial" w:hAnsi="Arial" w:cs="Arial"/>
          <w:sz w:val="24"/>
          <w:szCs w:val="24"/>
        </w:rPr>
      </w:pPr>
    </w:p>
    <w:p w14:paraId="26EB01C3" w14:textId="42E2873C"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2.1.9. Recapitulación y tránsito al apartado</w:t>
      </w:r>
    </w:p>
    <w:p w14:paraId="20AF5A2D"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5BF8DC14" w14:textId="77777777" w:rsidR="000A1322" w:rsidRPr="000A1322" w:rsidRDefault="000A1322" w:rsidP="000A1322">
      <w:pPr>
        <w:spacing w:line="360" w:lineRule="auto"/>
        <w:rPr>
          <w:rFonts w:ascii="Arial" w:eastAsia="Arial" w:hAnsi="Arial" w:cs="Arial"/>
          <w:sz w:val="24"/>
          <w:szCs w:val="24"/>
        </w:rPr>
      </w:pPr>
    </w:p>
    <w:p w14:paraId="751FD3A3"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 La estructura de la cláusula híbrida</w:t>
      </w:r>
    </w:p>
    <w:p w14:paraId="61071564" w14:textId="77777777" w:rsidR="000A1322" w:rsidRPr="000A1322" w:rsidRDefault="000A1322" w:rsidP="000A1322">
      <w:pPr>
        <w:spacing w:line="360" w:lineRule="auto"/>
        <w:rPr>
          <w:rFonts w:ascii="Arial" w:eastAsia="Arial" w:hAnsi="Arial" w:cs="Arial"/>
          <w:sz w:val="24"/>
          <w:szCs w:val="24"/>
        </w:rPr>
      </w:pP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42FA59AC" w14:textId="77777777" w:rsidR="000A1322" w:rsidRPr="000A1322" w:rsidRDefault="000A1322" w:rsidP="000A1322">
      <w:pPr>
        <w:spacing w:line="360" w:lineRule="auto"/>
        <w:rPr>
          <w:rFonts w:ascii="Arial" w:eastAsia="Arial" w:hAnsi="Arial" w:cs="Arial"/>
          <w:sz w:val="24"/>
          <w:szCs w:val="24"/>
        </w:rPr>
      </w:pPr>
    </w:p>
    <w:p w14:paraId="194EF0AE"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2.2.2. El contexto normativo. La reforma de 1996</w:t>
      </w:r>
    </w:p>
    <w:p w14:paraId="04740AD9"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0F6AD3BC" w14:textId="77777777" w:rsidR="000A1322" w:rsidRPr="000A1322" w:rsidRDefault="000A1322" w:rsidP="000A1322">
      <w:pPr>
        <w:spacing w:line="360" w:lineRule="auto"/>
        <w:rPr>
          <w:rFonts w:ascii="Arial" w:eastAsia="Arial" w:hAnsi="Arial" w:cs="Arial"/>
          <w:sz w:val="24"/>
          <w:szCs w:val="24"/>
        </w:rPr>
      </w:pPr>
    </w:p>
    <w:p w14:paraId="10499264"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2.2.3. Genealogía de la fórmula de la sana crítica</w:t>
      </w:r>
    </w:p>
    <w:p w14:paraId="7181B78E" w14:textId="77777777" w:rsidR="000A1322" w:rsidRPr="000A1322" w:rsidRDefault="000A1322" w:rsidP="000A1322">
      <w:pPr>
        <w:spacing w:line="360" w:lineRule="auto"/>
        <w:rPr>
          <w:rFonts w:ascii="Arial" w:eastAsia="Arial" w:hAnsi="Arial" w:cs="Arial"/>
          <w:sz w:val="24"/>
          <w:szCs w:val="24"/>
        </w:rPr>
      </w:pP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fórmula de la sana crítica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5824D90A" w14:textId="77777777" w:rsidR="000A1322" w:rsidRPr="000A1322" w:rsidRDefault="000A1322" w:rsidP="000A1322">
      <w:pPr>
        <w:spacing w:line="360" w:lineRule="auto"/>
        <w:rPr>
          <w:rFonts w:ascii="Arial" w:eastAsia="Arial" w:hAnsi="Arial" w:cs="Arial"/>
          <w:sz w:val="24"/>
          <w:szCs w:val="24"/>
        </w:rPr>
      </w:pPr>
    </w:p>
    <w:p w14:paraId="18A74780"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2.2.4. El caso Tabasco. Marco fáctico y procesal</w:t>
      </w:r>
    </w:p>
    <w:p w14:paraId="646EBE6F"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DFCEBBB"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2.2.5. La cláusula híbrida aplicada en el caso Tabasco</w:t>
      </w:r>
    </w:p>
    <w:p w14:paraId="3AEC21C7" w14:textId="77777777" w:rsidR="000A1322" w:rsidRPr="000A1322" w:rsidRDefault="000A1322" w:rsidP="000A1322">
      <w:pPr>
        <w:spacing w:line="360" w:lineRule="auto"/>
        <w:rPr>
          <w:rFonts w:ascii="Arial" w:eastAsia="Arial" w:hAnsi="Arial" w:cs="Arial"/>
          <w:sz w:val="24"/>
          <w:szCs w:val="24"/>
        </w:rPr>
      </w:pP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0F0FA48D" w14:textId="77777777" w:rsidR="000A1322" w:rsidRPr="000A1322" w:rsidRDefault="000A1322" w:rsidP="000A1322">
      <w:pPr>
        <w:spacing w:line="360" w:lineRule="auto"/>
        <w:rPr>
          <w:rFonts w:ascii="Arial" w:eastAsia="Arial" w:hAnsi="Arial" w:cs="Arial"/>
          <w:sz w:val="24"/>
          <w:szCs w:val="24"/>
        </w:rPr>
      </w:pPr>
    </w:p>
    <w:p w14:paraId="66286C85"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2.2.6. La conclusión de la sentencia. Concurrencia de irregularidades y determinancia</w:t>
      </w:r>
    </w:p>
    <w:p w14:paraId="37D8061B" w14:textId="77777777" w:rsidR="000A1322" w:rsidRPr="000A1322" w:rsidRDefault="000A1322" w:rsidP="000A1322">
      <w:pPr>
        <w:spacing w:line="360" w:lineRule="auto"/>
        <w:rPr>
          <w:rFonts w:ascii="Arial" w:eastAsia="Arial" w:hAnsi="Arial" w:cs="Arial"/>
          <w:sz w:val="24"/>
          <w:szCs w:val="24"/>
        </w:rPr>
      </w:pP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535CB5BA" w14:textId="77777777" w:rsidR="000A1322" w:rsidRPr="000A1322" w:rsidRDefault="000A1322" w:rsidP="000A1322">
      <w:pPr>
        <w:spacing w:line="360" w:lineRule="auto"/>
        <w:rPr>
          <w:rFonts w:ascii="Arial" w:eastAsia="Arial" w:hAnsi="Arial" w:cs="Arial"/>
          <w:sz w:val="24"/>
          <w:szCs w:val="24"/>
        </w:rPr>
      </w:pPr>
    </w:p>
    <w:p w14:paraId="26B48AD2"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2.2.7. La jurisprudencia 38/2002 y sus precedentes</w:t>
      </w:r>
    </w:p>
    <w:p w14:paraId="773E637E" w14:textId="77777777" w:rsidR="000A1322" w:rsidRPr="000A1322" w:rsidRDefault="000A1322" w:rsidP="000A1322">
      <w:pPr>
        <w:spacing w:line="360" w:lineRule="auto"/>
        <w:rPr>
          <w:rFonts w:ascii="Arial" w:eastAsia="Arial" w:hAnsi="Arial" w:cs="Arial"/>
          <w:sz w:val="24"/>
          <w:szCs w:val="24"/>
        </w:rPr>
      </w:pP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jurisprudencia 38/2002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0AF3E735" w14:textId="77777777" w:rsidR="000A1322" w:rsidRPr="000A1322" w:rsidRDefault="000A1322" w:rsidP="000A1322">
      <w:pPr>
        <w:spacing w:line="360" w:lineRule="auto"/>
        <w:rPr>
          <w:rFonts w:ascii="Arial" w:eastAsia="Arial" w:hAnsi="Arial" w:cs="Arial"/>
          <w:sz w:val="24"/>
          <w:szCs w:val="24"/>
        </w:rPr>
      </w:pPr>
    </w:p>
    <w:p w14:paraId="49F9A29C"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2.2.8. El lenguaje de la convicción en la jurisprudencia 38/2002</w:t>
      </w:r>
    </w:p>
    <w:p w14:paraId="08E02A05" w14:textId="77777777" w:rsidR="000A1322" w:rsidRPr="000A1322" w:rsidRDefault="000A1322" w:rsidP="000A1322">
      <w:pPr>
        <w:spacing w:line="360" w:lineRule="auto"/>
        <w:rPr>
          <w:rFonts w:ascii="Arial" w:eastAsia="Arial" w:hAnsi="Arial" w:cs="Arial"/>
          <w:sz w:val="24"/>
          <w:szCs w:val="24"/>
        </w:rPr>
      </w:pP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511AE45A" w14:textId="77777777" w:rsidR="000A1322" w:rsidRPr="000A1322" w:rsidRDefault="000A1322" w:rsidP="000A1322">
      <w:pPr>
        <w:spacing w:line="360" w:lineRule="auto"/>
        <w:rPr>
          <w:rFonts w:ascii="Arial" w:eastAsia="Arial" w:hAnsi="Arial" w:cs="Arial"/>
          <w:sz w:val="24"/>
          <w:szCs w:val="24"/>
        </w:rPr>
      </w:pPr>
    </w:p>
    <w:p w14:paraId="0FB7358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2.2.9. La persistencia de la cláusula híbrida en la jurisprudencia reciente</w:t>
      </w:r>
    </w:p>
    <w:p w14:paraId="028E286F" w14:textId="77777777" w:rsidR="000A1322" w:rsidRPr="000A1322" w:rsidRDefault="000A1322" w:rsidP="000A1322">
      <w:pPr>
        <w:spacing w:line="360" w:lineRule="auto"/>
        <w:rPr>
          <w:rFonts w:ascii="Arial" w:eastAsia="Arial" w:hAnsi="Arial" w:cs="Arial"/>
          <w:sz w:val="24"/>
          <w:szCs w:val="24"/>
        </w:rPr>
      </w:pP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7C0BB0AA" w14:textId="77777777" w:rsidR="000A1322" w:rsidRPr="000A1322" w:rsidRDefault="000A1322" w:rsidP="000A1322">
      <w:pPr>
        <w:spacing w:line="360" w:lineRule="auto"/>
        <w:rPr>
          <w:rFonts w:ascii="Arial" w:eastAsia="Arial" w:hAnsi="Arial" w:cs="Arial"/>
          <w:sz w:val="24"/>
          <w:szCs w:val="24"/>
        </w:rPr>
      </w:pPr>
    </w:p>
    <w:p w14:paraId="6785641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2.2.10. Recapitulación y tránsito al apartado 2.3</w:t>
      </w:r>
    </w:p>
    <w:p w14:paraId="035E9E3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6A872526" w14:textId="77777777" w:rsidR="0062405A" w:rsidRPr="0062405A" w:rsidRDefault="0062405A" w:rsidP="0062405A">
      <w:pPr>
        <w:spacing w:line="360" w:lineRule="auto"/>
        <w:rPr>
          <w:rFonts w:ascii="Arial" w:eastAsia="Arial" w:hAnsi="Arial" w:cs="Arial"/>
          <w:sz w:val="24"/>
          <w:szCs w:val="24"/>
        </w:rPr>
      </w:pPr>
    </w:p>
    <w:p w14:paraId="5DA901AA"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2.3.1. El voto particular. Autores, alcance y estructura</w:t>
      </w:r>
    </w:p>
    <w:p w14:paraId="37B1AEF3" w14:textId="77777777" w:rsidR="0062405A" w:rsidRPr="0062405A" w:rsidRDefault="0062405A" w:rsidP="0062405A">
      <w:pPr>
        <w:spacing w:line="360" w:lineRule="auto"/>
        <w:rPr>
          <w:rFonts w:ascii="Arial" w:eastAsia="Arial" w:hAnsi="Arial" w:cs="Arial"/>
          <w:sz w:val="24"/>
          <w:szCs w:val="24"/>
        </w:rPr>
      </w:pP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04D31069" w14:textId="77777777" w:rsidR="0062405A" w:rsidRPr="0062405A" w:rsidRDefault="0062405A" w:rsidP="0062405A">
      <w:pPr>
        <w:spacing w:line="360" w:lineRule="auto"/>
        <w:rPr>
          <w:rFonts w:ascii="Arial" w:eastAsia="Arial" w:hAnsi="Arial" w:cs="Arial"/>
          <w:sz w:val="24"/>
          <w:szCs w:val="24"/>
        </w:rPr>
      </w:pPr>
    </w:p>
    <w:p w14:paraId="30295221"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2.3.2. El argumento de legalidad. La jornada electoral y la definitividad de las etapas</w:t>
      </w:r>
    </w:p>
    <w:p w14:paraId="3C40887E" w14:textId="77777777" w:rsidR="0062405A" w:rsidRPr="0062405A" w:rsidRDefault="0062405A" w:rsidP="0062405A">
      <w:pPr>
        <w:spacing w:line="360" w:lineRule="auto"/>
        <w:rPr>
          <w:rFonts w:ascii="Arial" w:eastAsia="Arial" w:hAnsi="Arial" w:cs="Arial"/>
          <w:sz w:val="24"/>
          <w:szCs w:val="24"/>
        </w:rPr>
      </w:pP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135E13CB" w14:textId="77777777" w:rsidR="0062405A" w:rsidRPr="0062405A" w:rsidRDefault="0062405A" w:rsidP="0062405A">
      <w:pPr>
        <w:spacing w:line="360" w:lineRule="auto"/>
        <w:rPr>
          <w:rFonts w:ascii="Arial" w:eastAsia="Arial" w:hAnsi="Arial" w:cs="Arial"/>
          <w:sz w:val="24"/>
          <w:szCs w:val="24"/>
        </w:rPr>
      </w:pPr>
    </w:p>
    <w:p w14:paraId="1B2A04A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2.3.3. El argumento probatorio. La crítica a las inferencias de la mayoría</w:t>
      </w:r>
    </w:p>
    <w:p w14:paraId="36012D18" w14:textId="77777777" w:rsidR="0062405A" w:rsidRPr="0062405A" w:rsidRDefault="0062405A" w:rsidP="0062405A">
      <w:pPr>
        <w:spacing w:line="360" w:lineRule="auto"/>
        <w:rPr>
          <w:rFonts w:ascii="Arial" w:eastAsia="Arial" w:hAnsi="Arial" w:cs="Arial"/>
          <w:sz w:val="24"/>
          <w:szCs w:val="24"/>
        </w:rPr>
      </w:pP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25F9DF32" w14:textId="77777777" w:rsidR="0062405A" w:rsidRPr="0062405A" w:rsidRDefault="0062405A" w:rsidP="0062405A">
      <w:pPr>
        <w:spacing w:line="360" w:lineRule="auto"/>
        <w:rPr>
          <w:rFonts w:ascii="Arial" w:eastAsia="Arial" w:hAnsi="Arial" w:cs="Arial"/>
          <w:sz w:val="24"/>
          <w:szCs w:val="24"/>
        </w:rPr>
      </w:pPr>
    </w:p>
    <w:p w14:paraId="7DF4590D"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2.3.4. El par cuantitativo y cualitativo en el voto. ¿Antecedente de la tesis XXXI/2004?</w:t>
      </w:r>
    </w:p>
    <w:p w14:paraId="22094A66" w14:textId="77777777" w:rsidR="0062405A" w:rsidRPr="0062405A" w:rsidRDefault="0062405A" w:rsidP="0062405A">
      <w:pPr>
        <w:spacing w:line="360" w:lineRule="auto"/>
        <w:rPr>
          <w:rFonts w:ascii="Arial" w:eastAsia="Arial" w:hAnsi="Arial" w:cs="Arial"/>
          <w:sz w:val="24"/>
          <w:szCs w:val="24"/>
        </w:rPr>
      </w:pP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35FE62AE" w14:textId="77777777" w:rsidR="0062405A" w:rsidRPr="0062405A" w:rsidRDefault="0062405A" w:rsidP="0062405A">
      <w:pPr>
        <w:spacing w:line="360" w:lineRule="auto"/>
        <w:rPr>
          <w:rFonts w:ascii="Arial" w:eastAsia="Arial" w:hAnsi="Arial" w:cs="Arial"/>
          <w:sz w:val="24"/>
          <w:szCs w:val="24"/>
        </w:rPr>
      </w:pPr>
    </w:p>
    <w:p w14:paraId="7B1C808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2.3.5. La ceguera compartida. El vocabulario común de la convicción</w:t>
      </w:r>
    </w:p>
    <w:p w14:paraId="0F7BBAA6"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6AB20419" w14:textId="77777777" w:rsidR="0062405A" w:rsidRPr="0062405A" w:rsidRDefault="0062405A" w:rsidP="0062405A">
      <w:pPr>
        <w:spacing w:line="360" w:lineRule="auto"/>
        <w:rPr>
          <w:rFonts w:ascii="Arial" w:eastAsia="Arial" w:hAnsi="Arial" w:cs="Arial"/>
          <w:sz w:val="24"/>
          <w:szCs w:val="24"/>
        </w:rPr>
      </w:pPr>
    </w:p>
    <w:p w14:paraId="4A541B62"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2.3.6. La continuidad del disenso en el caso Colima</w:t>
      </w:r>
    </w:p>
    <w:p w14:paraId="17AB5273" w14:textId="77777777" w:rsidR="0062405A" w:rsidRPr="0062405A" w:rsidRDefault="0062405A" w:rsidP="0062405A">
      <w:pPr>
        <w:spacing w:line="360" w:lineRule="auto"/>
        <w:rPr>
          <w:rFonts w:ascii="Arial" w:eastAsia="Arial" w:hAnsi="Arial" w:cs="Arial"/>
          <w:sz w:val="24"/>
          <w:szCs w:val="24"/>
        </w:rPr>
      </w:pP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4649B1C2" w14:textId="77777777" w:rsidR="0062405A" w:rsidRPr="0062405A" w:rsidRDefault="0062405A" w:rsidP="0062405A">
      <w:pPr>
        <w:spacing w:line="360" w:lineRule="auto"/>
        <w:rPr>
          <w:rFonts w:ascii="Arial" w:eastAsia="Arial" w:hAnsi="Arial" w:cs="Arial"/>
          <w:sz w:val="24"/>
          <w:szCs w:val="24"/>
        </w:rPr>
      </w:pPr>
    </w:p>
    <w:p w14:paraId="14354648" w14:textId="24F46A76" w:rsidR="0062405A" w:rsidRPr="0062405A" w:rsidRDefault="006E43DD"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Conclusiones del capitulo</w:t>
      </w:r>
    </w:p>
    <w:p w14:paraId="5AD5F3B9"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3.1.4. El umbral de suficiencia. Convicción, certeza e irrefutabilidad</w:t>
      </w:r>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