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FB8262" w14:textId="77777777" w:rsidR="00A32EF9" w:rsidRDefault="00E354C7">
      <w:pPr>
        <w:spacing w:after="600"/>
        <w:jc w:val="center"/>
      </w:pPr>
      <w:r>
        <w:rPr>
          <w:i/>
          <w:iCs/>
        </w:rPr>
        <w:t>[Logotipo institucional]</w:t>
      </w:r>
    </w:p>
    <w:p w14:paraId="35FB8263" w14:textId="77777777" w:rsidR="00A32EF9" w:rsidRDefault="00E354C7">
      <w:pPr>
        <w:spacing w:after="160"/>
        <w:jc w:val="center"/>
      </w:pPr>
      <w:r>
        <w:rPr>
          <w:b/>
          <w:bCs/>
          <w:sz w:val="26"/>
          <w:szCs w:val="26"/>
        </w:rPr>
        <w:t>UNIVERSIDAD MICHOACANA DE SAN NICOLÁS DE HIDALGO</w:t>
      </w:r>
    </w:p>
    <w:p w14:paraId="35FB8264" w14:textId="77777777" w:rsidR="00A32EF9" w:rsidRDefault="00E354C7">
      <w:pPr>
        <w:spacing w:after="160"/>
        <w:jc w:val="center"/>
      </w:pPr>
      <w:r>
        <w:rPr>
          <w:b/>
          <w:bCs/>
          <w:sz w:val="24"/>
          <w:szCs w:val="24"/>
        </w:rPr>
        <w:t>FACULTAD DE DERECHO Y CIENCIAS SOCIALES</w:t>
      </w:r>
    </w:p>
    <w:p w14:paraId="35FB8265" w14:textId="77777777" w:rsidR="00A32EF9" w:rsidRDefault="00E354C7">
      <w:pPr>
        <w:spacing w:after="700"/>
        <w:jc w:val="center"/>
      </w:pPr>
      <w:r>
        <w:rPr>
          <w:b/>
          <w:bCs/>
          <w:sz w:val="24"/>
          <w:szCs w:val="24"/>
        </w:rPr>
        <w:t>DIVISIÓN DE ESTUDIOS DE POSGRADO</w:t>
      </w:r>
    </w:p>
    <w:p w14:paraId="35FB8266" w14:textId="77777777" w:rsidR="00A32EF9" w:rsidRDefault="00E354C7">
      <w:pPr>
        <w:spacing w:after="700"/>
        <w:jc w:val="center"/>
      </w:pPr>
      <w:r>
        <w:rPr>
          <w:b/>
          <w:bCs/>
          <w:sz w:val="30"/>
          <w:szCs w:val="30"/>
        </w:rPr>
        <w:t>La cláusula psicologista del artículo 16 de la LGSMIME y el diseño de un estándar de prueba compatible con la prueba indiciaria en el contencioso electoral mexicano</w:t>
      </w:r>
    </w:p>
    <w:p w14:paraId="35FB8267" w14:textId="77777777" w:rsidR="00A32EF9" w:rsidRDefault="00E354C7">
      <w:pPr>
        <w:spacing w:after="100"/>
        <w:jc w:val="center"/>
      </w:pPr>
      <w:r>
        <w:rPr>
          <w:sz w:val="24"/>
          <w:szCs w:val="24"/>
        </w:rPr>
        <w:t>TESIS QUE PARA OBTENER EL GRADO DE MAESTRO EN DERECHO ELECTORAL</w:t>
      </w:r>
    </w:p>
    <w:p w14:paraId="35FB8268" w14:textId="77777777" w:rsidR="00A32EF9" w:rsidRDefault="00E354C7">
      <w:pPr>
        <w:spacing w:after="100"/>
        <w:jc w:val="center"/>
      </w:pPr>
      <w:r>
        <w:rPr>
          <w:sz w:val="24"/>
          <w:szCs w:val="24"/>
        </w:rPr>
        <w:t>PRESENTA:</w:t>
      </w:r>
    </w:p>
    <w:p w14:paraId="35FB8269" w14:textId="77777777" w:rsidR="00A32EF9" w:rsidRDefault="00E354C7">
      <w:pPr>
        <w:spacing w:after="700"/>
        <w:jc w:val="center"/>
      </w:pPr>
      <w:r>
        <w:rPr>
          <w:b/>
          <w:bCs/>
          <w:sz w:val="26"/>
          <w:szCs w:val="26"/>
        </w:rPr>
        <w:t>BENJAMÍN GÓMEZ LEMUS</w:t>
      </w:r>
    </w:p>
    <w:p w14:paraId="35FB826A" w14:textId="77777777" w:rsidR="00A32EF9" w:rsidRDefault="00E354C7">
      <w:pPr>
        <w:spacing w:after="100"/>
        <w:jc w:val="center"/>
      </w:pPr>
      <w:r>
        <w:rPr>
          <w:sz w:val="24"/>
          <w:szCs w:val="24"/>
        </w:rPr>
        <w:t>DIRECTOR DE TESIS:</w:t>
      </w:r>
    </w:p>
    <w:p w14:paraId="35FB826B" w14:textId="77777777" w:rsidR="00A32EF9" w:rsidRDefault="00E354C7">
      <w:pPr>
        <w:spacing w:after="900"/>
        <w:jc w:val="center"/>
      </w:pPr>
      <w:r>
        <w:rPr>
          <w:b/>
          <w:bCs/>
          <w:sz w:val="26"/>
          <w:szCs w:val="26"/>
        </w:rPr>
        <w:t>DR. MANUEL ALEJANDRO SÁNCHEZ VEGA</w:t>
      </w:r>
    </w:p>
    <w:p w14:paraId="35FB826C" w14:textId="77777777" w:rsidR="00A32EF9" w:rsidRDefault="00E354C7">
      <w:pPr>
        <w:spacing w:after="100"/>
        <w:jc w:val="center"/>
      </w:pPr>
      <w:r>
        <w:rPr>
          <w:sz w:val="24"/>
          <w:szCs w:val="24"/>
        </w:rPr>
        <w:t>MORELIA, MICHOACÁN</w:t>
      </w:r>
    </w:p>
    <w:p w14:paraId="35FB826D" w14:textId="77777777" w:rsidR="00A32EF9" w:rsidRDefault="00E354C7">
      <w:pPr>
        <w:spacing w:after="100"/>
        <w:jc w:val="center"/>
      </w:pPr>
      <w:r>
        <w:rPr>
          <w:sz w:val="24"/>
          <w:szCs w:val="24"/>
        </w:rPr>
        <w:t>SEPTIEMBRE DE 2026</w:t>
      </w:r>
    </w:p>
    <w:p w14:paraId="35FB826E" w14:textId="77777777" w:rsidR="00A32EF9" w:rsidRDefault="00E354C7">
      <w:r>
        <w:br w:type="page"/>
      </w:r>
    </w:p>
    <w:p>
      <w:pPr>
        <w:pStyle w:val="Ttulo1"/>
        <w:keepNext/>
        <w:spacing w:before="0" w:after="0" w:line="360" w:lineRule="auto"/>
        <w:jc w:val="center"/>
      </w:pPr>
      <w:bookmarkStart w:id="801" w:name="_Toc9000001"/>
      <w:r>
        <w:rPr>
          <w:rFonts w:ascii="Arial" w:eastAsia="Arial" w:hAnsi="Arial" w:cs="Arial"/>
          <w:b/>
          <w:bCs/>
          <w:color w:val="000000"/>
          <w:sz w:val="24"/>
          <w:szCs w:val="24"/>
        </w:rPr>
        <w:t xml:space="preserve">Dedicatoria</w:t>
      </w:r>
      <w:bookmarkEnd w:id="801"/>
    </w:p>
    <w:p>
      <w:pPr>
        <w:spacing w:before="0" w:after="0" w:line="360" w:lineRule="auto"/>
        <w:jc w:val="left"/>
      </w:pPr>
    </w:p>
    <w:p>
      <w:pPr>
        <w:spacing w:before="0" w:after="0" w:line="360" w:lineRule="auto"/>
        <w:jc w:val="left"/>
      </w:pPr>
    </w:p>
    <w:p>
      <w:pPr>
        <w:spacing w:before="0" w:after="0" w:line="360" w:lineRule="auto"/>
        <w:jc w:val="left"/>
      </w:pPr>
    </w:p>
    <w:p>
      <w:pPr>
        <w:spacing w:before="0" w:after="0" w:line="360" w:lineRule="auto"/>
        <w:jc w:val="left"/>
      </w:pPr>
    </w:p>
    <w:p>
      <w:pPr>
        <w:spacing w:before="0" w:after="0" w:line="360" w:lineRule="auto"/>
        <w:jc w:val="left"/>
      </w:pPr>
    </w:p>
    <w:p>
      <w:pPr>
        <w:spacing w:before="0" w:after="0" w:line="360" w:lineRule="auto"/>
        <w:jc w:val="left"/>
      </w:pPr>
    </w:p>
    <w:p>
      <w:pPr>
        <w:spacing w:before="0" w:after="0" w:line="360" w:lineRule="auto"/>
        <w:ind w:left="4536" w:firstLine="0"/>
        <w:jc w:val="left"/>
      </w:pPr>
      <w:r>
        <w:rPr>
          <w:rFonts w:ascii="Arial" w:eastAsia="Arial" w:hAnsi="Arial" w:cs="Arial"/>
          <w:color w:val="000000"/>
          <w:sz w:val="24"/>
          <w:szCs w:val="24"/>
        </w:rPr>
        <w:t xml:space="preserve">A mi familia, que me acompañó durante los años de estudio en que se hizo este trabajo.</w:t>
      </w:r>
    </w:p>
    <w:p>
      <w:pPr>
        <w:spacing w:before="0" w:after="0" w:line="360" w:lineRule="auto"/>
        <w:jc w:val="left"/>
      </w:pPr>
    </w:p>
    <w:p>
      <w:pPr>
        <w:spacing w:before="0" w:after="0" w:line="360" w:lineRule="auto"/>
        <w:ind w:left="4536" w:firstLine="0"/>
        <w:jc w:val="left"/>
      </w:pPr>
      <w:r>
        <w:rPr>
          <w:rFonts w:ascii="Arial" w:eastAsia="Arial" w:hAnsi="Arial" w:cs="Arial"/>
          <w:color w:val="000000"/>
          <w:sz w:val="24"/>
          <w:szCs w:val="24"/>
        </w:rPr>
        <w:t xml:space="preserve">A quienes piensan que una elección debe resolverse con reglas claras y con razones que cualquiera pueda revisar.</w:t>
      </w:r>
    </w:p>
    <w:p w14:paraId="35FB8270" w14:textId="77777777" w:rsidR="00A32EF9" w:rsidRDefault="00E354C7">
      <w:r>
        <w:br w:type="page"/>
      </w:r>
    </w:p>
    <w:p>
      <w:pPr>
        <w:pStyle w:val="Ttulo1"/>
        <w:keepNext/>
        <w:spacing w:before="0" w:after="0" w:line="360" w:lineRule="auto"/>
        <w:jc w:val="center"/>
      </w:pPr>
      <w:bookmarkStart w:id="802" w:name="_Toc9000002"/>
      <w:r>
        <w:rPr>
          <w:rFonts w:ascii="Arial" w:eastAsia="Arial" w:hAnsi="Arial" w:cs="Arial"/>
          <w:b/>
          <w:bCs/>
          <w:color w:val="000000"/>
          <w:sz w:val="24"/>
          <w:szCs w:val="24"/>
        </w:rPr>
        <w:t xml:space="preserve">Agradecimientos</w:t>
      </w:r>
      <w:bookmarkEnd w:id="802"/>
    </w:p>
    <w:p>
      <w:pPr>
        <w:spacing w:before="0" w:after="0" w:line="360" w:lineRule="auto"/>
        <w:ind w:firstLine="0"/>
        <w:jc w:val="both"/>
      </w:pPr>
      <w:r>
        <w:rPr>
          <w:rFonts w:ascii="Arial" w:eastAsia="Arial" w:hAnsi="Arial" w:cs="Arial"/>
          <w:color w:val="000000"/>
          <w:sz w:val="24"/>
          <w:szCs w:val="24"/>
        </w:rPr>
        <w:t xml:space="preserve">Esta tesis se escribió en la Maestría en Derecho Electoral de la Universidad Michoacana de San Nicolás de Hidalgo. Agradezco a su Facultad de Derecho y Ciencias Sociales y a la División de Estudios de Posgrado la formación que recibí. Buena parte de las preguntas que animan este trabajo surgió en sus aulas. Mi director de tesis, el doctor Manuel Alejandro Sánchez Vega, leyó cada avance con atención y orientó la investigación desde su inicio. Sus observaciones mejoraron el planteamiento y la redacción del trabajo, y por ello le estoy particularmente agradecido.</w:t>
      </w:r>
    </w:p>
    <w:p>
      <w:pPr>
        <w:spacing w:before="0" w:after="0" w:line="360" w:lineRule="auto"/>
        <w:ind w:firstLine="709"/>
        <w:jc w:val="both"/>
      </w:pPr>
      <w:r>
        <w:rPr>
          <w:rFonts w:ascii="Arial" w:eastAsia="Arial" w:hAnsi="Arial" w:cs="Arial"/>
          <w:color w:val="000000"/>
          <w:sz w:val="24"/>
          <w:szCs w:val="24"/>
        </w:rPr>
        <w:t xml:space="preserve">A las profesoras y los profesores de la maestría les debo varias de las preguntas que aquí se examinan, en particular las que surgieron en las clases sobre justicia electoral, argumentación y prueba. A mis compañeras y compañeros de generación les agradezco las conversaciones y la compañía durante el programa. Quienes integren el comité revisor dedicarán tiempo a leer estas páginas. Les agradezco de antemano sus observaciones. Mi familia tuvo paciencia durante todo el tiempo que exigió esta tesis. Su respaldo hizo posible terminarla.</w:t>
      </w:r>
    </w:p>
    <w:p w14:paraId="35FB8272" w14:textId="77777777" w:rsidR="00A32EF9" w:rsidRDefault="00E354C7">
      <w:r>
        <w:br w:type="page"/>
      </w:r>
    </w:p>
    <w:p>
      <w:pPr>
        <w:pStyle w:val="Ttulo1"/>
        <w:keepNext/>
        <w:spacing w:before="0" w:after="0" w:line="360" w:lineRule="auto"/>
        <w:jc w:val="center"/>
      </w:pPr>
      <w:bookmarkStart w:id="803" w:name="_Toc9000003"/>
      <w:r>
        <w:rPr>
          <w:rFonts w:ascii="Arial" w:eastAsia="Arial" w:hAnsi="Arial" w:cs="Arial"/>
          <w:b/>
          <w:bCs/>
          <w:color w:val="000000"/>
          <w:sz w:val="24"/>
          <w:szCs w:val="24"/>
        </w:rPr>
        <w:t xml:space="preserve">Abstract</w:t>
      </w:r>
      <w:bookmarkEnd w:id="803"/>
    </w:p>
    <w:p>
      <w:pPr>
        <w:spacing w:before="0" w:after="0" w:line="360" w:lineRule="auto"/>
        <w:ind w:firstLine="0"/>
        <w:jc w:val="both"/>
      </w:pPr>
      <w:r>
        <w:rPr>
          <w:rFonts w:ascii="Arial" w:eastAsia="Arial" w:hAnsi="Arial" w:cs="Arial"/>
          <w:color w:val="000000"/>
          <w:sz w:val="24"/>
          <w:szCs w:val="24"/>
        </w:rPr>
        <w:t xml:space="preserve">This thesis argues that Article 16 of Mexico's General Law of the System of Means of Impugnation in Electoral Matters (LGSMIME) lacks an objective standard of proof. The provision requires judges to weigh evidence according to logic, sound criticism, and experience. Yet it makes sufficiency depend on the judge's conviction, a psychologistic criterion detached from any objective threshold. This hybrid clause has remained largely unchanged in Mexican electoral case law for twenty-five years and undermines the rationality of fact-finding in electoral litigation. The thesis examines the extent to which this absence compromises rational adjudication of the facts. It also proposes a legislative design able to correct the deficiency without sacrificing the circumstantial nature of the evidence available in this field.</w:t>
      </w:r>
    </w:p>
    <w:p>
      <w:pPr>
        <w:spacing w:before="0" w:after="0" w:line="360" w:lineRule="auto"/>
        <w:ind w:firstLine="709"/>
        <w:jc w:val="both"/>
      </w:pPr>
      <w:r>
        <w:rPr>
          <w:rFonts w:ascii="Arial" w:eastAsia="Arial" w:hAnsi="Arial" w:cs="Arial"/>
          <w:color w:val="000000"/>
          <w:sz w:val="24"/>
          <w:szCs w:val="24"/>
        </w:rPr>
        <w:t xml:space="preserve">The study follows a qualitative, documentary and dogmatic methodology of descriptive and explanatory scope. It is complemented by a comparative approach to Spanish, Italian, and Anglo-American procedural doctrine and by a case analysis of ruling SUP-JIN-194/2025. The analysis traced the hybrid clause to its earliest documented judicial application in SUP-JRC-487/2000. The formula persisted virtually unchanged for a quarter of a century, and judicial awareness of the underlying problem emerged only recently in a single dissenting opinion. The study also identified a category mistake between sound criticism and standard of proof in the doctrine on the determinative effect of electoral irregularities. On this basis, the thesis confirms its hypothesis. It formulates a qualitative standard of proof, grounded in best explanation and evidentiary completeness, that is compatible with the circumstantial evidence available in Mexican electoral adjudication.</w:t>
      </w:r>
    </w:p>
    <w:p w14:paraId="35FB8275" w14:textId="77777777" w:rsidR="00A32EF9" w:rsidRDefault="00E354C7">
      <w:pPr>
        <w:spacing w:before="0" w:after="0" w:line="360" w:lineRule="auto"/>
        <w:ind w:firstLine="0"/>
        <w:jc w:val="both"/>
      </w:pPr>
      <w:r>
        <w:rPr>
          <w:rFonts w:ascii="Arial" w:eastAsia="Arial" w:hAnsi="Arial" w:cs="Arial"/>
          <w:b/>
          <w:bCs/>
          <w:color w:val="000000"/>
          <w:sz w:val="24"/>
          <w:szCs w:val="24"/>
        </w:rPr>
        <w:t xml:space="preserve">Keywords: </w:t>
      </w:r>
      <w:r>
        <w:rPr>
          <w:rFonts w:ascii="Arial" w:eastAsia="Arial" w:hAnsi="Arial" w:cs="Arial"/>
          <w:color w:val="000000"/>
          <w:sz w:val="24"/>
          <w:szCs w:val="24"/>
        </w:rPr>
        <w:t xml:space="preserve">standard of proof, circumstantial evidence, evidentiary corroboration, Mexican electoral litigation, psychologistic clause of conviction.</w:t>
      </w:r>
    </w:p>
    <w:p w14:paraId="35FB8276" w14:textId="77777777" w:rsidR="00A32EF9" w:rsidRDefault="00E354C7">
      <w:r>
        <w:br w:type="page"/>
      </w:r>
    </w:p>
    <w:p>
      <w:pPr>
        <w:keepNext/>
        <w:spacing w:before="0" w:after="0" w:line="360" w:lineRule="auto"/>
        <w:jc w:val="center"/>
      </w:pPr>
      <w:r>
        <w:rPr>
          <w:rFonts w:ascii="Arial" w:eastAsia="Arial" w:hAnsi="Arial" w:cs="Arial"/>
          <w:b/>
          <w:bCs/>
          <w:color w:val="000000"/>
          <w:sz w:val="24"/>
          <w:szCs w:val="24"/>
        </w:rPr>
        <w:t xml:space="preserve">Índice general</w:t>
      </w:r>
    </w:p>
    <w:sdt>
      <w:sdtPr>
        <w:alias w:val="Índice general"/>
        <w:id w:val="380601553"/>
      </w:sdtPr>
      <w:sdtEndPr/>
      <w:sdtContent>
        <w:p>
          <w:pPr>
            <w:pStyle w:val="TDC1"/>
            <w:tabs>
              <w:tab w:val="right" w:leader="dot" w:pos="8838"/>
            </w:tabs>
            <w:spacing w:before="0" w:after="20" w:line="240" w:lineRule="auto"/>
            <w:ind w:left="0" w:firstLine="0"/>
            <w:jc w:val="left"/>
            <w:rPr>
              <w:noProof/>
            </w:rPr>
          </w:pPr>
          <w:r>
            <w:rPr>
              <w:rFonts w:ascii="Arial" w:eastAsia="Arial" w:hAnsi="Arial" w:cs="Arial"/>
              <w:noProof/>
              <w:sz w:val="24"/>
              <w:szCs w:val="24"/>
            </w:rPr>
            <w:fldChar w:fldCharType="begin"/>
          </w:r>
          <w:r>
            <w:rPr>
              <w:rFonts w:ascii="Arial" w:eastAsia="Arial" w:hAnsi="Arial" w:cs="Arial"/>
              <w:noProof/>
              <w:sz w:val="24"/>
              <w:szCs w:val="24"/>
            </w:rPr>
            <w:instrText xml:space="preserve"> TOC \o "1-2" \h \z </w:instrText>
          </w:r>
          <w:r>
            <w:rPr>
              <w:rFonts w:ascii="Arial" w:eastAsia="Arial" w:hAnsi="Arial" w:cs="Arial"/>
              <w:noProof/>
              <w:sz w:val="24"/>
              <w:szCs w:val="24"/>
            </w:rPr>
            <w:fldChar w:fldCharType="separate"/>
          </w:r>
          <w:hyperlink w:anchor="_Toc9000001" w:history="1">
            <w:r>
              <w:rPr>
                <w:rFonts w:ascii="Arial" w:eastAsia="Arial" w:hAnsi="Arial" w:cs="Arial"/>
                <w:b/>
                <w:bCs/>
                <w:noProof/>
                <w:sz w:val="24"/>
                <w:szCs w:val="24"/>
              </w:rPr>
              <w:t xml:space="preserve">Dedicatoria</w:t>
            </w:r>
            <w:r>
              <w:rPr>
                <w:rFonts w:ascii="Arial" w:eastAsia="Arial" w:hAnsi="Arial" w:cs="Arial"/>
                <w:noProof/>
                <w:sz w:val="24"/>
                <w:szCs w:val="24"/>
              </w:rPr>
              <w:tab/>
            </w:r>
            <w:r>
              <w:rPr>
                <w:rFonts w:ascii="Arial" w:eastAsia="Arial" w:hAnsi="Arial" w:cs="Arial"/>
                <w:noProof/>
                <w:sz w:val="24"/>
                <w:szCs w:val="24"/>
              </w:rPr>
              <w:fldChar w:fldCharType="begin"/>
            </w:r>
            <w:r>
              <w:rPr>
                <w:rFonts w:ascii="Arial" w:eastAsia="Arial" w:hAnsi="Arial" w:cs="Arial"/>
                <w:noProof/>
                <w:sz w:val="24"/>
                <w:szCs w:val="24"/>
              </w:rPr>
              <w:instrText xml:space="preserve"> PAGEREF _Toc9000001 \h </w:instrText>
            </w:r>
            <w:r>
              <w:rPr>
                <w:rFonts w:ascii="Arial" w:eastAsia="Arial" w:hAnsi="Arial" w:cs="Arial"/>
                <w:noProof/>
                <w:sz w:val="24"/>
                <w:szCs w:val="24"/>
              </w:rPr>
              <w:fldChar w:fldCharType="separate"/>
            </w:r>
            <w:r>
              <w:rPr>
                <w:rFonts w:ascii="Arial" w:eastAsia="Arial" w:hAnsi="Arial" w:cs="Arial"/>
                <w:noProof/>
                <w:sz w:val="24"/>
                <w:szCs w:val="24"/>
              </w:rPr>
              <w:t>ii</w:t>
            </w:r>
            <w:r>
              <w:rPr>
                <w:rFonts w:ascii="Arial" w:eastAsia="Arial" w:hAnsi="Arial" w:cs="Arial"/>
                <w:noProof/>
                <w:sz w:val="24"/>
                <w:szCs w:val="24"/>
              </w:rPr>
              <w:fldChar w:fldCharType="end"/>
            </w:r>
          </w:hyperlink>
        </w:p>
        <w:p>
          <w:pPr>
            <w:pStyle w:val="TDC1"/>
            <w:tabs>
              <w:tab w:val="right" w:leader="dot" w:pos="8838"/>
            </w:tabs>
            <w:spacing w:before="0" w:after="20" w:line="240" w:lineRule="auto"/>
            <w:ind w:left="0" w:firstLine="0"/>
            <w:jc w:val="left"/>
            <w:rPr>
              <w:noProof/>
            </w:rPr>
          </w:pPr>
          <w:hyperlink w:anchor="_Toc9000002" w:history="1">
            <w:r>
              <w:rPr>
                <w:rFonts w:ascii="Arial" w:eastAsia="Arial" w:hAnsi="Arial" w:cs="Arial"/>
                <w:b/>
                <w:bCs/>
                <w:noProof/>
                <w:sz w:val="24"/>
                <w:szCs w:val="24"/>
              </w:rPr>
              <w:t xml:space="preserve">Agradecimientos</w:t>
            </w:r>
            <w:r>
              <w:rPr>
                <w:rFonts w:ascii="Arial" w:eastAsia="Arial" w:hAnsi="Arial" w:cs="Arial"/>
                <w:noProof/>
                <w:sz w:val="24"/>
                <w:szCs w:val="24"/>
              </w:rPr>
              <w:tab/>
            </w:r>
            <w:r>
              <w:rPr>
                <w:rFonts w:ascii="Arial" w:eastAsia="Arial" w:hAnsi="Arial" w:cs="Arial"/>
                <w:noProof/>
                <w:sz w:val="24"/>
                <w:szCs w:val="24"/>
              </w:rPr>
              <w:fldChar w:fldCharType="begin"/>
            </w:r>
            <w:r>
              <w:rPr>
                <w:rFonts w:ascii="Arial" w:eastAsia="Arial" w:hAnsi="Arial" w:cs="Arial"/>
                <w:noProof/>
                <w:sz w:val="24"/>
                <w:szCs w:val="24"/>
              </w:rPr>
              <w:instrText xml:space="preserve"> PAGEREF _Toc9000002 \h </w:instrText>
            </w:r>
            <w:r>
              <w:rPr>
                <w:rFonts w:ascii="Arial" w:eastAsia="Arial" w:hAnsi="Arial" w:cs="Arial"/>
                <w:noProof/>
                <w:sz w:val="24"/>
                <w:szCs w:val="24"/>
              </w:rPr>
              <w:fldChar w:fldCharType="separate"/>
            </w:r>
            <w:r>
              <w:rPr>
                <w:rFonts w:ascii="Arial" w:eastAsia="Arial" w:hAnsi="Arial" w:cs="Arial"/>
                <w:noProof/>
                <w:sz w:val="24"/>
                <w:szCs w:val="24"/>
              </w:rPr>
              <w:t>iii</w:t>
            </w:r>
            <w:r>
              <w:rPr>
                <w:rFonts w:ascii="Arial" w:eastAsia="Arial" w:hAnsi="Arial" w:cs="Arial"/>
                <w:noProof/>
                <w:sz w:val="24"/>
                <w:szCs w:val="24"/>
              </w:rPr>
              <w:fldChar w:fldCharType="end"/>
            </w:r>
          </w:hyperlink>
        </w:p>
        <w:p>
          <w:pPr>
            <w:pStyle w:val="TDC1"/>
            <w:tabs>
              <w:tab w:val="right" w:leader="dot" w:pos="8838"/>
            </w:tabs>
            <w:spacing w:before="0" w:after="20" w:line="240" w:lineRule="auto"/>
            <w:ind w:left="0" w:firstLine="0"/>
            <w:jc w:val="left"/>
            <w:rPr>
              <w:noProof/>
            </w:rPr>
          </w:pPr>
          <w:hyperlink w:anchor="_Toc9000003" w:history="1">
            <w:r>
              <w:rPr>
                <w:rFonts w:ascii="Arial" w:eastAsia="Arial" w:hAnsi="Arial" w:cs="Arial"/>
                <w:b/>
                <w:bCs/>
                <w:noProof/>
                <w:sz w:val="24"/>
                <w:szCs w:val="24"/>
              </w:rPr>
              <w:t xml:space="preserve">Abstract</w:t>
            </w:r>
            <w:r>
              <w:rPr>
                <w:rFonts w:ascii="Arial" w:eastAsia="Arial" w:hAnsi="Arial" w:cs="Arial"/>
                <w:noProof/>
                <w:sz w:val="24"/>
                <w:szCs w:val="24"/>
              </w:rPr>
              <w:tab/>
            </w:r>
            <w:r>
              <w:rPr>
                <w:rFonts w:ascii="Arial" w:eastAsia="Arial" w:hAnsi="Arial" w:cs="Arial"/>
                <w:noProof/>
                <w:sz w:val="24"/>
                <w:szCs w:val="24"/>
              </w:rPr>
              <w:fldChar w:fldCharType="begin"/>
            </w:r>
            <w:r>
              <w:rPr>
                <w:rFonts w:ascii="Arial" w:eastAsia="Arial" w:hAnsi="Arial" w:cs="Arial"/>
                <w:noProof/>
                <w:sz w:val="24"/>
                <w:szCs w:val="24"/>
              </w:rPr>
              <w:instrText xml:space="preserve"> PAGEREF _Toc9000003 \h </w:instrText>
            </w:r>
            <w:r>
              <w:rPr>
                <w:rFonts w:ascii="Arial" w:eastAsia="Arial" w:hAnsi="Arial" w:cs="Arial"/>
                <w:noProof/>
                <w:sz w:val="24"/>
                <w:szCs w:val="24"/>
              </w:rPr>
              <w:fldChar w:fldCharType="separate"/>
            </w:r>
            <w:r>
              <w:rPr>
                <w:rFonts w:ascii="Arial" w:eastAsia="Arial" w:hAnsi="Arial" w:cs="Arial"/>
                <w:noProof/>
                <w:sz w:val="24"/>
                <w:szCs w:val="24"/>
              </w:rPr>
              <w:t>iv</w:t>
            </w:r>
            <w:r>
              <w:rPr>
                <w:rFonts w:ascii="Arial" w:eastAsia="Arial" w:hAnsi="Arial" w:cs="Arial"/>
                <w:noProof/>
                <w:sz w:val="24"/>
                <w:szCs w:val="24"/>
              </w:rPr>
              <w:fldChar w:fldCharType="end"/>
            </w:r>
          </w:hyperlink>
        </w:p>
        <w:p>
          <w:pPr>
            <w:pStyle w:val="TDC1"/>
            <w:tabs>
              <w:tab w:val="right" w:leader="dot" w:pos="8838"/>
            </w:tabs>
            <w:spacing w:before="0" w:after="20" w:line="240" w:lineRule="auto"/>
            <w:ind w:left="0" w:firstLine="0"/>
            <w:jc w:val="left"/>
            <w:rPr>
              <w:noProof/>
            </w:rPr>
          </w:pPr>
          <w:hyperlink w:anchor="_Toc9000004" w:history="1">
            <w:r>
              <w:rPr>
                <w:rFonts w:ascii="Arial" w:eastAsia="Arial" w:hAnsi="Arial" w:cs="Arial"/>
                <w:b/>
                <w:bCs/>
                <w:noProof/>
                <w:sz w:val="24"/>
                <w:szCs w:val="24"/>
              </w:rPr>
              <w:t xml:space="preserve">Relación de abreviaturas</w:t>
            </w:r>
            <w:r>
              <w:rPr>
                <w:rFonts w:ascii="Arial" w:eastAsia="Arial" w:hAnsi="Arial" w:cs="Arial"/>
                <w:noProof/>
                <w:sz w:val="24"/>
                <w:szCs w:val="24"/>
              </w:rPr>
              <w:tab/>
            </w:r>
            <w:r>
              <w:rPr>
                <w:rFonts w:ascii="Arial" w:eastAsia="Arial" w:hAnsi="Arial" w:cs="Arial"/>
                <w:noProof/>
                <w:sz w:val="24"/>
                <w:szCs w:val="24"/>
              </w:rPr>
              <w:fldChar w:fldCharType="begin"/>
            </w:r>
            <w:r>
              <w:rPr>
                <w:rFonts w:ascii="Arial" w:eastAsia="Arial" w:hAnsi="Arial" w:cs="Arial"/>
                <w:noProof/>
                <w:sz w:val="24"/>
                <w:szCs w:val="24"/>
              </w:rPr>
              <w:instrText xml:space="preserve"> PAGEREF _Toc9000004 \h </w:instrText>
            </w:r>
            <w:r>
              <w:rPr>
                <w:rFonts w:ascii="Arial" w:eastAsia="Arial" w:hAnsi="Arial" w:cs="Arial"/>
                <w:noProof/>
                <w:sz w:val="24"/>
                <w:szCs w:val="24"/>
              </w:rPr>
              <w:fldChar w:fldCharType="separate"/>
            </w:r>
            <w:r>
              <w:rPr>
                <w:rFonts w:ascii="Arial" w:eastAsia="Arial" w:hAnsi="Arial" w:cs="Arial"/>
                <w:noProof/>
                <w:sz w:val="24"/>
                <w:szCs w:val="24"/>
              </w:rPr>
              <w:t>vi</w:t>
            </w:r>
            <w:r>
              <w:rPr>
                <w:rFonts w:ascii="Arial" w:eastAsia="Arial" w:hAnsi="Arial" w:cs="Arial"/>
                <w:noProof/>
                <w:sz w:val="24"/>
                <w:szCs w:val="24"/>
              </w:rPr>
              <w:fldChar w:fldCharType="end"/>
            </w:r>
          </w:hyperlink>
        </w:p>
        <w:p>
          <w:pPr>
            <w:pStyle w:val="TDC1"/>
            <w:tabs>
              <w:tab w:val="right" w:leader="dot" w:pos="8838"/>
            </w:tabs>
            <w:spacing w:before="0" w:after="20" w:line="240" w:lineRule="auto"/>
            <w:ind w:left="0" w:firstLine="0"/>
            <w:jc w:val="left"/>
            <w:rPr>
              <w:noProof/>
            </w:rPr>
          </w:pPr>
          <w:hyperlink w:anchor="_Toc9000005" w:history="1">
            <w:r>
              <w:rPr>
                <w:rFonts w:ascii="Arial" w:eastAsia="Arial" w:hAnsi="Arial" w:cs="Arial"/>
                <w:b/>
                <w:bCs/>
                <w:noProof/>
                <w:sz w:val="24"/>
                <w:szCs w:val="24"/>
              </w:rPr>
              <w:t xml:space="preserve">Introducción general</w:t>
            </w:r>
            <w:r>
              <w:rPr>
                <w:rFonts w:ascii="Arial" w:eastAsia="Arial" w:hAnsi="Arial" w:cs="Arial"/>
                <w:noProof/>
                <w:sz w:val="24"/>
                <w:szCs w:val="24"/>
              </w:rPr>
              <w:tab/>
            </w:r>
            <w:r>
              <w:rPr>
                <w:rFonts w:ascii="Arial" w:eastAsia="Arial" w:hAnsi="Arial" w:cs="Arial"/>
                <w:noProof/>
                <w:sz w:val="24"/>
                <w:szCs w:val="24"/>
              </w:rPr>
              <w:fldChar w:fldCharType="begin"/>
            </w:r>
            <w:r>
              <w:rPr>
                <w:rFonts w:ascii="Arial" w:eastAsia="Arial" w:hAnsi="Arial" w:cs="Arial"/>
                <w:noProof/>
                <w:sz w:val="24"/>
                <w:szCs w:val="24"/>
              </w:rPr>
              <w:instrText xml:space="preserve"> PAGEREF _Toc9000005 \h </w:instrText>
            </w:r>
            <w:r>
              <w:rPr>
                <w:rFonts w:ascii="Arial" w:eastAsia="Arial" w:hAnsi="Arial" w:cs="Arial"/>
                <w:noProof/>
                <w:sz w:val="24"/>
                <w:szCs w:val="24"/>
              </w:rPr>
              <w:fldChar w:fldCharType="separate"/>
            </w:r>
            <w:r>
              <w:rPr>
                <w:rFonts w:ascii="Arial" w:eastAsia="Arial" w:hAnsi="Arial" w:cs="Arial"/>
                <w:noProof/>
                <w:sz w:val="24"/>
                <w:szCs w:val="24"/>
              </w:rPr>
              <w:t>vii</w:t>
            </w:r>
            <w:r>
              <w:rPr>
                <w:rFonts w:ascii="Arial" w:eastAsia="Arial" w:hAnsi="Arial" w:cs="Arial"/>
                <w:noProof/>
                <w:sz w:val="24"/>
                <w:szCs w:val="24"/>
              </w:rPr>
              <w:fldChar w:fldCharType="end"/>
            </w:r>
          </w:hyperlink>
        </w:p>
        <w:p>
          <w:pPr>
            <w:pStyle w:val="TDC1"/>
            <w:tabs>
              <w:tab w:val="right" w:leader="dot" w:pos="8838"/>
            </w:tabs>
            <w:spacing w:before="0" w:after="20" w:line="240" w:lineRule="auto"/>
            <w:ind w:left="0" w:firstLine="0"/>
            <w:jc w:val="left"/>
            <w:rPr>
              <w:noProof/>
            </w:rPr>
          </w:pPr>
          <w:hyperlink w:anchor="_Toc9000006" w:history="1">
            <w:r>
              <w:rPr>
                <w:rFonts w:ascii="Arial" w:eastAsia="Arial" w:hAnsi="Arial" w:cs="Arial"/>
                <w:b/>
                <w:bCs/>
                <w:noProof/>
                <w:sz w:val="24"/>
                <w:szCs w:val="24"/>
              </w:rPr>
              <w:t xml:space="preserve">Capítulo I. La prueba indiciaria y el estándar de prueba: marco teórico general</w:t>
            </w:r>
            <w:r>
              <w:rPr>
                <w:rFonts w:ascii="Arial" w:eastAsia="Arial" w:hAnsi="Arial" w:cs="Arial"/>
                <w:noProof/>
                <w:sz w:val="24"/>
                <w:szCs w:val="24"/>
              </w:rPr>
              <w:tab/>
            </w:r>
            <w:r>
              <w:rPr>
                <w:rFonts w:ascii="Arial" w:eastAsia="Arial" w:hAnsi="Arial" w:cs="Arial"/>
                <w:noProof/>
                <w:sz w:val="24"/>
                <w:szCs w:val="24"/>
              </w:rPr>
              <w:fldChar w:fldCharType="begin"/>
            </w:r>
            <w:r>
              <w:rPr>
                <w:rFonts w:ascii="Arial" w:eastAsia="Arial" w:hAnsi="Arial" w:cs="Arial"/>
                <w:noProof/>
                <w:sz w:val="24"/>
                <w:szCs w:val="24"/>
              </w:rPr>
              <w:instrText xml:space="preserve"> PAGEREF _Toc9000006 \h </w:instrText>
            </w:r>
            <w:r>
              <w:rPr>
                <w:rFonts w:ascii="Arial" w:eastAsia="Arial" w:hAnsi="Arial" w:cs="Arial"/>
                <w:noProof/>
                <w:sz w:val="24"/>
                <w:szCs w:val="24"/>
              </w:rPr>
              <w:fldChar w:fldCharType="separate"/>
            </w:r>
            <w:r>
              <w:rPr>
                <w:rFonts w:ascii="Arial" w:eastAsia="Arial" w:hAnsi="Arial" w:cs="Arial"/>
                <w:noProof/>
                <w:sz w:val="24"/>
                <w:szCs w:val="24"/>
              </w:rPr>
              <w:t>1</w:t>
            </w:r>
            <w:r>
              <w:rPr>
                <w:rFonts w:ascii="Arial" w:eastAsia="Arial" w:hAnsi="Arial" w:cs="Arial"/>
                <w:noProof/>
                <w:sz w:val="24"/>
                <w:szCs w:val="24"/>
              </w:rPr>
              <w:fldChar w:fldCharType="end"/>
            </w:r>
          </w:hyperlink>
        </w:p>
        <w:p>
          <w:pPr>
            <w:pStyle w:val="TDC2"/>
            <w:tabs>
              <w:tab w:val="right" w:leader="dot" w:pos="8838"/>
            </w:tabs>
            <w:spacing w:before="0" w:after="20" w:line="240" w:lineRule="auto"/>
            <w:ind w:left="567" w:hanging="567"/>
            <w:jc w:val="left"/>
            <w:rPr>
              <w:noProof/>
            </w:rPr>
          </w:pPr>
          <w:hyperlink w:anchor="_Toc9000007" w:history="1">
            <w:r>
              <w:rPr>
                <w:rFonts w:ascii="Arial" w:eastAsia="Arial" w:hAnsi="Arial" w:cs="Arial"/>
                <w:noProof/>
                <w:sz w:val="24"/>
                <w:szCs w:val="24"/>
              </w:rPr>
              <w:t xml:space="preserve">1.1. La prueba indiciaria y el método de adminiculación probatoria</w:t>
            </w:r>
            <w:r>
              <w:rPr>
                <w:rFonts w:ascii="Arial" w:eastAsia="Arial" w:hAnsi="Arial" w:cs="Arial"/>
                <w:noProof/>
                <w:sz w:val="24"/>
                <w:szCs w:val="24"/>
              </w:rPr>
              <w:tab/>
            </w:r>
            <w:r>
              <w:rPr>
                <w:rFonts w:ascii="Arial" w:eastAsia="Arial" w:hAnsi="Arial" w:cs="Arial"/>
                <w:noProof/>
                <w:sz w:val="24"/>
                <w:szCs w:val="24"/>
              </w:rPr>
              <w:fldChar w:fldCharType="begin"/>
            </w:r>
            <w:r>
              <w:rPr>
                <w:rFonts w:ascii="Arial" w:eastAsia="Arial" w:hAnsi="Arial" w:cs="Arial"/>
                <w:noProof/>
                <w:sz w:val="24"/>
                <w:szCs w:val="24"/>
              </w:rPr>
              <w:instrText xml:space="preserve"> PAGEREF _Toc9000007 \h </w:instrText>
            </w:r>
            <w:r>
              <w:rPr>
                <w:rFonts w:ascii="Arial" w:eastAsia="Arial" w:hAnsi="Arial" w:cs="Arial"/>
                <w:noProof/>
                <w:sz w:val="24"/>
                <w:szCs w:val="24"/>
              </w:rPr>
              <w:fldChar w:fldCharType="separate"/>
            </w:r>
            <w:r>
              <w:rPr>
                <w:rFonts w:ascii="Arial" w:eastAsia="Arial" w:hAnsi="Arial" w:cs="Arial"/>
                <w:noProof/>
                <w:sz w:val="24"/>
                <w:szCs w:val="24"/>
              </w:rPr>
              <w:t>1</w:t>
            </w:r>
            <w:r>
              <w:rPr>
                <w:rFonts w:ascii="Arial" w:eastAsia="Arial" w:hAnsi="Arial" w:cs="Arial"/>
                <w:noProof/>
                <w:sz w:val="24"/>
                <w:szCs w:val="24"/>
              </w:rPr>
              <w:fldChar w:fldCharType="end"/>
            </w:r>
          </w:hyperlink>
        </w:p>
        <w:p>
          <w:pPr>
            <w:pStyle w:val="TDC2"/>
            <w:tabs>
              <w:tab w:val="right" w:leader="dot" w:pos="8838"/>
            </w:tabs>
            <w:spacing w:before="0" w:after="20" w:line="240" w:lineRule="auto"/>
            <w:ind w:left="567" w:hanging="567"/>
            <w:jc w:val="left"/>
            <w:rPr>
              <w:noProof/>
            </w:rPr>
          </w:pPr>
          <w:hyperlink w:anchor="_Toc9000008" w:history="1">
            <w:r>
              <w:rPr>
                <w:rFonts w:ascii="Arial" w:eastAsia="Arial" w:hAnsi="Arial" w:cs="Arial"/>
                <w:noProof/>
                <w:sz w:val="24"/>
                <w:szCs w:val="24"/>
              </w:rPr>
              <w:t xml:space="preserve">1.2. La distinción entre valoración de la prueba y estándar de prueba</w:t>
            </w:r>
            <w:r>
              <w:rPr>
                <w:rFonts w:ascii="Arial" w:eastAsia="Arial" w:hAnsi="Arial" w:cs="Arial"/>
                <w:noProof/>
                <w:sz w:val="24"/>
                <w:szCs w:val="24"/>
              </w:rPr>
              <w:tab/>
            </w:r>
            <w:r>
              <w:rPr>
                <w:rFonts w:ascii="Arial" w:eastAsia="Arial" w:hAnsi="Arial" w:cs="Arial"/>
                <w:noProof/>
                <w:sz w:val="24"/>
                <w:szCs w:val="24"/>
              </w:rPr>
              <w:fldChar w:fldCharType="begin"/>
            </w:r>
            <w:r>
              <w:rPr>
                <w:rFonts w:ascii="Arial" w:eastAsia="Arial" w:hAnsi="Arial" w:cs="Arial"/>
                <w:noProof/>
                <w:sz w:val="24"/>
                <w:szCs w:val="24"/>
              </w:rPr>
              <w:instrText xml:space="preserve"> PAGEREF _Toc9000008 \h </w:instrText>
            </w:r>
            <w:r>
              <w:rPr>
                <w:rFonts w:ascii="Arial" w:eastAsia="Arial" w:hAnsi="Arial" w:cs="Arial"/>
                <w:noProof/>
                <w:sz w:val="24"/>
                <w:szCs w:val="24"/>
              </w:rPr>
              <w:fldChar w:fldCharType="separate"/>
            </w:r>
            <w:r>
              <w:rPr>
                <w:rFonts w:ascii="Arial" w:eastAsia="Arial" w:hAnsi="Arial" w:cs="Arial"/>
                <w:noProof/>
                <w:sz w:val="24"/>
                <w:szCs w:val="24"/>
              </w:rPr>
              <w:t>22</w:t>
            </w:r>
            <w:r>
              <w:rPr>
                <w:rFonts w:ascii="Arial" w:eastAsia="Arial" w:hAnsi="Arial" w:cs="Arial"/>
                <w:noProof/>
                <w:sz w:val="24"/>
                <w:szCs w:val="24"/>
              </w:rPr>
              <w:fldChar w:fldCharType="end"/>
            </w:r>
          </w:hyperlink>
        </w:p>
        <w:p>
          <w:pPr>
            <w:pStyle w:val="TDC2"/>
            <w:tabs>
              <w:tab w:val="right" w:leader="dot" w:pos="8838"/>
            </w:tabs>
            <w:spacing w:before="0" w:after="20" w:line="240" w:lineRule="auto"/>
            <w:ind w:left="567" w:hanging="567"/>
            <w:jc w:val="left"/>
            <w:rPr>
              <w:noProof/>
            </w:rPr>
          </w:pPr>
          <w:hyperlink w:anchor="_Toc9000009" w:history="1">
            <w:r>
              <w:rPr>
                <w:rFonts w:ascii="Arial" w:eastAsia="Arial" w:hAnsi="Arial" w:cs="Arial"/>
                <w:noProof/>
                <w:sz w:val="24"/>
                <w:szCs w:val="24"/>
              </w:rPr>
              <w:t xml:space="preserve">1.3. Los requisitos metodológicos de un estándar de prueba válido</w:t>
            </w:r>
            <w:r>
              <w:rPr>
                <w:rFonts w:ascii="Arial" w:eastAsia="Arial" w:hAnsi="Arial" w:cs="Arial"/>
                <w:noProof/>
                <w:sz w:val="24"/>
                <w:szCs w:val="24"/>
              </w:rPr>
              <w:tab/>
            </w:r>
            <w:r>
              <w:rPr>
                <w:rFonts w:ascii="Arial" w:eastAsia="Arial" w:hAnsi="Arial" w:cs="Arial"/>
                <w:noProof/>
                <w:sz w:val="24"/>
                <w:szCs w:val="24"/>
              </w:rPr>
              <w:fldChar w:fldCharType="begin"/>
            </w:r>
            <w:r>
              <w:rPr>
                <w:rFonts w:ascii="Arial" w:eastAsia="Arial" w:hAnsi="Arial" w:cs="Arial"/>
                <w:noProof/>
                <w:sz w:val="24"/>
                <w:szCs w:val="24"/>
              </w:rPr>
              <w:instrText xml:space="preserve"> PAGEREF _Toc9000009 \h </w:instrText>
            </w:r>
            <w:r>
              <w:rPr>
                <w:rFonts w:ascii="Arial" w:eastAsia="Arial" w:hAnsi="Arial" w:cs="Arial"/>
                <w:noProof/>
                <w:sz w:val="24"/>
                <w:szCs w:val="24"/>
              </w:rPr>
              <w:fldChar w:fldCharType="separate"/>
            </w:r>
            <w:r>
              <w:rPr>
                <w:rFonts w:ascii="Arial" w:eastAsia="Arial" w:hAnsi="Arial" w:cs="Arial"/>
                <w:noProof/>
                <w:sz w:val="24"/>
                <w:szCs w:val="24"/>
              </w:rPr>
              <w:t>44</w:t>
            </w:r>
            <w:r>
              <w:rPr>
                <w:rFonts w:ascii="Arial" w:eastAsia="Arial" w:hAnsi="Arial" w:cs="Arial"/>
                <w:noProof/>
                <w:sz w:val="24"/>
                <w:szCs w:val="24"/>
              </w:rPr>
              <w:fldChar w:fldCharType="end"/>
            </w:r>
          </w:hyperlink>
        </w:p>
        <w:p>
          <w:pPr>
            <w:pStyle w:val="TDC1"/>
            <w:tabs>
              <w:tab w:val="right" w:leader="dot" w:pos="8838"/>
            </w:tabs>
            <w:spacing w:before="0" w:after="20" w:line="240" w:lineRule="auto"/>
            <w:ind w:left="0" w:firstLine="0"/>
            <w:jc w:val="left"/>
            <w:rPr>
              <w:noProof/>
            </w:rPr>
          </w:pPr>
          <w:hyperlink w:anchor="_Toc9000010" w:history="1">
            <w:r>
              <w:rPr>
                <w:rFonts w:ascii="Arial" w:eastAsia="Arial" w:hAnsi="Arial" w:cs="Arial"/>
                <w:b/>
                <w:bCs/>
                <w:noProof/>
                <w:sz w:val="24"/>
                <w:szCs w:val="24"/>
              </w:rPr>
              <w:t xml:space="preserve">Capítulo II. El puente conceptual entre estándar de prueba y determinancia electoral, y el origen de la cláusula híbrida</w:t>
            </w:r>
            <w:r>
              <w:rPr>
                <w:rFonts w:ascii="Arial" w:eastAsia="Arial" w:hAnsi="Arial" w:cs="Arial"/>
                <w:noProof/>
                <w:sz w:val="24"/>
                <w:szCs w:val="24"/>
              </w:rPr>
              <w:tab/>
            </w:r>
            <w:r>
              <w:rPr>
                <w:rFonts w:ascii="Arial" w:eastAsia="Arial" w:hAnsi="Arial" w:cs="Arial"/>
                <w:noProof/>
                <w:sz w:val="24"/>
                <w:szCs w:val="24"/>
              </w:rPr>
              <w:fldChar w:fldCharType="begin"/>
            </w:r>
            <w:r>
              <w:rPr>
                <w:rFonts w:ascii="Arial" w:eastAsia="Arial" w:hAnsi="Arial" w:cs="Arial"/>
                <w:noProof/>
                <w:sz w:val="24"/>
                <w:szCs w:val="24"/>
              </w:rPr>
              <w:instrText xml:space="preserve"> PAGEREF _Toc9000010 \h </w:instrText>
            </w:r>
            <w:r>
              <w:rPr>
                <w:rFonts w:ascii="Arial" w:eastAsia="Arial" w:hAnsi="Arial" w:cs="Arial"/>
                <w:noProof/>
                <w:sz w:val="24"/>
                <w:szCs w:val="24"/>
              </w:rPr>
              <w:fldChar w:fldCharType="separate"/>
            </w:r>
            <w:r>
              <w:rPr>
                <w:rFonts w:ascii="Arial" w:eastAsia="Arial" w:hAnsi="Arial" w:cs="Arial"/>
                <w:noProof/>
                <w:sz w:val="24"/>
                <w:szCs w:val="24"/>
              </w:rPr>
              <w:t>67</w:t>
            </w:r>
            <w:r>
              <w:rPr>
                <w:rFonts w:ascii="Arial" w:eastAsia="Arial" w:hAnsi="Arial" w:cs="Arial"/>
                <w:noProof/>
                <w:sz w:val="24"/>
                <w:szCs w:val="24"/>
              </w:rPr>
              <w:fldChar w:fldCharType="end"/>
            </w:r>
          </w:hyperlink>
        </w:p>
        <w:p>
          <w:pPr>
            <w:pStyle w:val="TDC2"/>
            <w:tabs>
              <w:tab w:val="right" w:leader="dot" w:pos="8838"/>
            </w:tabs>
            <w:spacing w:before="0" w:after="20" w:line="240" w:lineRule="auto"/>
            <w:ind w:left="567" w:hanging="567"/>
            <w:jc w:val="left"/>
            <w:rPr>
              <w:noProof/>
            </w:rPr>
          </w:pPr>
          <w:hyperlink w:anchor="_Toc9000011" w:history="1">
            <w:r>
              <w:rPr>
                <w:rFonts w:ascii="Arial" w:eastAsia="Arial" w:hAnsi="Arial" w:cs="Arial"/>
                <w:noProof/>
                <w:sz w:val="24"/>
                <w:szCs w:val="24"/>
              </w:rPr>
              <w:t xml:space="preserve">2.1. La sana crítica como error de categoría en la doctrina mexicana de la determinancia electoral</w:t>
            </w:r>
            <w:r>
              <w:rPr>
                <w:rFonts w:ascii="Arial" w:eastAsia="Arial" w:hAnsi="Arial" w:cs="Arial"/>
                <w:noProof/>
                <w:sz w:val="24"/>
                <w:szCs w:val="24"/>
              </w:rPr>
              <w:tab/>
            </w:r>
            <w:r>
              <w:rPr>
                <w:rFonts w:ascii="Arial" w:eastAsia="Arial" w:hAnsi="Arial" w:cs="Arial"/>
                <w:noProof/>
                <w:sz w:val="24"/>
                <w:szCs w:val="24"/>
              </w:rPr>
              <w:fldChar w:fldCharType="begin"/>
            </w:r>
            <w:r>
              <w:rPr>
                <w:rFonts w:ascii="Arial" w:eastAsia="Arial" w:hAnsi="Arial" w:cs="Arial"/>
                <w:noProof/>
                <w:sz w:val="24"/>
                <w:szCs w:val="24"/>
              </w:rPr>
              <w:instrText xml:space="preserve"> PAGEREF _Toc9000011 \h </w:instrText>
            </w:r>
            <w:r>
              <w:rPr>
                <w:rFonts w:ascii="Arial" w:eastAsia="Arial" w:hAnsi="Arial" w:cs="Arial"/>
                <w:noProof/>
                <w:sz w:val="24"/>
                <w:szCs w:val="24"/>
              </w:rPr>
              <w:fldChar w:fldCharType="separate"/>
            </w:r>
            <w:r>
              <w:rPr>
                <w:rFonts w:ascii="Arial" w:eastAsia="Arial" w:hAnsi="Arial" w:cs="Arial"/>
                <w:noProof/>
                <w:sz w:val="24"/>
                <w:szCs w:val="24"/>
              </w:rPr>
              <w:t>67</w:t>
            </w:r>
            <w:r>
              <w:rPr>
                <w:rFonts w:ascii="Arial" w:eastAsia="Arial" w:hAnsi="Arial" w:cs="Arial"/>
                <w:noProof/>
                <w:sz w:val="24"/>
                <w:szCs w:val="24"/>
              </w:rPr>
              <w:fldChar w:fldCharType="end"/>
            </w:r>
          </w:hyperlink>
        </w:p>
        <w:p>
          <w:pPr>
            <w:pStyle w:val="TDC2"/>
            <w:tabs>
              <w:tab w:val="right" w:leader="dot" w:pos="8838"/>
            </w:tabs>
            <w:spacing w:before="0" w:after="20" w:line="240" w:lineRule="auto"/>
            <w:ind w:left="567" w:hanging="567"/>
            <w:jc w:val="left"/>
            <w:rPr>
              <w:noProof/>
            </w:rPr>
          </w:pPr>
          <w:hyperlink w:anchor="_Toc9000012" w:history="1">
            <w:r>
              <w:rPr>
                <w:rFonts w:ascii="Arial" w:eastAsia="Arial" w:hAnsi="Arial" w:cs="Arial"/>
                <w:noProof/>
                <w:sz w:val="24"/>
                <w:szCs w:val="24"/>
              </w:rPr>
              <w:t xml:space="preserve">2.2. El origen normativo de la cláusula híbrida: la jurisprudencia 38/2002 y la sentencia SUP-JRC-487/2000</w:t>
            </w:r>
            <w:r>
              <w:rPr>
                <w:rFonts w:ascii="Arial" w:eastAsia="Arial" w:hAnsi="Arial" w:cs="Arial"/>
                <w:noProof/>
                <w:sz w:val="24"/>
                <w:szCs w:val="24"/>
              </w:rPr>
              <w:tab/>
            </w:r>
            <w:r>
              <w:rPr>
                <w:rFonts w:ascii="Arial" w:eastAsia="Arial" w:hAnsi="Arial" w:cs="Arial"/>
                <w:noProof/>
                <w:sz w:val="24"/>
                <w:szCs w:val="24"/>
              </w:rPr>
              <w:fldChar w:fldCharType="begin"/>
            </w:r>
            <w:r>
              <w:rPr>
                <w:rFonts w:ascii="Arial" w:eastAsia="Arial" w:hAnsi="Arial" w:cs="Arial"/>
                <w:noProof/>
                <w:sz w:val="24"/>
                <w:szCs w:val="24"/>
              </w:rPr>
              <w:instrText xml:space="preserve"> PAGEREF _Toc9000012 \h </w:instrText>
            </w:r>
            <w:r>
              <w:rPr>
                <w:rFonts w:ascii="Arial" w:eastAsia="Arial" w:hAnsi="Arial" w:cs="Arial"/>
                <w:noProof/>
                <w:sz w:val="24"/>
                <w:szCs w:val="24"/>
              </w:rPr>
              <w:fldChar w:fldCharType="separate"/>
            </w:r>
            <w:r>
              <w:rPr>
                <w:rFonts w:ascii="Arial" w:eastAsia="Arial" w:hAnsi="Arial" w:cs="Arial"/>
                <w:noProof/>
                <w:sz w:val="24"/>
                <w:szCs w:val="24"/>
              </w:rPr>
              <w:t>82</w:t>
            </w:r>
            <w:r>
              <w:rPr>
                <w:rFonts w:ascii="Arial" w:eastAsia="Arial" w:hAnsi="Arial" w:cs="Arial"/>
                <w:noProof/>
                <w:sz w:val="24"/>
                <w:szCs w:val="24"/>
              </w:rPr>
              <w:fldChar w:fldCharType="end"/>
            </w:r>
          </w:hyperlink>
        </w:p>
        <w:p>
          <w:pPr>
            <w:pStyle w:val="TDC2"/>
            <w:tabs>
              <w:tab w:val="right" w:leader="dot" w:pos="8838"/>
            </w:tabs>
            <w:spacing w:before="0" w:after="20" w:line="240" w:lineRule="auto"/>
            <w:ind w:left="567" w:hanging="567"/>
            <w:jc w:val="left"/>
            <w:rPr>
              <w:noProof/>
            </w:rPr>
          </w:pPr>
          <w:hyperlink w:anchor="_Toc9000013" w:history="1">
            <w:r>
              <w:rPr>
                <w:rFonts w:ascii="Arial" w:eastAsia="Arial" w:hAnsi="Arial" w:cs="Arial"/>
                <w:noProof/>
                <w:sz w:val="24"/>
                <w:szCs w:val="24"/>
              </w:rPr>
              <w:t xml:space="preserve">2.3. El voto particular de 2000 frente a la sentencia mayoritaria</w:t>
            </w:r>
            <w:r>
              <w:rPr>
                <w:rFonts w:ascii="Arial" w:eastAsia="Arial" w:hAnsi="Arial" w:cs="Arial"/>
                <w:noProof/>
                <w:sz w:val="24"/>
                <w:szCs w:val="24"/>
              </w:rPr>
              <w:tab/>
            </w:r>
            <w:r>
              <w:rPr>
                <w:rFonts w:ascii="Arial" w:eastAsia="Arial" w:hAnsi="Arial" w:cs="Arial"/>
                <w:noProof/>
                <w:sz w:val="24"/>
                <w:szCs w:val="24"/>
              </w:rPr>
              <w:fldChar w:fldCharType="begin"/>
            </w:r>
            <w:r>
              <w:rPr>
                <w:rFonts w:ascii="Arial" w:eastAsia="Arial" w:hAnsi="Arial" w:cs="Arial"/>
                <w:noProof/>
                <w:sz w:val="24"/>
                <w:szCs w:val="24"/>
              </w:rPr>
              <w:instrText xml:space="preserve"> PAGEREF _Toc9000013 \h </w:instrText>
            </w:r>
            <w:r>
              <w:rPr>
                <w:rFonts w:ascii="Arial" w:eastAsia="Arial" w:hAnsi="Arial" w:cs="Arial"/>
                <w:noProof/>
                <w:sz w:val="24"/>
                <w:szCs w:val="24"/>
              </w:rPr>
              <w:fldChar w:fldCharType="separate"/>
            </w:r>
            <w:r>
              <w:rPr>
                <w:rFonts w:ascii="Arial" w:eastAsia="Arial" w:hAnsi="Arial" w:cs="Arial"/>
                <w:noProof/>
                <w:sz w:val="24"/>
                <w:szCs w:val="24"/>
              </w:rPr>
              <w:t>93</w:t>
            </w:r>
            <w:r>
              <w:rPr>
                <w:rFonts w:ascii="Arial" w:eastAsia="Arial" w:hAnsi="Arial" w:cs="Arial"/>
                <w:noProof/>
                <w:sz w:val="24"/>
                <w:szCs w:val="24"/>
              </w:rPr>
              <w:fldChar w:fldCharType="end"/>
            </w:r>
          </w:hyperlink>
        </w:p>
        <w:p>
          <w:pPr>
            <w:pStyle w:val="TDC1"/>
            <w:tabs>
              <w:tab w:val="right" w:leader="dot" w:pos="8838"/>
            </w:tabs>
            <w:spacing w:before="0" w:after="20" w:line="240" w:lineRule="auto"/>
            <w:ind w:left="0" w:firstLine="0"/>
            <w:jc w:val="left"/>
            <w:rPr>
              <w:noProof/>
            </w:rPr>
          </w:pPr>
          <w:hyperlink w:anchor="_Toc9000014" w:history="1">
            <w:r>
              <w:rPr>
                <w:rFonts w:ascii="Arial" w:eastAsia="Arial" w:hAnsi="Arial" w:cs="Arial"/>
                <w:b/>
                <w:bCs/>
                <w:noProof/>
                <w:sz w:val="24"/>
                <w:szCs w:val="24"/>
              </w:rPr>
              <w:t xml:space="preserve">Capítulo III. La persistencia de la cláusula híbrida veinticinco años después</w:t>
            </w:r>
            <w:r>
              <w:rPr>
                <w:rFonts w:ascii="Arial" w:eastAsia="Arial" w:hAnsi="Arial" w:cs="Arial"/>
                <w:noProof/>
                <w:sz w:val="24"/>
                <w:szCs w:val="24"/>
              </w:rPr>
              <w:tab/>
            </w:r>
            <w:r>
              <w:rPr>
                <w:rFonts w:ascii="Arial" w:eastAsia="Arial" w:hAnsi="Arial" w:cs="Arial"/>
                <w:noProof/>
                <w:sz w:val="24"/>
                <w:szCs w:val="24"/>
              </w:rPr>
              <w:fldChar w:fldCharType="begin"/>
            </w:r>
            <w:r>
              <w:rPr>
                <w:rFonts w:ascii="Arial" w:eastAsia="Arial" w:hAnsi="Arial" w:cs="Arial"/>
                <w:noProof/>
                <w:sz w:val="24"/>
                <w:szCs w:val="24"/>
              </w:rPr>
              <w:instrText xml:space="preserve"> PAGEREF _Toc9000014 \h </w:instrText>
            </w:r>
            <w:r>
              <w:rPr>
                <w:rFonts w:ascii="Arial" w:eastAsia="Arial" w:hAnsi="Arial" w:cs="Arial"/>
                <w:noProof/>
                <w:sz w:val="24"/>
                <w:szCs w:val="24"/>
              </w:rPr>
              <w:fldChar w:fldCharType="separate"/>
            </w:r>
            <w:r>
              <w:rPr>
                <w:rFonts w:ascii="Arial" w:eastAsia="Arial" w:hAnsi="Arial" w:cs="Arial"/>
                <w:noProof/>
                <w:sz w:val="24"/>
                <w:szCs w:val="24"/>
              </w:rPr>
              <w:t>100</w:t>
            </w:r>
            <w:r>
              <w:rPr>
                <w:rFonts w:ascii="Arial" w:eastAsia="Arial" w:hAnsi="Arial" w:cs="Arial"/>
                <w:noProof/>
                <w:sz w:val="24"/>
                <w:szCs w:val="24"/>
              </w:rPr>
              <w:fldChar w:fldCharType="end"/>
            </w:r>
          </w:hyperlink>
        </w:p>
        <w:p>
          <w:pPr>
            <w:pStyle w:val="TDC2"/>
            <w:tabs>
              <w:tab w:val="right" w:leader="dot" w:pos="8838"/>
            </w:tabs>
            <w:spacing w:before="0" w:after="20" w:line="240" w:lineRule="auto"/>
            <w:ind w:left="567" w:hanging="567"/>
            <w:jc w:val="left"/>
            <w:rPr>
              <w:noProof/>
            </w:rPr>
          </w:pPr>
          <w:hyperlink w:anchor="_Toc9000015" w:history="1">
            <w:r>
              <w:rPr>
                <w:rFonts w:ascii="Arial" w:eastAsia="Arial" w:hAnsi="Arial" w:cs="Arial"/>
                <w:noProof/>
                <w:sz w:val="24"/>
                <w:szCs w:val="24"/>
              </w:rPr>
              <w:t xml:space="preserve">3.1. La fórmula híbrida en la sentencia SUP-JIN-194/2025</w:t>
            </w:r>
            <w:r>
              <w:rPr>
                <w:rFonts w:ascii="Arial" w:eastAsia="Arial" w:hAnsi="Arial" w:cs="Arial"/>
                <w:noProof/>
                <w:sz w:val="24"/>
                <w:szCs w:val="24"/>
              </w:rPr>
              <w:tab/>
            </w:r>
            <w:r>
              <w:rPr>
                <w:rFonts w:ascii="Arial" w:eastAsia="Arial" w:hAnsi="Arial" w:cs="Arial"/>
                <w:noProof/>
                <w:sz w:val="24"/>
                <w:szCs w:val="24"/>
              </w:rPr>
              <w:fldChar w:fldCharType="begin"/>
            </w:r>
            <w:r>
              <w:rPr>
                <w:rFonts w:ascii="Arial" w:eastAsia="Arial" w:hAnsi="Arial" w:cs="Arial"/>
                <w:noProof/>
                <w:sz w:val="24"/>
                <w:szCs w:val="24"/>
              </w:rPr>
              <w:instrText xml:space="preserve"> PAGEREF _Toc9000015 \h </w:instrText>
            </w:r>
            <w:r>
              <w:rPr>
                <w:rFonts w:ascii="Arial" w:eastAsia="Arial" w:hAnsi="Arial" w:cs="Arial"/>
                <w:noProof/>
                <w:sz w:val="24"/>
                <w:szCs w:val="24"/>
              </w:rPr>
              <w:fldChar w:fldCharType="separate"/>
            </w:r>
            <w:r>
              <w:rPr>
                <w:rFonts w:ascii="Arial" w:eastAsia="Arial" w:hAnsi="Arial" w:cs="Arial"/>
                <w:noProof/>
                <w:sz w:val="24"/>
                <w:szCs w:val="24"/>
              </w:rPr>
              <w:t>100</w:t>
            </w:r>
            <w:r>
              <w:rPr>
                <w:rFonts w:ascii="Arial" w:eastAsia="Arial" w:hAnsi="Arial" w:cs="Arial"/>
                <w:noProof/>
                <w:sz w:val="24"/>
                <w:szCs w:val="24"/>
              </w:rPr>
              <w:fldChar w:fldCharType="end"/>
            </w:r>
          </w:hyperlink>
        </w:p>
        <w:p>
          <w:pPr>
            <w:pStyle w:val="TDC2"/>
            <w:tabs>
              <w:tab w:val="right" w:leader="dot" w:pos="8838"/>
            </w:tabs>
            <w:spacing w:before="0" w:after="20" w:line="240" w:lineRule="auto"/>
            <w:ind w:left="567" w:hanging="567"/>
            <w:jc w:val="left"/>
            <w:rPr>
              <w:noProof/>
            </w:rPr>
          </w:pPr>
          <w:hyperlink w:anchor="_Toc9000016" w:history="1">
            <w:r>
              <w:rPr>
                <w:rFonts w:ascii="Arial" w:eastAsia="Arial" w:hAnsi="Arial" w:cs="Arial"/>
                <w:noProof/>
                <w:sz w:val="24"/>
                <w:szCs w:val="24"/>
              </w:rPr>
              <w:t xml:space="preserve">3.2. El voto particular de 2025 frente al de 2000: la aparición de la crítica</w:t>
            </w:r>
            <w:r>
              <w:rPr>
                <w:rFonts w:ascii="Arial" w:eastAsia="Arial" w:hAnsi="Arial" w:cs="Arial"/>
                <w:noProof/>
                <w:sz w:val="24"/>
                <w:szCs w:val="24"/>
              </w:rPr>
              <w:tab/>
            </w:r>
            <w:r>
              <w:rPr>
                <w:rFonts w:ascii="Arial" w:eastAsia="Arial" w:hAnsi="Arial" w:cs="Arial"/>
                <w:noProof/>
                <w:sz w:val="24"/>
                <w:szCs w:val="24"/>
              </w:rPr>
              <w:fldChar w:fldCharType="begin"/>
            </w:r>
            <w:r>
              <w:rPr>
                <w:rFonts w:ascii="Arial" w:eastAsia="Arial" w:hAnsi="Arial" w:cs="Arial"/>
                <w:noProof/>
                <w:sz w:val="24"/>
                <w:szCs w:val="24"/>
              </w:rPr>
              <w:instrText xml:space="preserve"> PAGEREF _Toc9000016 \h </w:instrText>
            </w:r>
            <w:r>
              <w:rPr>
                <w:rFonts w:ascii="Arial" w:eastAsia="Arial" w:hAnsi="Arial" w:cs="Arial"/>
                <w:noProof/>
                <w:sz w:val="24"/>
                <w:szCs w:val="24"/>
              </w:rPr>
              <w:fldChar w:fldCharType="separate"/>
            </w:r>
            <w:r>
              <w:rPr>
                <w:rFonts w:ascii="Arial" w:eastAsia="Arial" w:hAnsi="Arial" w:cs="Arial"/>
                <w:noProof/>
                <w:sz w:val="24"/>
                <w:szCs w:val="24"/>
              </w:rPr>
              <w:t>113</w:t>
            </w:r>
            <w:r>
              <w:rPr>
                <w:rFonts w:ascii="Arial" w:eastAsia="Arial" w:hAnsi="Arial" w:cs="Arial"/>
                <w:noProof/>
                <w:sz w:val="24"/>
                <w:szCs w:val="24"/>
              </w:rPr>
              <w:fldChar w:fldCharType="end"/>
            </w:r>
          </w:hyperlink>
        </w:p>
        <w:p>
          <w:pPr>
            <w:pStyle w:val="TDC2"/>
            <w:tabs>
              <w:tab w:val="right" w:leader="dot" w:pos="8838"/>
            </w:tabs>
            <w:spacing w:before="0" w:after="20" w:line="240" w:lineRule="auto"/>
            <w:ind w:left="567" w:hanging="567"/>
            <w:jc w:val="left"/>
            <w:rPr>
              <w:noProof/>
            </w:rPr>
          </w:pPr>
          <w:hyperlink w:anchor="_Toc9000017" w:history="1">
            <w:r>
              <w:rPr>
                <w:rFonts w:ascii="Arial" w:eastAsia="Arial" w:hAnsi="Arial" w:cs="Arial"/>
                <w:noProof/>
                <w:sz w:val="24"/>
                <w:szCs w:val="24"/>
              </w:rPr>
              <w:t xml:space="preserve">3.3. Caracterización teórica de la cláusula del artículo 16 de la LGSMIME como cláusula mixta</w:t>
            </w:r>
            <w:r>
              <w:rPr>
                <w:rFonts w:ascii="Arial" w:eastAsia="Arial" w:hAnsi="Arial" w:cs="Arial"/>
                <w:noProof/>
                <w:sz w:val="24"/>
                <w:szCs w:val="24"/>
              </w:rPr>
              <w:tab/>
            </w:r>
            <w:r>
              <w:rPr>
                <w:rFonts w:ascii="Arial" w:eastAsia="Arial" w:hAnsi="Arial" w:cs="Arial"/>
                <w:noProof/>
                <w:sz w:val="24"/>
                <w:szCs w:val="24"/>
              </w:rPr>
              <w:fldChar w:fldCharType="begin"/>
            </w:r>
            <w:r>
              <w:rPr>
                <w:rFonts w:ascii="Arial" w:eastAsia="Arial" w:hAnsi="Arial" w:cs="Arial"/>
                <w:noProof/>
                <w:sz w:val="24"/>
                <w:szCs w:val="24"/>
              </w:rPr>
              <w:instrText xml:space="preserve"> PAGEREF _Toc9000017 \h </w:instrText>
            </w:r>
            <w:r>
              <w:rPr>
                <w:rFonts w:ascii="Arial" w:eastAsia="Arial" w:hAnsi="Arial" w:cs="Arial"/>
                <w:noProof/>
                <w:sz w:val="24"/>
                <w:szCs w:val="24"/>
              </w:rPr>
              <w:fldChar w:fldCharType="separate"/>
            </w:r>
            <w:r>
              <w:rPr>
                <w:rFonts w:ascii="Arial" w:eastAsia="Arial" w:hAnsi="Arial" w:cs="Arial"/>
                <w:noProof/>
                <w:sz w:val="24"/>
                <w:szCs w:val="24"/>
              </w:rPr>
              <w:t>128</w:t>
            </w:r>
            <w:r>
              <w:rPr>
                <w:rFonts w:ascii="Arial" w:eastAsia="Arial" w:hAnsi="Arial" w:cs="Arial"/>
                <w:noProof/>
                <w:sz w:val="24"/>
                <w:szCs w:val="24"/>
              </w:rPr>
              <w:fldChar w:fldCharType="end"/>
            </w:r>
          </w:hyperlink>
        </w:p>
        <w:p>
          <w:pPr>
            <w:pStyle w:val="TDC1"/>
            <w:tabs>
              <w:tab w:val="right" w:leader="dot" w:pos="8838"/>
            </w:tabs>
            <w:spacing w:before="0" w:after="20" w:line="240" w:lineRule="auto"/>
            <w:ind w:left="0" w:firstLine="0"/>
            <w:jc w:val="left"/>
            <w:rPr>
              <w:noProof/>
            </w:rPr>
          </w:pPr>
          <w:hyperlink w:anchor="_Toc9000018" w:history="1">
            <w:r>
              <w:rPr>
                <w:rFonts w:ascii="Arial" w:eastAsia="Arial" w:hAnsi="Arial" w:cs="Arial"/>
                <w:b/>
                <w:bCs/>
                <w:noProof/>
                <w:sz w:val="24"/>
                <w:szCs w:val="24"/>
              </w:rPr>
              <w:t xml:space="preserve">Capítulo IV. El fundamento metodológico de un estándar de prueba propio para la materia electoral</w:t>
            </w:r>
            <w:r>
              <w:rPr>
                <w:rFonts w:ascii="Arial" w:eastAsia="Arial" w:hAnsi="Arial" w:cs="Arial"/>
                <w:noProof/>
                <w:sz w:val="24"/>
                <w:szCs w:val="24"/>
              </w:rPr>
              <w:tab/>
            </w:r>
            <w:r>
              <w:rPr>
                <w:rFonts w:ascii="Arial" w:eastAsia="Arial" w:hAnsi="Arial" w:cs="Arial"/>
                <w:noProof/>
                <w:sz w:val="24"/>
                <w:szCs w:val="24"/>
              </w:rPr>
              <w:fldChar w:fldCharType="begin"/>
            </w:r>
            <w:r>
              <w:rPr>
                <w:rFonts w:ascii="Arial" w:eastAsia="Arial" w:hAnsi="Arial" w:cs="Arial"/>
                <w:noProof/>
                <w:sz w:val="24"/>
                <w:szCs w:val="24"/>
              </w:rPr>
              <w:instrText xml:space="preserve"> PAGEREF _Toc9000018 \h </w:instrText>
            </w:r>
            <w:r>
              <w:rPr>
                <w:rFonts w:ascii="Arial" w:eastAsia="Arial" w:hAnsi="Arial" w:cs="Arial"/>
                <w:noProof/>
                <w:sz w:val="24"/>
                <w:szCs w:val="24"/>
              </w:rPr>
              <w:fldChar w:fldCharType="separate"/>
            </w:r>
            <w:r>
              <w:rPr>
                <w:rFonts w:ascii="Arial" w:eastAsia="Arial" w:hAnsi="Arial" w:cs="Arial"/>
                <w:noProof/>
                <w:sz w:val="24"/>
                <w:szCs w:val="24"/>
              </w:rPr>
              <w:t>141</w:t>
            </w:r>
            <w:r>
              <w:rPr>
                <w:rFonts w:ascii="Arial" w:eastAsia="Arial" w:hAnsi="Arial" w:cs="Arial"/>
                <w:noProof/>
                <w:sz w:val="24"/>
                <w:szCs w:val="24"/>
              </w:rPr>
              <w:fldChar w:fldCharType="end"/>
            </w:r>
          </w:hyperlink>
        </w:p>
        <w:p>
          <w:pPr>
            <w:pStyle w:val="TDC2"/>
            <w:tabs>
              <w:tab w:val="right" w:leader="dot" w:pos="8838"/>
            </w:tabs>
            <w:spacing w:before="0" w:after="20" w:line="240" w:lineRule="auto"/>
            <w:ind w:left="567" w:hanging="567"/>
            <w:jc w:val="left"/>
            <w:rPr>
              <w:noProof/>
            </w:rPr>
          </w:pPr>
          <w:hyperlink w:anchor="_Toc9000019" w:history="1">
            <w:r>
              <w:rPr>
                <w:rFonts w:ascii="Arial" w:eastAsia="Arial" w:hAnsi="Arial" w:cs="Arial"/>
                <w:noProof/>
                <w:sz w:val="24"/>
                <w:szCs w:val="24"/>
              </w:rPr>
              <w:t xml:space="preserve">4.1. La distribución del riesgo del error como función del estándar de prueba</w:t>
            </w:r>
            <w:r>
              <w:rPr>
                <w:rFonts w:ascii="Arial" w:eastAsia="Arial" w:hAnsi="Arial" w:cs="Arial"/>
                <w:noProof/>
                <w:sz w:val="24"/>
                <w:szCs w:val="24"/>
              </w:rPr>
              <w:tab/>
            </w:r>
            <w:r>
              <w:rPr>
                <w:rFonts w:ascii="Arial" w:eastAsia="Arial" w:hAnsi="Arial" w:cs="Arial"/>
                <w:noProof/>
                <w:sz w:val="24"/>
                <w:szCs w:val="24"/>
              </w:rPr>
              <w:fldChar w:fldCharType="begin"/>
            </w:r>
            <w:r>
              <w:rPr>
                <w:rFonts w:ascii="Arial" w:eastAsia="Arial" w:hAnsi="Arial" w:cs="Arial"/>
                <w:noProof/>
                <w:sz w:val="24"/>
                <w:szCs w:val="24"/>
              </w:rPr>
              <w:instrText xml:space="preserve"> PAGEREF _Toc9000019 \h </w:instrText>
            </w:r>
            <w:r>
              <w:rPr>
                <w:rFonts w:ascii="Arial" w:eastAsia="Arial" w:hAnsi="Arial" w:cs="Arial"/>
                <w:noProof/>
                <w:sz w:val="24"/>
                <w:szCs w:val="24"/>
              </w:rPr>
              <w:fldChar w:fldCharType="separate"/>
            </w:r>
            <w:r>
              <w:rPr>
                <w:rFonts w:ascii="Arial" w:eastAsia="Arial" w:hAnsi="Arial" w:cs="Arial"/>
                <w:noProof/>
                <w:sz w:val="24"/>
                <w:szCs w:val="24"/>
              </w:rPr>
              <w:t>141</w:t>
            </w:r>
            <w:r>
              <w:rPr>
                <w:rFonts w:ascii="Arial" w:eastAsia="Arial" w:hAnsi="Arial" w:cs="Arial"/>
                <w:noProof/>
                <w:sz w:val="24"/>
                <w:szCs w:val="24"/>
              </w:rPr>
              <w:fldChar w:fldCharType="end"/>
            </w:r>
          </w:hyperlink>
        </w:p>
        <w:p>
          <w:pPr>
            <w:pStyle w:val="TDC2"/>
            <w:tabs>
              <w:tab w:val="right" w:leader="dot" w:pos="8838"/>
            </w:tabs>
            <w:spacing w:before="0" w:after="20" w:line="240" w:lineRule="auto"/>
            <w:ind w:left="567" w:hanging="567"/>
            <w:jc w:val="left"/>
            <w:rPr>
              <w:noProof/>
            </w:rPr>
          </w:pPr>
          <w:hyperlink w:anchor="_Toc9000020" w:history="1">
            <w:r>
              <w:rPr>
                <w:rFonts w:ascii="Arial" w:eastAsia="Arial" w:hAnsi="Arial" w:cs="Arial"/>
                <w:noProof/>
                <w:sz w:val="24"/>
                <w:szCs w:val="24"/>
              </w:rPr>
              <w:t xml:space="preserve">4.2. La relatividad del estándar de prueba según los bienes en juego y los costes del error</w:t>
            </w:r>
            <w:r>
              <w:rPr>
                <w:rFonts w:ascii="Arial" w:eastAsia="Arial" w:hAnsi="Arial" w:cs="Arial"/>
                <w:noProof/>
                <w:sz w:val="24"/>
                <w:szCs w:val="24"/>
              </w:rPr>
              <w:tab/>
            </w:r>
            <w:r>
              <w:rPr>
                <w:rFonts w:ascii="Arial" w:eastAsia="Arial" w:hAnsi="Arial" w:cs="Arial"/>
                <w:noProof/>
                <w:sz w:val="24"/>
                <w:szCs w:val="24"/>
              </w:rPr>
              <w:fldChar w:fldCharType="begin"/>
            </w:r>
            <w:r>
              <w:rPr>
                <w:rFonts w:ascii="Arial" w:eastAsia="Arial" w:hAnsi="Arial" w:cs="Arial"/>
                <w:noProof/>
                <w:sz w:val="24"/>
                <w:szCs w:val="24"/>
              </w:rPr>
              <w:instrText xml:space="preserve"> PAGEREF _Toc9000020 \h </w:instrText>
            </w:r>
            <w:r>
              <w:rPr>
                <w:rFonts w:ascii="Arial" w:eastAsia="Arial" w:hAnsi="Arial" w:cs="Arial"/>
                <w:noProof/>
                <w:sz w:val="24"/>
                <w:szCs w:val="24"/>
              </w:rPr>
              <w:fldChar w:fldCharType="separate"/>
            </w:r>
            <w:r>
              <w:rPr>
                <w:rFonts w:ascii="Arial" w:eastAsia="Arial" w:hAnsi="Arial" w:cs="Arial"/>
                <w:noProof/>
                <w:sz w:val="24"/>
                <w:szCs w:val="24"/>
              </w:rPr>
              <w:t>152</w:t>
            </w:r>
            <w:r>
              <w:rPr>
                <w:rFonts w:ascii="Arial" w:eastAsia="Arial" w:hAnsi="Arial" w:cs="Arial"/>
                <w:noProof/>
                <w:sz w:val="24"/>
                <w:szCs w:val="24"/>
              </w:rPr>
              <w:fldChar w:fldCharType="end"/>
            </w:r>
          </w:hyperlink>
        </w:p>
        <w:p>
          <w:pPr>
            <w:pStyle w:val="TDC2"/>
            <w:tabs>
              <w:tab w:val="right" w:leader="dot" w:pos="8838"/>
            </w:tabs>
            <w:spacing w:before="0" w:after="20" w:line="240" w:lineRule="auto"/>
            <w:ind w:left="567" w:hanging="567"/>
            <w:jc w:val="left"/>
            <w:rPr>
              <w:noProof/>
            </w:rPr>
          </w:pPr>
          <w:hyperlink w:anchor="_Toc9000021" w:history="1">
            <w:r>
              <w:rPr>
                <w:rFonts w:ascii="Arial" w:eastAsia="Arial" w:hAnsi="Arial" w:cs="Arial"/>
                <w:noProof/>
                <w:sz w:val="24"/>
                <w:szCs w:val="24"/>
              </w:rPr>
              <w:t xml:space="preserve">4.3. Los bienes en juego propios del contencioso electoral mexicano</w:t>
            </w:r>
            <w:r>
              <w:rPr>
                <w:rFonts w:ascii="Arial" w:eastAsia="Arial" w:hAnsi="Arial" w:cs="Arial"/>
                <w:noProof/>
                <w:sz w:val="24"/>
                <w:szCs w:val="24"/>
              </w:rPr>
              <w:tab/>
            </w:r>
            <w:r>
              <w:rPr>
                <w:rFonts w:ascii="Arial" w:eastAsia="Arial" w:hAnsi="Arial" w:cs="Arial"/>
                <w:noProof/>
                <w:sz w:val="24"/>
                <w:szCs w:val="24"/>
              </w:rPr>
              <w:fldChar w:fldCharType="begin"/>
            </w:r>
            <w:r>
              <w:rPr>
                <w:rFonts w:ascii="Arial" w:eastAsia="Arial" w:hAnsi="Arial" w:cs="Arial"/>
                <w:noProof/>
                <w:sz w:val="24"/>
                <w:szCs w:val="24"/>
              </w:rPr>
              <w:instrText xml:space="preserve"> PAGEREF _Toc9000021 \h </w:instrText>
            </w:r>
            <w:r>
              <w:rPr>
                <w:rFonts w:ascii="Arial" w:eastAsia="Arial" w:hAnsi="Arial" w:cs="Arial"/>
                <w:noProof/>
                <w:sz w:val="24"/>
                <w:szCs w:val="24"/>
              </w:rPr>
              <w:fldChar w:fldCharType="separate"/>
            </w:r>
            <w:r>
              <w:rPr>
                <w:rFonts w:ascii="Arial" w:eastAsia="Arial" w:hAnsi="Arial" w:cs="Arial"/>
                <w:noProof/>
                <w:sz w:val="24"/>
                <w:szCs w:val="24"/>
              </w:rPr>
              <w:t>161</w:t>
            </w:r>
            <w:r>
              <w:rPr>
                <w:rFonts w:ascii="Arial" w:eastAsia="Arial" w:hAnsi="Arial" w:cs="Arial"/>
                <w:noProof/>
                <w:sz w:val="24"/>
                <w:szCs w:val="24"/>
              </w:rPr>
              <w:fldChar w:fldCharType="end"/>
            </w:r>
          </w:hyperlink>
        </w:p>
        <w:p>
          <w:pPr>
            <w:pStyle w:val="TDC1"/>
            <w:tabs>
              <w:tab w:val="right" w:leader="dot" w:pos="8838"/>
            </w:tabs>
            <w:spacing w:before="0" w:after="20" w:line="240" w:lineRule="auto"/>
            <w:ind w:left="0" w:firstLine="0"/>
            <w:jc w:val="left"/>
            <w:rPr>
              <w:noProof/>
            </w:rPr>
          </w:pPr>
          <w:hyperlink w:anchor="_Toc9000022" w:history="1">
            <w:r>
              <w:rPr>
                <w:rFonts w:ascii="Arial" w:eastAsia="Arial" w:hAnsi="Arial" w:cs="Arial"/>
                <w:b/>
                <w:bCs/>
                <w:noProof/>
                <w:sz w:val="24"/>
                <w:szCs w:val="24"/>
              </w:rPr>
              <w:t xml:space="preserve">Capítulo V. Propuesta de diseño legislativo de un estándar de prueba para el contencioso electoral mexicano</w:t>
            </w:r>
            <w:r>
              <w:rPr>
                <w:rFonts w:ascii="Arial" w:eastAsia="Arial" w:hAnsi="Arial" w:cs="Arial"/>
                <w:noProof/>
                <w:sz w:val="24"/>
                <w:szCs w:val="24"/>
              </w:rPr>
              <w:tab/>
            </w:r>
            <w:r>
              <w:rPr>
                <w:rFonts w:ascii="Arial" w:eastAsia="Arial" w:hAnsi="Arial" w:cs="Arial"/>
                <w:noProof/>
                <w:sz w:val="24"/>
                <w:szCs w:val="24"/>
              </w:rPr>
              <w:fldChar w:fldCharType="begin"/>
            </w:r>
            <w:r>
              <w:rPr>
                <w:rFonts w:ascii="Arial" w:eastAsia="Arial" w:hAnsi="Arial" w:cs="Arial"/>
                <w:noProof/>
                <w:sz w:val="24"/>
                <w:szCs w:val="24"/>
              </w:rPr>
              <w:instrText xml:space="preserve"> PAGEREF _Toc9000022 \h </w:instrText>
            </w:r>
            <w:r>
              <w:rPr>
                <w:rFonts w:ascii="Arial" w:eastAsia="Arial" w:hAnsi="Arial" w:cs="Arial"/>
                <w:noProof/>
                <w:sz w:val="24"/>
                <w:szCs w:val="24"/>
              </w:rPr>
              <w:fldChar w:fldCharType="separate"/>
            </w:r>
            <w:r>
              <w:rPr>
                <w:rFonts w:ascii="Arial" w:eastAsia="Arial" w:hAnsi="Arial" w:cs="Arial"/>
                <w:noProof/>
                <w:sz w:val="24"/>
                <w:szCs w:val="24"/>
              </w:rPr>
              <w:t>168</w:t>
            </w:r>
            <w:r>
              <w:rPr>
                <w:rFonts w:ascii="Arial" w:eastAsia="Arial" w:hAnsi="Arial" w:cs="Arial"/>
                <w:noProof/>
                <w:sz w:val="24"/>
                <w:szCs w:val="24"/>
              </w:rPr>
              <w:fldChar w:fldCharType="end"/>
            </w:r>
          </w:hyperlink>
        </w:p>
        <w:p>
          <w:pPr>
            <w:pStyle w:val="TDC2"/>
            <w:tabs>
              <w:tab w:val="right" w:leader="dot" w:pos="8838"/>
            </w:tabs>
            <w:spacing w:before="0" w:after="20" w:line="240" w:lineRule="auto"/>
            <w:ind w:left="567" w:hanging="567"/>
            <w:jc w:val="left"/>
            <w:rPr>
              <w:noProof/>
            </w:rPr>
          </w:pPr>
          <w:hyperlink w:anchor="_Toc9000023" w:history="1">
            <w:r>
              <w:rPr>
                <w:rFonts w:ascii="Arial" w:eastAsia="Arial" w:hAnsi="Arial" w:cs="Arial"/>
                <w:noProof/>
                <w:sz w:val="24"/>
                <w:szCs w:val="24"/>
              </w:rPr>
              <w:t xml:space="preserve">5.1. Criterios para la reforma del artículo 16 de la LGSMIME</w:t>
            </w:r>
            <w:r>
              <w:rPr>
                <w:rFonts w:ascii="Arial" w:eastAsia="Arial" w:hAnsi="Arial" w:cs="Arial"/>
                <w:noProof/>
                <w:sz w:val="24"/>
                <w:szCs w:val="24"/>
              </w:rPr>
              <w:tab/>
            </w:r>
            <w:r>
              <w:rPr>
                <w:rFonts w:ascii="Arial" w:eastAsia="Arial" w:hAnsi="Arial" w:cs="Arial"/>
                <w:noProof/>
                <w:sz w:val="24"/>
                <w:szCs w:val="24"/>
              </w:rPr>
              <w:fldChar w:fldCharType="begin"/>
            </w:r>
            <w:r>
              <w:rPr>
                <w:rFonts w:ascii="Arial" w:eastAsia="Arial" w:hAnsi="Arial" w:cs="Arial"/>
                <w:noProof/>
                <w:sz w:val="24"/>
                <w:szCs w:val="24"/>
              </w:rPr>
              <w:instrText xml:space="preserve"> PAGEREF _Toc9000023 \h </w:instrText>
            </w:r>
            <w:r>
              <w:rPr>
                <w:rFonts w:ascii="Arial" w:eastAsia="Arial" w:hAnsi="Arial" w:cs="Arial"/>
                <w:noProof/>
                <w:sz w:val="24"/>
                <w:szCs w:val="24"/>
              </w:rPr>
              <w:fldChar w:fldCharType="separate"/>
            </w:r>
            <w:r>
              <w:rPr>
                <w:rFonts w:ascii="Arial" w:eastAsia="Arial" w:hAnsi="Arial" w:cs="Arial"/>
                <w:noProof/>
                <w:sz w:val="24"/>
                <w:szCs w:val="24"/>
              </w:rPr>
              <w:t>168</w:t>
            </w:r>
            <w:r>
              <w:rPr>
                <w:rFonts w:ascii="Arial" w:eastAsia="Arial" w:hAnsi="Arial" w:cs="Arial"/>
                <w:noProof/>
                <w:sz w:val="24"/>
                <w:szCs w:val="24"/>
              </w:rPr>
              <w:fldChar w:fldCharType="end"/>
            </w:r>
          </w:hyperlink>
        </w:p>
        <w:p>
          <w:pPr>
            <w:pStyle w:val="TDC2"/>
            <w:tabs>
              <w:tab w:val="right" w:leader="dot" w:pos="8838"/>
            </w:tabs>
            <w:spacing w:before="0" w:after="20" w:line="240" w:lineRule="auto"/>
            <w:ind w:left="567" w:hanging="567"/>
            <w:jc w:val="left"/>
            <w:rPr>
              <w:noProof/>
            </w:rPr>
          </w:pPr>
          <w:hyperlink w:anchor="_Toc9000024" w:history="1">
            <w:r>
              <w:rPr>
                <w:rFonts w:ascii="Arial" w:eastAsia="Arial" w:hAnsi="Arial" w:cs="Arial"/>
                <w:noProof/>
                <w:sz w:val="24"/>
                <w:szCs w:val="24"/>
              </w:rPr>
              <w:t xml:space="preserve">5.2. Formulación del estándar de prueba propuesto</w:t>
            </w:r>
            <w:r>
              <w:rPr>
                <w:rFonts w:ascii="Arial" w:eastAsia="Arial" w:hAnsi="Arial" w:cs="Arial"/>
                <w:noProof/>
                <w:sz w:val="24"/>
                <w:szCs w:val="24"/>
              </w:rPr>
              <w:tab/>
            </w:r>
            <w:r>
              <w:rPr>
                <w:rFonts w:ascii="Arial" w:eastAsia="Arial" w:hAnsi="Arial" w:cs="Arial"/>
                <w:noProof/>
                <w:sz w:val="24"/>
                <w:szCs w:val="24"/>
              </w:rPr>
              <w:fldChar w:fldCharType="begin"/>
            </w:r>
            <w:r>
              <w:rPr>
                <w:rFonts w:ascii="Arial" w:eastAsia="Arial" w:hAnsi="Arial" w:cs="Arial"/>
                <w:noProof/>
                <w:sz w:val="24"/>
                <w:szCs w:val="24"/>
              </w:rPr>
              <w:instrText xml:space="preserve"> PAGEREF _Toc9000024 \h </w:instrText>
            </w:r>
            <w:r>
              <w:rPr>
                <w:rFonts w:ascii="Arial" w:eastAsia="Arial" w:hAnsi="Arial" w:cs="Arial"/>
                <w:noProof/>
                <w:sz w:val="24"/>
                <w:szCs w:val="24"/>
              </w:rPr>
              <w:fldChar w:fldCharType="separate"/>
            </w:r>
            <w:r>
              <w:rPr>
                <w:rFonts w:ascii="Arial" w:eastAsia="Arial" w:hAnsi="Arial" w:cs="Arial"/>
                <w:noProof/>
                <w:sz w:val="24"/>
                <w:szCs w:val="24"/>
              </w:rPr>
              <w:t>175</w:t>
            </w:r>
            <w:r>
              <w:rPr>
                <w:rFonts w:ascii="Arial" w:eastAsia="Arial" w:hAnsi="Arial" w:cs="Arial"/>
                <w:noProof/>
                <w:sz w:val="24"/>
                <w:szCs w:val="24"/>
              </w:rPr>
              <w:fldChar w:fldCharType="end"/>
            </w:r>
          </w:hyperlink>
        </w:p>
        <w:p>
          <w:pPr>
            <w:pStyle w:val="TDC2"/>
            <w:tabs>
              <w:tab w:val="right" w:leader="dot" w:pos="8838"/>
            </w:tabs>
            <w:spacing w:before="0" w:after="20" w:line="240" w:lineRule="auto"/>
            <w:ind w:left="567" w:hanging="567"/>
            <w:jc w:val="left"/>
            <w:rPr>
              <w:noProof/>
            </w:rPr>
          </w:pPr>
          <w:hyperlink w:anchor="_Toc9000025" w:history="1">
            <w:r>
              <w:rPr>
                <w:rFonts w:ascii="Arial" w:eastAsia="Arial" w:hAnsi="Arial" w:cs="Arial"/>
                <w:noProof/>
                <w:sz w:val="24"/>
                <w:szCs w:val="24"/>
              </w:rPr>
              <w:t xml:space="preserve">5.3. Compatibilidad del estándar propuesto con la naturaleza indiciaria de la prueba electoral</w:t>
            </w:r>
            <w:r>
              <w:rPr>
                <w:rFonts w:ascii="Arial" w:eastAsia="Arial" w:hAnsi="Arial" w:cs="Arial"/>
                <w:noProof/>
                <w:sz w:val="24"/>
                <w:szCs w:val="24"/>
              </w:rPr>
              <w:tab/>
            </w:r>
            <w:r>
              <w:rPr>
                <w:rFonts w:ascii="Arial" w:eastAsia="Arial" w:hAnsi="Arial" w:cs="Arial"/>
                <w:noProof/>
                <w:sz w:val="24"/>
                <w:szCs w:val="24"/>
              </w:rPr>
              <w:fldChar w:fldCharType="begin"/>
            </w:r>
            <w:r>
              <w:rPr>
                <w:rFonts w:ascii="Arial" w:eastAsia="Arial" w:hAnsi="Arial" w:cs="Arial"/>
                <w:noProof/>
                <w:sz w:val="24"/>
                <w:szCs w:val="24"/>
              </w:rPr>
              <w:instrText xml:space="preserve"> PAGEREF _Toc9000025 \h </w:instrText>
            </w:r>
            <w:r>
              <w:rPr>
                <w:rFonts w:ascii="Arial" w:eastAsia="Arial" w:hAnsi="Arial" w:cs="Arial"/>
                <w:noProof/>
                <w:sz w:val="24"/>
                <w:szCs w:val="24"/>
              </w:rPr>
              <w:fldChar w:fldCharType="separate"/>
            </w:r>
            <w:r>
              <w:rPr>
                <w:rFonts w:ascii="Arial" w:eastAsia="Arial" w:hAnsi="Arial" w:cs="Arial"/>
                <w:noProof/>
                <w:sz w:val="24"/>
                <w:szCs w:val="24"/>
              </w:rPr>
              <w:t>181</w:t>
            </w:r>
            <w:r>
              <w:rPr>
                <w:rFonts w:ascii="Arial" w:eastAsia="Arial" w:hAnsi="Arial" w:cs="Arial"/>
                <w:noProof/>
                <w:sz w:val="24"/>
                <w:szCs w:val="24"/>
              </w:rPr>
              <w:fldChar w:fldCharType="end"/>
            </w:r>
          </w:hyperlink>
        </w:p>
        <w:p>
          <w:pPr>
            <w:pStyle w:val="TDC1"/>
            <w:tabs>
              <w:tab w:val="right" w:leader="dot" w:pos="8838"/>
            </w:tabs>
            <w:spacing w:before="0" w:after="20" w:line="240" w:lineRule="auto"/>
            <w:ind w:left="0" w:firstLine="0"/>
            <w:jc w:val="left"/>
            <w:rPr>
              <w:noProof/>
            </w:rPr>
          </w:pPr>
          <w:hyperlink w:anchor="_Toc9000099" w:history="1">
            <w:r>
              <w:rPr>
                <w:rFonts w:ascii="Arial" w:eastAsia="Arial" w:hAnsi="Arial" w:cs="Arial"/>
                <w:b/>
                <w:bCs/>
                <w:noProof/>
                <w:sz w:val="24"/>
                <w:szCs w:val="24"/>
              </w:rPr>
              <w:t xml:space="preserve">Conclusiones generales</w:t>
            </w:r>
            <w:r>
              <w:rPr>
                <w:rFonts w:ascii="Arial" w:eastAsia="Arial" w:hAnsi="Arial" w:cs="Arial"/>
                <w:noProof/>
                <w:sz w:val="24"/>
                <w:szCs w:val="24"/>
              </w:rPr>
              <w:tab/>
            </w:r>
            <w:r>
              <w:rPr>
                <w:rFonts w:ascii="Arial" w:eastAsia="Arial" w:hAnsi="Arial" w:cs="Arial"/>
                <w:noProof/>
                <w:sz w:val="24"/>
                <w:szCs w:val="24"/>
              </w:rPr>
              <w:fldChar w:fldCharType="begin"/>
            </w:r>
            <w:r>
              <w:rPr>
                <w:rFonts w:ascii="Arial" w:eastAsia="Arial" w:hAnsi="Arial" w:cs="Arial"/>
                <w:noProof/>
                <w:sz w:val="24"/>
                <w:szCs w:val="24"/>
              </w:rPr>
              <w:instrText xml:space="preserve"> PAGEREF _Toc9000099 \h </w:instrText>
            </w:r>
            <w:r>
              <w:rPr>
                <w:rFonts w:ascii="Arial" w:eastAsia="Arial" w:hAnsi="Arial" w:cs="Arial"/>
                <w:noProof/>
                <w:sz w:val="24"/>
                <w:szCs w:val="24"/>
              </w:rPr>
              <w:fldChar w:fldCharType="separate"/>
            </w:r>
            <w:r>
              <w:rPr>
                <w:rFonts w:ascii="Arial" w:eastAsia="Arial" w:hAnsi="Arial" w:cs="Arial"/>
                <w:noProof/>
                <w:sz w:val="24"/>
                <w:szCs w:val="24"/>
              </w:rPr>
              <w:t>188</w:t>
            </w:r>
            <w:r>
              <w:rPr>
                <w:rFonts w:ascii="Arial" w:eastAsia="Arial" w:hAnsi="Arial" w:cs="Arial"/>
                <w:noProof/>
                <w:sz w:val="24"/>
                <w:szCs w:val="24"/>
              </w:rPr>
              <w:fldChar w:fldCharType="end"/>
            </w:r>
          </w:hyperlink>
        </w:p>
        <w:p>
          <w:pPr>
            <w:pStyle w:val="TDC1"/>
            <w:tabs>
              <w:tab w:val="right" w:leader="dot" w:pos="8838"/>
            </w:tabs>
            <w:spacing w:before="0" w:after="20" w:line="240" w:lineRule="auto"/>
            <w:ind w:left="0" w:firstLine="0"/>
            <w:jc w:val="left"/>
            <w:rPr>
              <w:noProof/>
            </w:rPr>
          </w:pPr>
          <w:hyperlink w:anchor="_Toc9000026" w:history="1">
            <w:r>
              <w:rPr>
                <w:rFonts w:ascii="Arial" w:eastAsia="Arial" w:hAnsi="Arial" w:cs="Arial"/>
                <w:b/>
                <w:bCs/>
                <w:noProof/>
                <w:sz w:val="24"/>
                <w:szCs w:val="24"/>
              </w:rPr>
              <w:t xml:space="preserve">Bibliografía</w:t>
            </w:r>
            <w:r>
              <w:rPr>
                <w:rFonts w:ascii="Arial" w:eastAsia="Arial" w:hAnsi="Arial" w:cs="Arial"/>
                <w:noProof/>
                <w:sz w:val="24"/>
                <w:szCs w:val="24"/>
              </w:rPr>
              <w:tab/>
            </w:r>
            <w:r>
              <w:rPr>
                <w:rFonts w:ascii="Arial" w:eastAsia="Arial" w:hAnsi="Arial" w:cs="Arial"/>
                <w:noProof/>
                <w:sz w:val="24"/>
                <w:szCs w:val="24"/>
              </w:rPr>
              <w:fldChar w:fldCharType="begin"/>
            </w:r>
            <w:r>
              <w:rPr>
                <w:rFonts w:ascii="Arial" w:eastAsia="Arial" w:hAnsi="Arial" w:cs="Arial"/>
                <w:noProof/>
                <w:sz w:val="24"/>
                <w:szCs w:val="24"/>
              </w:rPr>
              <w:instrText xml:space="preserve"> PAGEREF _Toc9000026 \h </w:instrText>
            </w:r>
            <w:r>
              <w:rPr>
                <w:rFonts w:ascii="Arial" w:eastAsia="Arial" w:hAnsi="Arial" w:cs="Arial"/>
                <w:noProof/>
                <w:sz w:val="24"/>
                <w:szCs w:val="24"/>
              </w:rPr>
              <w:fldChar w:fldCharType="separate"/>
            </w:r>
            <w:r>
              <w:rPr>
                <w:rFonts w:ascii="Arial" w:eastAsia="Arial" w:hAnsi="Arial" w:cs="Arial"/>
                <w:noProof/>
                <w:sz w:val="24"/>
                <w:szCs w:val="24"/>
              </w:rPr>
              <w:t>194</w:t>
            </w:r>
            <w:r>
              <w:rPr>
                <w:rFonts w:ascii="Arial" w:eastAsia="Arial" w:hAnsi="Arial" w:cs="Arial"/>
                <w:noProof/>
                <w:sz w:val="24"/>
                <w:szCs w:val="24"/>
              </w:rPr>
              <w:fldChar w:fldCharType="end"/>
            </w:r>
          </w:hyperlink>
        </w:p>
        <w:p>
          <w:r>
            <w:fldChar w:fldCharType="end"/>
          </w:r>
        </w:p>
      </w:sdtContent>
    </w:sdt>
    <w:p>
      <w:pPr>
        <w:spacing w:before="0" w:after="0" w:line="360" w:lineRule="auto"/>
      </w:pPr>
      <w:r>
        <w:br w:type="page"/>
      </w:r>
    </w:p>
    <w:p>
      <w:pPr>
        <w:pStyle w:val="Ttulo1"/>
        <w:keepNext/>
        <w:spacing w:before="0" w:after="0" w:line="360" w:lineRule="auto"/>
        <w:jc w:val="center"/>
      </w:pPr>
      <w:bookmarkStart w:id="804" w:name="_Toc9000004"/>
      <w:r>
        <w:rPr>
          <w:rFonts w:ascii="Arial" w:eastAsia="Arial" w:hAnsi="Arial" w:cs="Arial"/>
          <w:b/>
          <w:bCs/>
          <w:color w:val="000000"/>
          <w:sz w:val="24"/>
          <w:szCs w:val="24"/>
        </w:rPr>
        <w:t xml:space="preserve">Relación de abreviaturas</w:t>
      </w:r>
      <w:bookmarkEnd w:id="804"/>
    </w:p>
    <w:p>
      <w:pPr>
        <w:spacing w:before="0" w:after="0" w:line="360" w:lineRule="auto"/>
        <w:jc w:val="left"/>
      </w:pPr>
    </w:p>
    <w:tbl>
      <w:tblPr>
        <w:tblW w:w="8838" w:type="dxa"/>
        <w:tblBorders>
          <w:top w:val="nil"/>
          <w:left w:val="nil"/>
          <w:bottom w:val="nil"/>
          <w:right w:val="nil"/>
          <w:insideH w:val="nil"/>
          <w:insideV w:val="nil"/>
        </w:tblBorders>
        <w:tblLayout w:type="fixed"/>
        <w:tblLook w:val="0000" w:firstRow="0" w:lastRow="0" w:firstColumn="0" w:lastColumn="0" w:noHBand="0" w:noVBand="0"/>
      </w:tblPr>
      <w:tblGrid>
        <w:gridCol w:w="2000"/>
        <w:gridCol w:w="6838"/>
      </w:tblGrid>
      <w:tr>
        <w:tc>
          <w:tcPr>
            <w:tcW w:w="2000" w:type="dxa"/>
          </w:tcPr>
          <w:p>
            <w:pPr>
              <w:spacing w:before="0" w:after="0" w:line="360" w:lineRule="auto"/>
              <w:jc w:val="left"/>
            </w:pPr>
            <w:r>
              <w:rPr>
                <w:rFonts w:ascii="Arial" w:eastAsia="Arial" w:hAnsi="Arial" w:cs="Arial"/>
                <w:color w:val="000000"/>
                <w:sz w:val="24"/>
                <w:szCs w:val="24"/>
              </w:rPr>
              <w:t xml:space="preserve">LGSMIME</w:t>
            </w:r>
          </w:p>
        </w:tc>
        <w:tc>
          <w:tcPr>
            <w:tcW w:w="6838" w:type="dxa"/>
          </w:tcPr>
          <w:p>
            <w:pPr>
              <w:spacing w:before="0" w:after="0" w:line="360" w:lineRule="auto"/>
              <w:jc w:val="left"/>
            </w:pPr>
            <w:r>
              <w:rPr>
                <w:rFonts w:ascii="Arial" w:eastAsia="Arial" w:hAnsi="Arial" w:cs="Arial"/>
                <w:color w:val="000000"/>
                <w:sz w:val="24"/>
                <w:szCs w:val="24"/>
              </w:rPr>
              <w:t xml:space="preserve">Ley General del Sistema de Medios de Impugnación en Materia Electoral</w:t>
            </w:r>
          </w:p>
        </w:tc>
      </w:tr>
      <w:tr>
        <w:tc>
          <w:tcPr>
            <w:tcW w:w="2000" w:type="dxa"/>
          </w:tcPr>
          <w:p>
            <w:pPr>
              <w:spacing w:before="0" w:after="0" w:line="360" w:lineRule="auto"/>
              <w:jc w:val="left"/>
            </w:pPr>
            <w:r>
              <w:rPr>
                <w:rFonts w:ascii="Arial" w:eastAsia="Arial" w:hAnsi="Arial" w:cs="Arial"/>
                <w:color w:val="000000"/>
                <w:sz w:val="24"/>
                <w:szCs w:val="24"/>
              </w:rPr>
              <w:t xml:space="preserve">SRE-PSC</w:t>
            </w:r>
          </w:p>
        </w:tc>
        <w:tc>
          <w:tcPr>
            <w:tcW w:w="6838" w:type="dxa"/>
          </w:tcPr>
          <w:p>
            <w:pPr>
              <w:spacing w:before="0" w:after="0" w:line="360" w:lineRule="auto"/>
              <w:jc w:val="left"/>
            </w:pPr>
            <w:r>
              <w:rPr>
                <w:rFonts w:ascii="Arial" w:eastAsia="Arial" w:hAnsi="Arial" w:cs="Arial"/>
                <w:color w:val="000000"/>
                <w:sz w:val="24"/>
                <w:szCs w:val="24"/>
              </w:rPr>
              <w:t xml:space="preserve">Procedimiento especial sancionador resuelto por la Sala Regional Especializada del Tribunal Electoral del Poder Judicial de la Federación</w:t>
            </w:r>
          </w:p>
        </w:tc>
      </w:tr>
      <w:tr>
        <w:tc>
          <w:tcPr>
            <w:tcW w:w="2000" w:type="dxa"/>
          </w:tcPr>
          <w:p>
            <w:pPr>
              <w:spacing w:before="0" w:after="0" w:line="360" w:lineRule="auto"/>
              <w:jc w:val="left"/>
            </w:pPr>
            <w:r>
              <w:rPr>
                <w:rFonts w:ascii="Arial" w:eastAsia="Arial" w:hAnsi="Arial" w:cs="Arial"/>
                <w:color w:val="000000"/>
                <w:sz w:val="24"/>
                <w:szCs w:val="24"/>
              </w:rPr>
              <w:t xml:space="preserve">SUP-CDC</w:t>
            </w:r>
          </w:p>
        </w:tc>
        <w:tc>
          <w:tcPr>
            <w:tcW w:w="6838" w:type="dxa"/>
          </w:tcPr>
          <w:p>
            <w:pPr>
              <w:spacing w:before="0" w:after="0" w:line="360" w:lineRule="auto"/>
              <w:jc w:val="left"/>
            </w:pPr>
            <w:r>
              <w:rPr>
                <w:rFonts w:ascii="Arial" w:eastAsia="Arial" w:hAnsi="Arial" w:cs="Arial"/>
                <w:color w:val="000000"/>
                <w:sz w:val="24"/>
                <w:szCs w:val="24"/>
              </w:rPr>
              <w:t xml:space="preserve">Contradicción de criterios resuelta por la Sala Superior</w:t>
            </w:r>
          </w:p>
        </w:tc>
      </w:tr>
      <w:tr>
        <w:tc>
          <w:tcPr>
            <w:tcW w:w="2000" w:type="dxa"/>
          </w:tcPr>
          <w:p>
            <w:pPr>
              <w:spacing w:before="0" w:after="0" w:line="360" w:lineRule="auto"/>
              <w:jc w:val="left"/>
            </w:pPr>
            <w:r>
              <w:rPr>
                <w:rFonts w:ascii="Arial" w:eastAsia="Arial" w:hAnsi="Arial" w:cs="Arial"/>
                <w:color w:val="000000"/>
                <w:sz w:val="24"/>
                <w:szCs w:val="24"/>
              </w:rPr>
              <w:t xml:space="preserve">SUP-JIN</w:t>
            </w:r>
          </w:p>
        </w:tc>
        <w:tc>
          <w:tcPr>
            <w:tcW w:w="6838" w:type="dxa"/>
          </w:tcPr>
          <w:p>
            <w:pPr>
              <w:spacing w:before="0" w:after="0" w:line="360" w:lineRule="auto"/>
              <w:jc w:val="left"/>
            </w:pPr>
            <w:r>
              <w:rPr>
                <w:rFonts w:ascii="Arial" w:eastAsia="Arial" w:hAnsi="Arial" w:cs="Arial"/>
                <w:color w:val="000000"/>
                <w:sz w:val="24"/>
                <w:szCs w:val="24"/>
              </w:rPr>
              <w:t xml:space="preserve">Juicio de inconformidad resuelto por la Sala Superior</w:t>
            </w:r>
          </w:p>
        </w:tc>
      </w:tr>
      <w:tr>
        <w:tc>
          <w:tcPr>
            <w:tcW w:w="2000" w:type="dxa"/>
          </w:tcPr>
          <w:p>
            <w:pPr>
              <w:spacing w:before="0" w:after="0" w:line="360" w:lineRule="auto"/>
              <w:jc w:val="left"/>
            </w:pPr>
            <w:r>
              <w:rPr>
                <w:rFonts w:ascii="Arial" w:eastAsia="Arial" w:hAnsi="Arial" w:cs="Arial"/>
                <w:color w:val="000000"/>
                <w:sz w:val="24"/>
                <w:szCs w:val="24"/>
              </w:rPr>
              <w:t xml:space="preserve">SUP-JRC</w:t>
            </w:r>
          </w:p>
        </w:tc>
        <w:tc>
          <w:tcPr>
            <w:tcW w:w="6838" w:type="dxa"/>
          </w:tcPr>
          <w:p>
            <w:pPr>
              <w:spacing w:before="0" w:after="0" w:line="360" w:lineRule="auto"/>
              <w:jc w:val="left"/>
            </w:pPr>
            <w:r>
              <w:rPr>
                <w:rFonts w:ascii="Arial" w:eastAsia="Arial" w:hAnsi="Arial" w:cs="Arial"/>
                <w:color w:val="000000"/>
                <w:sz w:val="24"/>
                <w:szCs w:val="24"/>
              </w:rPr>
              <w:t xml:space="preserve">Juicio de revisión constitucional electoral resuelto por la Sala Superior</w:t>
            </w:r>
          </w:p>
        </w:tc>
      </w:tr>
      <w:tr>
        <w:tc>
          <w:tcPr>
            <w:tcW w:w="2000" w:type="dxa"/>
          </w:tcPr>
          <w:p>
            <w:pPr>
              <w:spacing w:before="0" w:after="0" w:line="360" w:lineRule="auto"/>
              <w:jc w:val="left"/>
            </w:pPr>
            <w:r>
              <w:rPr>
                <w:rFonts w:ascii="Arial" w:eastAsia="Arial" w:hAnsi="Arial" w:cs="Arial"/>
                <w:color w:val="000000"/>
                <w:sz w:val="24"/>
                <w:szCs w:val="24"/>
              </w:rPr>
              <w:t xml:space="preserve">SUP-RAP</w:t>
            </w:r>
          </w:p>
        </w:tc>
        <w:tc>
          <w:tcPr>
            <w:tcW w:w="6838" w:type="dxa"/>
          </w:tcPr>
          <w:p>
            <w:pPr>
              <w:spacing w:before="0" w:after="0" w:line="360" w:lineRule="auto"/>
              <w:jc w:val="left"/>
            </w:pPr>
            <w:r>
              <w:rPr>
                <w:rFonts w:ascii="Arial" w:eastAsia="Arial" w:hAnsi="Arial" w:cs="Arial"/>
                <w:color w:val="000000"/>
                <w:sz w:val="24"/>
                <w:szCs w:val="24"/>
              </w:rPr>
              <w:t xml:space="preserve">Recurso de apelación resuelto por la Sala Superior</w:t>
            </w:r>
          </w:p>
        </w:tc>
      </w:tr>
      <w:tr>
        <w:tc>
          <w:tcPr>
            <w:tcW w:w="2000" w:type="dxa"/>
          </w:tcPr>
          <w:p>
            <w:pPr>
              <w:spacing w:before="0" w:after="0" w:line="360" w:lineRule="auto"/>
              <w:jc w:val="left"/>
            </w:pPr>
            <w:r>
              <w:rPr>
                <w:rFonts w:ascii="Arial" w:eastAsia="Arial" w:hAnsi="Arial" w:cs="Arial"/>
                <w:color w:val="000000"/>
                <w:sz w:val="24"/>
                <w:szCs w:val="24"/>
              </w:rPr>
              <w:t xml:space="preserve">SUP-REC</w:t>
            </w:r>
          </w:p>
        </w:tc>
        <w:tc>
          <w:tcPr>
            <w:tcW w:w="6838" w:type="dxa"/>
          </w:tcPr>
          <w:p>
            <w:pPr>
              <w:spacing w:before="0" w:after="0" w:line="360" w:lineRule="auto"/>
              <w:jc w:val="left"/>
            </w:pPr>
            <w:r>
              <w:rPr>
                <w:rFonts w:ascii="Arial" w:eastAsia="Arial" w:hAnsi="Arial" w:cs="Arial"/>
                <w:color w:val="000000"/>
                <w:sz w:val="24"/>
                <w:szCs w:val="24"/>
              </w:rPr>
              <w:t xml:space="preserve">Recurso de reconsideración resuelto por la Sala Superior</w:t>
            </w:r>
          </w:p>
        </w:tc>
      </w:tr>
      <w:tr>
        <w:tc>
          <w:tcPr>
            <w:tcW w:w="2000" w:type="dxa"/>
          </w:tcPr>
          <w:p>
            <w:pPr>
              <w:spacing w:before="0" w:after="0" w:line="360" w:lineRule="auto"/>
              <w:jc w:val="left"/>
            </w:pPr>
            <w:r>
              <w:rPr>
                <w:rFonts w:ascii="Arial" w:eastAsia="Arial" w:hAnsi="Arial" w:cs="Arial"/>
                <w:color w:val="000000"/>
                <w:sz w:val="24"/>
                <w:szCs w:val="24"/>
              </w:rPr>
              <w:t xml:space="preserve">TEPJF</w:t>
            </w:r>
          </w:p>
        </w:tc>
        <w:tc>
          <w:tcPr>
            <w:tcW w:w="6838" w:type="dxa"/>
          </w:tcPr>
          <w:p>
            <w:pPr>
              <w:spacing w:before="0" w:after="0" w:line="360" w:lineRule="auto"/>
              <w:jc w:val="left"/>
            </w:pPr>
            <w:r>
              <w:rPr>
                <w:rFonts w:ascii="Arial" w:eastAsia="Arial" w:hAnsi="Arial" w:cs="Arial"/>
                <w:color w:val="000000"/>
                <w:sz w:val="24"/>
                <w:szCs w:val="24"/>
              </w:rPr>
              <w:t xml:space="preserve">Tribunal Electoral del Poder Judicial de la Federación</w:t>
            </w:r>
          </w:p>
        </w:tc>
      </w:tr>
    </w:tbl>
    <w:p>
      <w:pPr>
        <w:spacing w:before="0" w:after="0" w:line="360" w:lineRule="auto"/>
        <w:jc w:val="left"/>
      </w:pPr>
    </w:p>
    <w:p w14:paraId="35FB827B" w14:textId="77777777" w:rsidR="00A32EF9" w:rsidRDefault="00E354C7">
      <w:r>
        <w:br w:type="page"/>
      </w:r>
    </w:p>
    <w:p>
      <w:pPr>
        <w:pStyle w:val="Ttulo1"/>
        <w:keepNext/>
        <w:spacing w:before="0" w:after="0" w:line="360" w:lineRule="auto"/>
        <w:jc w:val="center"/>
      </w:pPr>
      <w:bookmarkStart w:id="805" w:name="_Toc9000005"/>
      <w:r>
        <w:rPr>
          <w:rFonts w:ascii="Arial" w:eastAsia="Arial" w:hAnsi="Arial" w:cs="Arial"/>
          <w:b/>
          <w:bCs/>
          <w:color w:val="000000"/>
          <w:sz w:val="24"/>
          <w:szCs w:val="24"/>
        </w:rPr>
        <w:t xml:space="preserve">Introducción general</w:t>
      </w:r>
      <w:bookmarkEnd w:id="805"/>
    </w:p>
    <w:p>
      <w:pPr>
        <w:spacing w:before="0" w:after="0" w:line="360" w:lineRule="auto"/>
        <w:ind w:firstLine="0"/>
        <w:jc w:val="both"/>
      </w:pPr>
      <w:r>
        <w:rPr>
          <w:rFonts w:ascii="Arial" w:eastAsia="Arial" w:hAnsi="Arial" w:cs="Arial"/>
          <w:color w:val="000000"/>
          <w:sz w:val="24"/>
          <w:szCs w:val="24"/>
        </w:rPr>
        <w:t xml:space="preserve">Esta investigación estudia la fórmula de valoración probatoria del artículo 16 de la </w:t>
      </w:r>
      <w:r>
        <w:rPr>
          <w:rFonts w:ascii="Arial" w:eastAsia="Arial" w:hAnsi="Arial" w:cs="Arial"/>
          <w:i/>
          <w:iCs/>
          <w:color w:val="000000"/>
          <w:sz w:val="24"/>
          <w:szCs w:val="24"/>
        </w:rPr>
        <w:t xml:space="preserve">Ley General del Sistema de Medios de Impugnación en Materia Electoral</w:t>
      </w:r>
      <w:r>
        <w:rPr>
          <w:rFonts w:ascii="Arial" w:eastAsia="Arial" w:hAnsi="Arial" w:cs="Arial"/>
          <w:color w:val="000000"/>
          <w:sz w:val="24"/>
          <w:szCs w:val="24"/>
        </w:rPr>
        <w:t xml:space="preserve"> y la carencia que esa fórmula encubre. La valoración racional de la prueba es una de las preocupaciones centrales de la epistemología jurídica contemporánea. Esta disciplina distingue la operación de sopesar el apoyo empírico de una hipótesis fáctica y la operación normativa de fijar el umbral a partir del cual esa hipótesis debe darse por probada. La tradición analítica hispanoamericana e italiana desarrolló principalmente esta distinción. Su relevancia crece en las materias donde la prueba disponible es predominantemente indiciaria, como el contencioso electoral mexicano. En esta materia, la acreditación de irregularidades determinantes para el resultado de una elección depende, en la mayoría de los casos, de la integración razonada de indicios y no de prueba directa. El artículo 16 fija el criterio de valoración mediante una fórmula que combina un vocabulario racionalista, compuesto por la lógica, la sana crítica y la experiencia, con un vocabulario psicologista, que es la convicción del juzgador.</w:t>
      </w:r>
    </w:p>
    <w:p>
      <w:pPr>
        <w:spacing w:before="0" w:after="0" w:line="360" w:lineRule="auto"/>
        <w:ind w:firstLine="709"/>
        <w:jc w:val="both"/>
      </w:pPr>
      <w:r>
        <w:rPr>
          <w:rFonts w:ascii="Arial" w:eastAsia="Arial" w:hAnsi="Arial" w:cs="Arial"/>
          <w:color w:val="000000"/>
          <w:sz w:val="24"/>
          <w:szCs w:val="24"/>
        </w:rPr>
        <w:t xml:space="preserve">El artículo 16 de la LGSMIME no fija un estándar de prueba objetivo. En su lugar, apela a la convicción del juzgador, una condición mental que no admite control intersubjetivo. Esta sustitución constituye el problema que motiva la investigación. La sustitución compromete la racionalidad del juicio sobre los hechos en el contencioso electoral mexicano, porque remite la suficiencia probatoria a un estado subjetivo del juzgador y no a un criterio objetivo y verificable. De esta constatación deriva la pregunta general del trabajo. La pregunta indaga en qué medida la ausencia de estándares de prueba objetivos en el artículo 16 y su sustitución por la cláusula psicologista de la convicción comprometen esa racionalidad. La misma pregunta indaga qué diseño legislativo permitiría corregir la carencia sin sacrificar la naturaleza indiciaria de la prueba disponible en esta materia. La pregunta general se desagrega en preguntas específicas sobre el error de categoría entre sana crítica y estándar de prueba, sobre el origen y la persistencia histórica de la cláusula híbrida y sobre el fundamento metodológico de un estándar propio para la materia electoral.</w:t>
      </w:r>
    </w:p>
    <w:p>
      <w:pPr>
        <w:spacing w:before="0" w:after="0" w:line="360" w:lineRule="auto"/>
        <w:ind w:firstLine="709"/>
        <w:jc w:val="both"/>
      </w:pPr>
      <w:r>
        <w:rPr>
          <w:rFonts w:ascii="Arial" w:eastAsia="Arial" w:hAnsi="Arial" w:cs="Arial"/>
          <w:color w:val="000000"/>
          <w:sz w:val="24"/>
          <w:szCs w:val="24"/>
        </w:rPr>
        <w:t xml:space="preserve">La investigación se justifica en tres planos. En el plano teórico, tiende un puente entre la teoría analítica del estándar de prueba y la doctrina mexicana sobre la determinancia electoral. Ambas literaturas se han desarrollado hasta ahora sin comunicarse entre sí. En el plano práctico, un estándar de prueba explícito daría a los partidos políticos y a las personas candidatas previsibilidad sobre la carga probatoria que deben satisfacer. Con ese estándar, las salas del Tribunal Electoral contarían con un criterio intersubjetivamente controlable para justificar sus decisiones sobre los hechos. En el plano social, la certeza sobre cuándo debe tenerse por probada una irregularidad determinante es una condición de legitimidad democrática de las sentencias que anulan o confirman los resultados de una elección. Esa certeza contribuye a desterrar sospechas de arbitrariedad en su resolución.</w:t>
      </w:r>
    </w:p>
    <w:p>
      <w:pPr>
        <w:spacing w:before="0" w:after="0" w:line="360" w:lineRule="auto"/>
        <w:ind w:firstLine="709"/>
        <w:jc w:val="both"/>
      </w:pPr>
      <w:r>
        <w:rPr>
          <w:rFonts w:ascii="Arial" w:eastAsia="Arial" w:hAnsi="Arial" w:cs="Arial"/>
          <w:color w:val="000000"/>
          <w:sz w:val="24"/>
          <w:szCs w:val="24"/>
        </w:rPr>
        <w:t xml:space="preserve">La hipótesis de la investigación tiene dos partes, que se ponen a prueba a lo largo de los capítulos. La primera afirma que la ausencia de un estándar de prueba objetivo en el artículo 16 de la LGSMIME, y su sustitución por la cláusula psicologista de la convicción, compromete la racionalidad del juicio sobre los hechos en el contencioso electoral mexicano. La segunda afirma que un diseño legislativo puede corregir esa carencia sin sacrificar la naturaleza indiciaria de la prueba disponible. Ese diseño debe fundarse en la relatividad del estándar de prueba según los bienes en juego y los costes específicos del error propios de la materia electoral.</w:t>
      </w:r>
    </w:p>
    <w:p>
      <w:pPr>
        <w:spacing w:before="0" w:after="0" w:line="360" w:lineRule="auto"/>
        <w:ind w:firstLine="709"/>
        <w:jc w:val="both"/>
      </w:pPr>
      <w:r>
        <w:rPr>
          <w:rFonts w:ascii="Arial" w:eastAsia="Arial" w:hAnsi="Arial" w:cs="Arial"/>
          <w:color w:val="000000"/>
          <w:sz w:val="24"/>
          <w:szCs w:val="24"/>
        </w:rPr>
        <w:t xml:space="preserve">El objetivo general consiste en diseñar y fundamentar una propuesta de estándar de prueba objetivo para el contencioso electoral mexicano. La propuesta parte del diagnóstico de la cláusula psicologista del artículo 16 de la LGSMIME y debe ser compatible con la naturaleza indiciaria de la prueba disponible en esta materia. Este objetivo se despliega en cinco objetivos específicos. El primero es sistematizar el marco teórico de la prueba indiciaria y del estándar de prueba. El segundo es identificar el error de categoría que sirve de puente conceptual entre esa teoría y la doctrina mexicana de la determinancia electoral. El tercero es demostrar la persistencia de la cláusula híbrida a lo largo de veinticinco años de jurisprudencia electoral. El cuarto es exponer el fundamento metodológico que permite justificar la relatividad del estándar de prueba según los bienes en juego. El quinto es formular una propuesta de diseño legislativo compatible con la prueba indiciaria.</w:t>
      </w:r>
    </w:p>
    <w:p>
      <w:pPr>
        <w:spacing w:before="0" w:after="0" w:line="360" w:lineRule="auto"/>
        <w:ind w:firstLine="709"/>
        <w:jc w:val="both"/>
      </w:pPr>
      <w:r>
        <w:rPr>
          <w:rFonts w:ascii="Arial" w:eastAsia="Arial" w:hAnsi="Arial" w:cs="Arial"/>
          <w:color w:val="000000"/>
          <w:sz w:val="24"/>
          <w:szCs w:val="24"/>
        </w:rPr>
        <w:t xml:space="preserve">El marco teórico de la investigación es la epistemología jurídica racionalista de la prueba. Esta corriente distingue dos operaciones. La valoración de la prueba es una operación epistémica. El estándar de prueba es una operación normativa que fija el umbral de suficiencia. El marco se apoya principalmente en la obra de Jordi Ferrer Beltrán sobre los requisitos metodológicos de un estándar de prueba válido y sobre la relatividad de ese estándar según los bienes en juego. El marco recoge la tradición racionalista de la prueba representada, entre otros, por Michele Taruffo. La investigación contrasta ese marco con la doctrina mexicana sobre la determinancia electoral, que hasta ahora ha abordado su propio problema de suficiencia probatoria sin el aparato conceptual que esa epistemología exige. La investigación no asume que la literatura existente agote este diálogo. Por ello, advierte en el desarrollo de sus capítulos cuándo un planteamiento corresponde a una fuente verificada y cuándo constituye una propuesta original.</w:t>
      </w:r>
    </w:p>
    <w:p>
      <w:pPr>
        <w:spacing w:before="0" w:after="0" w:line="360" w:lineRule="auto"/>
        <w:ind w:firstLine="709"/>
        <w:jc w:val="both"/>
      </w:pPr>
      <w:r>
        <w:rPr>
          <w:rFonts w:ascii="Arial" w:eastAsia="Arial" w:hAnsi="Arial" w:cs="Arial"/>
          <w:color w:val="000000"/>
          <w:sz w:val="24"/>
          <w:szCs w:val="24"/>
        </w:rPr>
        <w:t xml:space="preserve">La estrategia metodológica es de tipo cualitativo, documental y dogmático, con alcance descriptivo y explicativo y diseño no experimental. La investigación emplea el método comparado frente a la doctrina procesal española, italiana y angloamericana. Con él contrasta el tratamiento de la sana crítica, la íntima convicción y los estándares de prueba en esas tradiciones con el tratamiento vigente en el derecho electoral mexicano. El método se complementa con el análisis de caso de la sentencia SUP-JIN-194/2025 y con su comparación frente a la sentencia SUP-JRC-487/2000. Esta última se seleccionó porque constituye el primer registro documentado de la aplicación judicial de la cláusula híbrida. El análisis documental y jurisprudencial permitió recopilar y sistematizar las sentencias y la jurisprudencia electoral relevantes para la investigación. El análisis conceptual permitió descomponer las categorías de sana crítica, convicción, adminiculación y determinancia para evidenciar la falta de correspondencia entre ellas.</w:t>
      </w:r>
    </w:p>
    <w:p>
      <w:pPr>
        <w:spacing w:before="0" w:after="0" w:line="360" w:lineRule="auto"/>
        <w:ind w:firstLine="709"/>
        <w:jc w:val="both"/>
      </w:pPr>
      <w:r>
        <w:rPr>
          <w:rFonts w:ascii="Arial" w:eastAsia="Arial" w:hAnsi="Arial" w:cs="Arial"/>
          <w:color w:val="000000"/>
          <w:sz w:val="24"/>
          <w:szCs w:val="24"/>
        </w:rPr>
        <w:t xml:space="preserve">El trabajo se organiza en cinco capítulos. El Capítulo I sistematiza el marco teórico general de la prueba indiciaria y el método de adminiculación probatoria. Ese capítulo expone la distinción entre valoración de la prueba y estándar de prueba, junto con los requisitos metodológicos que debe satisfacer este último. El Capítulo II identifica el error de categoría entre la sana crítica y el estándar de prueba como puente conceptual hacia la doctrina mexicana de la determinancia electoral. El mismo capítulo reconstruye el origen normativo de la cláusula híbrida en la sentencia SUP-JRC-487/2000 y en la jurisprudencia 38/2002. El Capítulo III documenta la persistencia de esa cláusula veinticinco años después en la sentencia SUP-JIN-194/2025. Ese capítulo contrasta los votos particulares emitidos en ambos extremos temporales y caracteriza teóricamente la cláusula como una cláusula mixta.</w:t>
      </w:r>
    </w:p>
    <w:p>
      <w:pPr>
        <w:spacing w:before="0" w:after="0" w:line="360" w:lineRule="auto"/>
        <w:ind w:firstLine="709"/>
        <w:jc w:val="both"/>
      </w:pPr>
      <w:r>
        <w:rPr>
          <w:rFonts w:ascii="Arial" w:eastAsia="Arial" w:hAnsi="Arial" w:cs="Arial"/>
          <w:color w:val="000000"/>
          <w:sz w:val="24"/>
          <w:szCs w:val="24"/>
        </w:rPr>
        <w:t xml:space="preserve">El Capítulo IV expone el fundamento metodológico que permite sostener un estándar de prueba propio para la materia electoral. Ese fundamento parte de la función distributiva del riesgo del error y de los bienes en juego específicos de esta materia. El Capítulo V traduce el fundamento en una propuesta concreta de diseño legislativo para el artículo 16 de la LGSMIME. Ese capítulo examina la compatibilidad de la propuesta con la naturaleza indiciaria de la prueba electoral. Las conclusiones generales cierran el trabajo, verifican la hipótesis planteada en esta introducción y sintetizan la aportación de la investigación al estado del arte de la epistemología jurídica de la prueba y del derecho electoral mexicano.</w:t>
      </w:r>
    </w:p>
    <w:p>
      <w:pPr>
        <w:sectPr>
          <w:headerReference w:type="even" r:id="rId7"/>
          <w:headerReference w:type="default" r:id="rId8"/>
          <w:footerReference w:type="even" r:id="rId9"/>
          <w:footerReference w:type="default" r:id="rId10"/>
          <w:headerReference w:type="first" r:id="rId11"/>
          <w:footerReference w:type="first" r:id="rId12"/>
          <w:pgSz w:w="12240" w:h="15840"/>
          <w:pgMar w:top="1417" w:right="1701" w:bottom="1417" w:left="1701" w:header="708" w:footer="708" w:gutter="0"/>
          <w:pgNumType w:fmt="lowerRoman" w:start="1"/>
          <w:cols w:space="720"/>
          <w:titlePg/>
          <w:docGrid w:linePitch="360"/>
        </w:sectPr>
      </w:pPr>
    </w:p>
    <w:p>
      <w:pPr>
        <w:spacing w:before="0" w:after="0" w:line="360" w:lineRule="auto"/>
        <w:jc w:val="left"/>
      </w:pPr>
    </w:p>
    <w:p>
      <w:pPr>
        <w:spacing w:before="0" w:after="0" w:line="360" w:lineRule="auto"/>
        <w:jc w:val="left"/>
      </w:pPr>
    </w:p>
    <w:p>
      <w:pPr>
        <w:spacing w:before="0" w:after="0" w:line="360" w:lineRule="auto"/>
        <w:jc w:val="left"/>
      </w:pPr>
    </w:p>
    <w:p>
      <w:pPr>
        <w:spacing w:before="0" w:after="0" w:line="360" w:lineRule="auto"/>
        <w:jc w:val="left"/>
      </w:pPr>
    </w:p>
    <w:p>
      <w:pPr>
        <w:spacing w:before="0" w:after="0" w:line="360" w:lineRule="auto"/>
        <w:jc w:val="left"/>
      </w:pPr>
    </w:p>
    <w:p>
      <w:pPr>
        <w:pStyle w:val="Ttulo1"/>
        <w:keepNext/>
        <w:spacing w:before="0" w:after="0" w:line="360" w:lineRule="auto"/>
        <w:jc w:val="center"/>
      </w:pPr>
      <w:bookmarkStart w:id="806" w:name="_Toc9000006"/>
      <w:r>
        <w:rPr>
          <w:rFonts w:ascii="Arial" w:eastAsia="Arial" w:hAnsi="Arial" w:cs="Arial"/>
          <w:b/>
          <w:bCs/>
          <w:color w:val="000000"/>
          <w:sz w:val="24"/>
          <w:szCs w:val="24"/>
        </w:rPr>
        <w:t xml:space="preserve">Capítulo I</w:t>
      </w:r>
      <w:r>
        <w:rPr>
          <w:rFonts w:ascii="Arial" w:eastAsia="Arial" w:hAnsi="Arial" w:cs="Arial"/>
          <w:b/>
          <w:bCs/>
          <w:color w:val="000000"/>
          <w:sz w:val="24"/>
          <w:szCs w:val="24"/>
        </w:rPr>
        <w:br/>
      </w:r>
      <w:r>
        <w:rPr>
          <w:rFonts w:ascii="Arial" w:eastAsia="Arial" w:hAnsi="Arial" w:cs="Arial"/>
          <w:b/>
          <w:bCs/>
          <w:color w:val="000000"/>
          <w:sz w:val="24"/>
          <w:szCs w:val="24"/>
        </w:rPr>
        <w:t xml:space="preserve">La prueba indiciaria y el estándar de prueba: marco teórico general</w:t>
      </w:r>
      <w:bookmarkEnd w:id="806"/>
    </w:p>
    <w:p>
      <w:pPr>
        <w:spacing w:before="0" w:after="0" w:line="360" w:lineRule="auto"/>
        <w:jc w:val="left"/>
      </w:pPr>
    </w:p>
    <w:p>
      <w:pPr>
        <w:spacing w:before="0" w:after="0" w:line="360" w:lineRule="auto"/>
        <w:ind w:left="567" w:right="567"/>
        <w:jc w:val="both"/>
      </w:pPr>
      <w:r>
        <w:rPr>
          <w:rFonts w:ascii="Arial" w:eastAsia="Arial" w:hAnsi="Arial" w:cs="Arial"/>
          <w:smallCaps/>
          <w:color w:val="000000"/>
          <w:sz w:val="22"/>
          <w:szCs w:val="22"/>
        </w:rPr>
        <w:t xml:space="preserve">Sumario</w:t>
      </w:r>
      <w:r>
        <w:rPr>
          <w:rFonts w:ascii="Arial" w:eastAsia="Arial" w:hAnsi="Arial" w:cs="Arial"/>
          <w:color w:val="000000"/>
          <w:sz w:val="22"/>
          <w:szCs w:val="22"/>
        </w:rPr>
        <w:t xml:space="preserve">: </w:t>
      </w:r>
      <w:r>
        <w:rPr>
          <w:rFonts w:ascii="Arial" w:eastAsia="Arial" w:hAnsi="Arial" w:cs="Arial"/>
          <w:color w:val="000000"/>
          <w:sz w:val="22"/>
          <w:szCs w:val="22"/>
        </w:rPr>
        <w:t xml:space="preserve">1.1. </w:t>
      </w:r>
      <w:r>
        <w:rPr>
          <w:rFonts w:ascii="Arial" w:eastAsia="Arial" w:hAnsi="Arial" w:cs="Arial"/>
          <w:i/>
          <w:iCs/>
          <w:color w:val="000000"/>
          <w:sz w:val="22"/>
          <w:szCs w:val="22"/>
        </w:rPr>
        <w:t xml:space="preserve">La prueba indiciaria y el método de adminiculación probatoria</w:t>
      </w:r>
      <w:r>
        <w:rPr>
          <w:rFonts w:ascii="Arial" w:eastAsia="Arial" w:hAnsi="Arial" w:cs="Arial"/>
          <w:color w:val="000000"/>
          <w:sz w:val="22"/>
          <w:szCs w:val="22"/>
        </w:rPr>
        <w:t xml:space="preserve">. </w:t>
      </w:r>
      <w:r>
        <w:rPr>
          <w:rFonts w:ascii="Arial" w:eastAsia="Arial" w:hAnsi="Arial" w:cs="Arial"/>
          <w:color w:val="000000"/>
          <w:sz w:val="22"/>
          <w:szCs w:val="22"/>
        </w:rPr>
        <w:t xml:space="preserve">1.2. </w:t>
      </w:r>
      <w:r>
        <w:rPr>
          <w:rFonts w:ascii="Arial" w:eastAsia="Arial" w:hAnsi="Arial" w:cs="Arial"/>
          <w:i/>
          <w:iCs/>
          <w:color w:val="000000"/>
          <w:sz w:val="22"/>
          <w:szCs w:val="22"/>
        </w:rPr>
        <w:t xml:space="preserve">La distinción entre valoración de la prueba y estándar de prueba</w:t>
      </w:r>
      <w:r>
        <w:rPr>
          <w:rFonts w:ascii="Arial" w:eastAsia="Arial" w:hAnsi="Arial" w:cs="Arial"/>
          <w:color w:val="000000"/>
          <w:sz w:val="22"/>
          <w:szCs w:val="22"/>
        </w:rPr>
        <w:t xml:space="preserve">. </w:t>
      </w:r>
      <w:r>
        <w:rPr>
          <w:rFonts w:ascii="Arial" w:eastAsia="Arial" w:hAnsi="Arial" w:cs="Arial"/>
          <w:color w:val="000000"/>
          <w:sz w:val="22"/>
          <w:szCs w:val="22"/>
        </w:rPr>
        <w:t xml:space="preserve">1.3. </w:t>
      </w:r>
      <w:r>
        <w:rPr>
          <w:rFonts w:ascii="Arial" w:eastAsia="Arial" w:hAnsi="Arial" w:cs="Arial"/>
          <w:i/>
          <w:iCs/>
          <w:color w:val="000000"/>
          <w:sz w:val="22"/>
          <w:szCs w:val="22"/>
        </w:rPr>
        <w:t xml:space="preserve">Los requisitos metodológicos de un estándar de prueba válido</w:t>
      </w:r>
      <w:r>
        <w:rPr>
          <w:rFonts w:ascii="Arial" w:eastAsia="Arial" w:hAnsi="Arial" w:cs="Arial"/>
          <w:color w:val="000000"/>
          <w:sz w:val="22"/>
          <w:szCs w:val="22"/>
        </w:rPr>
        <w:t xml:space="preserve">.</w:t>
      </w:r>
    </w:p>
    <w:p>
      <w:pPr>
        <w:spacing w:before="0" w:after="0" w:line="360" w:lineRule="auto"/>
        <w:jc w:val="left"/>
      </w:pPr>
    </w:p>
    <w:p>
      <w:pPr>
        <w:spacing w:before="0" w:after="0" w:line="360" w:lineRule="auto"/>
        <w:ind w:firstLine="0"/>
        <w:jc w:val="both"/>
      </w:pPr>
      <w:r>
        <w:rPr>
          <w:rFonts w:ascii="Arial" w:eastAsia="Arial" w:hAnsi="Arial" w:cs="Arial"/>
          <w:color w:val="000000"/>
          <w:sz w:val="24"/>
          <w:szCs w:val="24"/>
        </w:rPr>
        <w:t xml:space="preserve">Este capítulo sistematiza el marco teórico general que sostiene el resto de la investigación. Ese marco parte de la prueba indiciaria porque el contencioso electoral mexicano resuelve la mayoría de sus controversias fácticas con este tipo de prueba. La prueba indiciaria exige un método que integre los indicios disponibles en un conjunto coherente de elementos de juicio. Ese método recibe en la práctica mexicana el nombre de adminiculación probatoria. La adminiculación opera dentro de la valoración de la prueba y no decide por sí sola cuándo un hecho queda probado. Por consiguiente, la investigación distingue con cuidado la valoración de la prueba y el estándar de prueba. Esa distinción permite identificar con precisión el problema que la justicia electoral mexicana no ha resuelto. La exposición avanza de lo general a lo particular y culmina con los requisitos metodológicos que la epistemología jurídica racionalista exige a un estándar de prueba válido, requisitos que servirán de base para el diagnóstico crítico posterior.</w:t>
      </w:r>
    </w:p>
    <w:p>
      <w:pPr>
        <w:spacing w:before="0" w:after="0" w:line="360" w:lineRule="auto"/>
        <w:jc w:val="left"/>
      </w:pPr>
    </w:p>
    <w:p>
      <w:pPr>
        <w:pStyle w:val="Ttulo2"/>
        <w:keepNext/>
        <w:spacing w:before="0" w:after="0" w:line="360" w:lineRule="auto"/>
        <w:ind w:left="567" w:hanging="284"/>
        <w:jc w:val="left"/>
      </w:pPr>
      <w:bookmarkStart w:id="807" w:name="_Toc9000007"/>
      <w:r>
        <w:rPr>
          <w:rFonts w:ascii="Arial" w:eastAsia="Arial" w:hAnsi="Arial" w:cs="Arial"/>
          <w:color w:val="000000"/>
          <w:sz w:val="24"/>
          <w:szCs w:val="24"/>
        </w:rPr>
        <w:t xml:space="preserve">1.1. </w:t>
      </w:r>
      <w:r>
        <w:rPr>
          <w:rFonts w:ascii="Arial" w:eastAsia="Arial" w:hAnsi="Arial" w:cs="Arial"/>
          <w:i/>
          <w:iCs/>
          <w:color w:val="000000"/>
          <w:sz w:val="24"/>
          <w:szCs w:val="24"/>
        </w:rPr>
        <w:t xml:space="preserve">La prueba indiciaria y el método de adminiculación probatoria</w:t>
      </w:r>
      <w:bookmarkEnd w:id="807"/>
    </w:p>
    <w:p>
      <w:pPr>
        <w:spacing w:before="0" w:after="0" w:line="360" w:lineRule="auto"/>
        <w:jc w:val="left"/>
      </w:pPr>
    </w:p>
    <w:p>
      <w:pPr>
        <w:spacing w:before="0" w:after="0" w:line="360" w:lineRule="auto"/>
        <w:ind w:firstLine="0"/>
        <w:jc w:val="both"/>
      </w:pPr>
      <w:r>
        <w:rPr>
          <w:rFonts w:ascii="Arial" w:eastAsia="Arial" w:hAnsi="Arial" w:cs="Arial"/>
          <w:color w:val="000000"/>
          <w:sz w:val="24"/>
          <w:szCs w:val="24"/>
        </w:rPr>
        <w:t xml:space="preserve">El razonamiento indiciario constituye el eje sobre el que descansa la presente investigación. Ese razonamiento exige reconstruir tres planos que la práctica forense suele confundir. El plano dogmático estudia el concepto de indicio y su lugar dentro de la teoría de la prueba. El plano epistemológico explica por qué un hecho conocido autoriza a afirmar otro hecho desconocido. El plano jurisprudencial muestra cómo los tribunales mexicanos institucionalizaron ese razonamiento bajo el nombre de adminiculación. Cada plano responde a una pregunta distinta y por ello requiere un examen sucesivo antes de su integración final. El recorrido parte de la doctrina decimonónica, transita por la epistemología jurídica contemporánea y llega a los criterios del Tribunal Electoral del Poder Judicial de la Federación. Ese recorrido termina con las críticas al uso forense de la adminiculación, con su deslinde del estándar de prueba y con un caso hipotético que muestra su funcionamiento práctico.</w:t>
      </w:r>
    </w:p>
    <w:p>
      <w:pPr>
        <w:spacing w:before="0" w:after="0" w:line="360" w:lineRule="auto"/>
        <w:ind w:firstLine="709"/>
        <w:jc w:val="both"/>
      </w:pPr>
      <w:r>
        <w:rPr>
          <w:rFonts w:ascii="Arial" w:eastAsia="Arial" w:hAnsi="Arial" w:cs="Arial"/>
          <w:color w:val="000000"/>
          <w:sz w:val="24"/>
          <w:szCs w:val="24"/>
        </w:rPr>
        <w:t xml:space="preserve">El plano dogmático comienza con la historia del indicio. Esa historia es inseparable de la historia de la prueba legal. En el derecho común europeo el indicio no podía fundar por sí solo una condena penal. Mittermaier documentó que la </w:t>
      </w:r>
      <w:r>
        <w:rPr>
          <w:rFonts w:ascii="Arial" w:eastAsia="Arial" w:hAnsi="Arial" w:cs="Arial"/>
          <w:i/>
          <w:iCs/>
          <w:color w:val="000000"/>
          <w:sz w:val="24"/>
          <w:szCs w:val="24"/>
        </w:rPr>
        <w:t xml:space="preserve">Constitutio Criminalis Carolina</w:t>
      </w:r>
      <w:r>
        <w:rPr>
          <w:rFonts w:ascii="Arial" w:eastAsia="Arial" w:hAnsi="Arial" w:cs="Arial"/>
          <w:color w:val="000000"/>
          <w:sz w:val="24"/>
          <w:szCs w:val="24"/>
        </w:rPr>
        <w:t xml:space="preserve"> instruía a los jueces sobre cómo averiguar los indicios y qué partido sacar de ellos.</w:t>
      </w:r>
      <w:r>
        <w:rPr>
          <w:rFonts w:ascii="Arial" w:eastAsia="Arial" w:hAnsi="Arial" w:cs="Arial"/>
          <w:color w:val="000000"/>
          <w:sz w:val="24"/>
          <w:szCs w:val="24"/>
          <w:vertAlign w:val="superscript"/>
        </w:rPr>
        <w:footnoteReference w:id="1"/>
      </w:r>
      <w:r>
        <w:rPr>
          <w:rFonts w:ascii="Arial" w:eastAsia="Arial" w:hAnsi="Arial" w:cs="Arial"/>
          <w:color w:val="000000"/>
          <w:sz w:val="24"/>
          <w:szCs w:val="24"/>
        </w:rPr>
        <w:t xml:space="preserve"> Esa misma legislación negaba que los indicios bastaran para condenar, por numerosos y poderosos que fueran. En consecuencia, los indicios legítimos y debidamente comprobados cumplían otra función procesal y solo autorizaban la aplicación del tormento. El indicio operaba de ese modo como antesala de la confesión y no como prueba autónoma. Esta subordinación explica la desconfianza histórica hacia la prueba indirecta, una desconfianza que sobrevivió incluso a la abolición de la tortura judicial y que condicionó la legislación penal del siglo XIX.</w:t>
      </w:r>
    </w:p>
    <w:p>
      <w:pPr>
        <w:spacing w:before="0" w:after="0" w:line="360" w:lineRule="auto"/>
        <w:ind w:firstLine="709"/>
        <w:jc w:val="both"/>
      </w:pPr>
      <w:r>
        <w:rPr>
          <w:rFonts w:ascii="Arial" w:eastAsia="Arial" w:hAnsi="Arial" w:cs="Arial"/>
          <w:color w:val="000000"/>
          <w:sz w:val="24"/>
          <w:szCs w:val="24"/>
        </w:rPr>
        <w:t xml:space="preserve">La abolición del tormento dejó a la prueba por indicios atrapada en trabas demasiado estrechas. Mittermaier relata que las leyes alemanas de su tiempo resolvieron ese problema mediante la pena extraordinaria.</w:t>
      </w:r>
      <w:r>
        <w:rPr>
          <w:rFonts w:ascii="Arial" w:eastAsia="Arial" w:hAnsi="Arial" w:cs="Arial"/>
          <w:color w:val="000000"/>
          <w:sz w:val="24"/>
          <w:szCs w:val="24"/>
          <w:vertAlign w:val="superscript"/>
        </w:rPr>
        <w:footnoteReference w:id="2"/>
      </w:r>
      <w:r>
        <w:rPr>
          <w:rFonts w:ascii="Arial" w:eastAsia="Arial" w:hAnsi="Arial" w:cs="Arial"/>
          <w:color w:val="000000"/>
          <w:sz w:val="24"/>
          <w:szCs w:val="24"/>
        </w:rPr>
        <w:t xml:space="preserve"> El legislador consideraba que solo la prueba natural podía motivar con seguridad una condena ordinaria. Por esa razón el concurso de indicios solo permitía imponer penas atenuadas. El Código bávaro formuló el sistema más completo de su época porque definió el indicio, lo dividió en categorías y fijó condiciones severas para su eficacia. Ese mismo código excluyó la pena de muerte cuando la condena descansaba en indicios. Mittermaier propuso una tesis más audaz frente a este panorama legislativo. El autor sostuvo que el convencimiento derivado del concurso de indicios no difiere en esencia del que producen la confesión o los testigos.</w:t>
      </w:r>
      <w:r>
        <w:rPr>
          <w:rFonts w:ascii="Arial" w:eastAsia="Arial" w:hAnsi="Arial" w:cs="Arial"/>
          <w:color w:val="000000"/>
          <w:sz w:val="24"/>
          <w:szCs w:val="24"/>
          <w:vertAlign w:val="superscript"/>
        </w:rPr>
        <w:footnoteReference w:id="3"/>
      </w:r>
    </w:p>
    <w:p>
      <w:pPr>
        <w:spacing w:before="0" w:after="0" w:line="360" w:lineRule="auto"/>
        <w:ind w:firstLine="709"/>
        <w:jc w:val="both"/>
      </w:pPr>
      <w:r>
        <w:rPr>
          <w:rFonts w:ascii="Arial" w:eastAsia="Arial" w:hAnsi="Arial" w:cs="Arial"/>
          <w:color w:val="000000"/>
          <w:sz w:val="24"/>
          <w:szCs w:val="24"/>
        </w:rPr>
        <w:t xml:space="preserve">Esa tesis condujo a Mittermaier a una definición del indicio que conserva plena vigencia. El indicio es un hecho en relación tan íntima con otro que el juez llega del primero al segundo por una conclusión natural.</w:t>
      </w:r>
      <w:r>
        <w:rPr>
          <w:rFonts w:ascii="Arial" w:eastAsia="Arial" w:hAnsi="Arial" w:cs="Arial"/>
          <w:color w:val="000000"/>
          <w:sz w:val="24"/>
          <w:szCs w:val="24"/>
          <w:vertAlign w:val="superscript"/>
        </w:rPr>
        <w:footnoteReference w:id="4"/>
      </w:r>
      <w:r>
        <w:rPr>
          <w:rFonts w:ascii="Arial" w:eastAsia="Arial" w:hAnsi="Arial" w:cs="Arial"/>
          <w:color w:val="000000"/>
          <w:sz w:val="24"/>
          <w:szCs w:val="24"/>
        </w:rPr>
        <w:t xml:space="preserve"> La definición exige la presencia de dos hechos distintos. El primero de esos hechos debe estar comprobado. El segundo todavía no es manifiesto y se demuestra mediante un razonamiento que parte del hecho conocido. El autor recurrió a la etimología e ilustró la idea con la imagen del dedo que señala un objeto.</w:t>
      </w:r>
      <w:r>
        <w:rPr>
          <w:rFonts w:ascii="Arial" w:eastAsia="Arial" w:hAnsi="Arial" w:cs="Arial"/>
          <w:color w:val="000000"/>
          <w:sz w:val="24"/>
          <w:szCs w:val="24"/>
          <w:vertAlign w:val="superscript"/>
        </w:rPr>
        <w:footnoteReference w:id="5"/>
      </w:r>
      <w:r>
        <w:rPr>
          <w:rFonts w:ascii="Arial" w:eastAsia="Arial" w:hAnsi="Arial" w:cs="Arial"/>
          <w:color w:val="000000"/>
          <w:sz w:val="24"/>
          <w:szCs w:val="24"/>
        </w:rPr>
        <w:t xml:space="preserve"> El indicio aislado contiene un hecho diferente sin mayor importancia y adquiere relevancia en el momento en que el juez advierte su conexión con otro hecho. La gravedad del indicio depende de la certeza de la ley de experiencia que une el hecho primitivo con el hecho desconocido.</w:t>
      </w:r>
    </w:p>
    <w:p>
      <w:pPr>
        <w:spacing w:before="0" w:after="0" w:line="360" w:lineRule="auto"/>
        <w:ind w:firstLine="709"/>
        <w:jc w:val="both"/>
      </w:pPr>
      <w:r>
        <w:rPr>
          <w:rFonts w:ascii="Arial" w:eastAsia="Arial" w:hAnsi="Arial" w:cs="Arial"/>
          <w:color w:val="000000"/>
          <w:sz w:val="24"/>
          <w:szCs w:val="24"/>
        </w:rPr>
        <w:t xml:space="preserve">Mittermaier no ignoró la fragilidad de la inferencia indiciaria. El autor advirtió que nuestras deducciones descansan siempre en una mera posibilidad.</w:t>
      </w:r>
      <w:r>
        <w:rPr>
          <w:rFonts w:ascii="Arial" w:eastAsia="Arial" w:hAnsi="Arial" w:cs="Arial"/>
          <w:color w:val="000000"/>
          <w:sz w:val="24"/>
          <w:szCs w:val="24"/>
          <w:vertAlign w:val="superscript"/>
        </w:rPr>
        <w:footnoteReference w:id="6"/>
      </w:r>
      <w:r>
        <w:rPr>
          <w:rFonts w:ascii="Arial" w:eastAsia="Arial" w:hAnsi="Arial" w:cs="Arial"/>
          <w:color w:val="000000"/>
          <w:sz w:val="24"/>
          <w:szCs w:val="24"/>
        </w:rPr>
        <w:t xml:space="preserve"> La relación que el juez cree ver entre dos hechos puede ser del todo nula, y la coincidencia temporal que atrae su atención puede obedecer a la pura casualidad. Por ello el autor exigió examinar los indicios de inocencia y los contraindicios.</w:t>
      </w:r>
      <w:r>
        <w:rPr>
          <w:rFonts w:ascii="Arial" w:eastAsia="Arial" w:hAnsi="Arial" w:cs="Arial"/>
          <w:color w:val="000000"/>
          <w:sz w:val="24"/>
          <w:szCs w:val="24"/>
          <w:vertAlign w:val="superscript"/>
        </w:rPr>
        <w:footnoteReference w:id="7"/>
      </w:r>
      <w:r>
        <w:rPr>
          <w:rFonts w:ascii="Arial" w:eastAsia="Arial" w:hAnsi="Arial" w:cs="Arial"/>
          <w:color w:val="000000"/>
          <w:sz w:val="24"/>
          <w:szCs w:val="24"/>
        </w:rPr>
        <w:t xml:space="preserve"> Los contraindicios ofrecen una explicación favorable de los hechos que parecían incriminar al acusado. Un ejemplo claro se presenta cuando el poseedor del objeto robado prueba que lo compró a un tercero. El juez solo puede fijar su convicción después de ensayar inútilmente las explicaciones de descargo.</w:t>
      </w:r>
      <w:r>
        <w:rPr>
          <w:rFonts w:ascii="Arial" w:eastAsia="Arial" w:hAnsi="Arial" w:cs="Arial"/>
          <w:color w:val="000000"/>
          <w:sz w:val="24"/>
          <w:szCs w:val="24"/>
          <w:vertAlign w:val="superscript"/>
        </w:rPr>
        <w:footnoteReference w:id="8"/>
      </w:r>
      <w:r>
        <w:rPr>
          <w:rFonts w:ascii="Arial" w:eastAsia="Arial" w:hAnsi="Arial" w:cs="Arial"/>
          <w:color w:val="000000"/>
          <w:sz w:val="24"/>
          <w:szCs w:val="24"/>
        </w:rPr>
        <w:t xml:space="preserve"> Esta exigencia anticipa el criterio moderno de eliminación de hipótesis alternativas, un criterio que la doctrina procesal posterior desarrolló con mayor precisión lógica.</w:t>
      </w:r>
    </w:p>
    <w:p>
      <w:pPr>
        <w:spacing w:before="0" w:after="0" w:line="360" w:lineRule="auto"/>
        <w:ind w:firstLine="709"/>
        <w:jc w:val="both"/>
      </w:pPr>
      <w:r>
        <w:rPr>
          <w:rFonts w:ascii="Arial" w:eastAsia="Arial" w:hAnsi="Arial" w:cs="Arial"/>
          <w:color w:val="000000"/>
          <w:sz w:val="24"/>
          <w:szCs w:val="24"/>
        </w:rPr>
        <w:t xml:space="preserve">La doctrina procesal del siglo XX afinó la naturaleza lógica del indicio. Carnelutti sostuvo que un hecho no es indicio en sí mismo.</w:t>
      </w:r>
      <w:r>
        <w:rPr>
          <w:rFonts w:ascii="Arial" w:eastAsia="Arial" w:hAnsi="Arial" w:cs="Arial"/>
          <w:color w:val="000000"/>
          <w:sz w:val="24"/>
          <w:szCs w:val="24"/>
          <w:vertAlign w:val="superscript"/>
        </w:rPr>
        <w:footnoteReference w:id="9"/>
      </w:r>
      <w:r>
        <w:rPr>
          <w:rFonts w:ascii="Arial" w:eastAsia="Arial" w:hAnsi="Arial" w:cs="Arial"/>
          <w:color w:val="000000"/>
          <w:sz w:val="24"/>
          <w:szCs w:val="24"/>
        </w:rPr>
        <w:t xml:space="preserve"> Un hecho se convierte en indicio cuando una regla de experiencia lo pone en relación lógica con el hecho a probar. De esa tesis deriva el carácter esencialmente relativo de los indicios, porque un mismo dato puede ser indicio en un proceso e irrelevante en otro. Carnelutti añadió una precisión que interesa directamente a esta investigación. Cuando el juez deduce un hecho de una acumulación de indicios, la fuente de presunción no es cada indicio aislado.</w:t>
      </w:r>
      <w:r>
        <w:rPr>
          <w:rFonts w:ascii="Arial" w:eastAsia="Arial" w:hAnsi="Arial" w:cs="Arial"/>
          <w:color w:val="000000"/>
          <w:sz w:val="24"/>
          <w:szCs w:val="24"/>
          <w:vertAlign w:val="superscript"/>
        </w:rPr>
        <w:footnoteReference w:id="10"/>
      </w:r>
      <w:r>
        <w:rPr>
          <w:rFonts w:ascii="Arial" w:eastAsia="Arial" w:hAnsi="Arial" w:cs="Arial"/>
          <w:color w:val="000000"/>
          <w:sz w:val="24"/>
          <w:szCs w:val="24"/>
        </w:rPr>
        <w:t xml:space="preserve"> La fuente de presunción es el conjunto de los indicios que el juez examina. El procesalista italiano formuló con ello, en clave dogmática, la intuición que la práctica judicial mexicana denominaría después adminiculación.</w:t>
      </w:r>
    </w:p>
    <w:p>
      <w:pPr>
        <w:spacing w:before="0" w:after="0" w:line="360" w:lineRule="auto"/>
        <w:ind w:firstLine="709"/>
        <w:jc w:val="both"/>
      </w:pPr>
      <w:r>
        <w:rPr>
          <w:rFonts w:ascii="Arial" w:eastAsia="Arial" w:hAnsi="Arial" w:cs="Arial"/>
          <w:color w:val="000000"/>
          <w:sz w:val="24"/>
          <w:szCs w:val="24"/>
        </w:rPr>
        <w:t xml:space="preserve">El tránsito hacia la libre valoración tuvo una expresión legislativa propia en el ámbito hispánico. Benfeld demostró que la expresión reglas de la sana crítica apareció en el Reglamento del Consejo Real español de 1846.</w:t>
      </w:r>
      <w:r>
        <w:rPr>
          <w:rFonts w:ascii="Arial" w:eastAsia="Arial" w:hAnsi="Arial" w:cs="Arial"/>
          <w:color w:val="000000"/>
          <w:sz w:val="24"/>
          <w:szCs w:val="24"/>
          <w:vertAlign w:val="superscript"/>
        </w:rPr>
        <w:footnoteReference w:id="11"/>
      </w:r>
      <w:r>
        <w:rPr>
          <w:rFonts w:ascii="Arial" w:eastAsia="Arial" w:hAnsi="Arial" w:cs="Arial"/>
          <w:color w:val="000000"/>
          <w:sz w:val="24"/>
          <w:szCs w:val="24"/>
        </w:rPr>
        <w:t xml:space="preserve"> El artículo 148 de ese reglamento permitía calificar el dicho de los testigos conforme a esas reglas. La fórmula pasó después al artículo 317 de la Ley de Enjuiciamiento Civil de 1855. Según Benfeld, su propósito fue liberar al juez de ponderar a los testigos en razón de su número. Esta genealogía importa porque el artículo 16 de la ley electoral mexicana reproduce la misma tríada de lógica, sana crítica y experiencia. Devis Echandía precisó que la apreciación razonada no equivale a una libertad arbitraria.</w:t>
      </w:r>
      <w:r>
        <w:rPr>
          <w:rFonts w:ascii="Arial" w:eastAsia="Arial" w:hAnsi="Arial" w:cs="Arial"/>
          <w:color w:val="000000"/>
          <w:sz w:val="24"/>
          <w:szCs w:val="24"/>
          <w:vertAlign w:val="superscript"/>
        </w:rPr>
        <w:footnoteReference w:id="12"/>
      </w:r>
      <w:r>
        <w:rPr>
          <w:rFonts w:ascii="Arial" w:eastAsia="Arial" w:hAnsi="Arial" w:cs="Arial"/>
          <w:color w:val="000000"/>
          <w:sz w:val="24"/>
          <w:szCs w:val="24"/>
        </w:rPr>
        <w:t xml:space="preserve"> El juez queda sujeto a las reglas de la lógica y a la obligación de motivar su conclusión, y esa sujeción exige distinguir con cuidado los conceptos que intervienen en la inferencia.</w:t>
      </w:r>
    </w:p>
    <w:p>
      <w:pPr>
        <w:spacing w:before="0" w:after="0" w:line="360" w:lineRule="auto"/>
        <w:ind w:firstLine="709"/>
        <w:jc w:val="both"/>
      </w:pPr>
      <w:r>
        <w:rPr>
          <w:rFonts w:ascii="Arial" w:eastAsia="Arial" w:hAnsi="Arial" w:cs="Arial"/>
          <w:color w:val="000000"/>
          <w:sz w:val="24"/>
          <w:szCs w:val="24"/>
        </w:rPr>
        <w:t xml:space="preserve">El indicio debe distinguirse de las figuras con las que suele confundirse. La práctica judicial utiliza como sinónimos los términos indicio, presunción y prueba circunstancial. Esta indistinción tiene raíces antiguas en la doctrina procesal y dificulta todavía hoy el control de las sentencias. Mittermaier afirmó que indicio y presunción eran expresiones sinónimas en el fondo y que prácticos y legisladores las empleaban de manera indiferente.</w:t>
      </w:r>
      <w:r>
        <w:rPr>
          <w:rFonts w:ascii="Arial" w:eastAsia="Arial" w:hAnsi="Arial" w:cs="Arial"/>
          <w:color w:val="000000"/>
          <w:sz w:val="24"/>
          <w:szCs w:val="24"/>
          <w:vertAlign w:val="superscript"/>
        </w:rPr>
        <w:footnoteReference w:id="13"/>
      </w:r>
      <w:r>
        <w:rPr>
          <w:rFonts w:ascii="Arial" w:eastAsia="Arial" w:hAnsi="Arial" w:cs="Arial"/>
          <w:color w:val="000000"/>
          <w:sz w:val="24"/>
          <w:szCs w:val="24"/>
        </w:rPr>
        <w:t xml:space="preserve"> La doctrina posterior se dividió frente a esa sinonimia, y Cortés Coto sistematizó las dos posiciones principales.</w:t>
      </w:r>
      <w:r>
        <w:rPr>
          <w:rFonts w:ascii="Arial" w:eastAsia="Arial" w:hAnsi="Arial" w:cs="Arial"/>
          <w:color w:val="000000"/>
          <w:sz w:val="24"/>
          <w:szCs w:val="24"/>
          <w:vertAlign w:val="superscript"/>
        </w:rPr>
        <w:footnoteReference w:id="14"/>
      </w:r>
      <w:r>
        <w:rPr>
          <w:rFonts w:ascii="Arial" w:eastAsia="Arial" w:hAnsi="Arial" w:cs="Arial"/>
          <w:color w:val="000000"/>
          <w:sz w:val="24"/>
          <w:szCs w:val="24"/>
        </w:rPr>
        <w:t xml:space="preserve"> Una corriente, representada por Reyes Alvarado, identifica ambas figuras porque comparten la misma estructura. La corriente mayoritaria, atribuida a Framarino dei Malatesta y a Devis Echandía, distingue ambas figuras con base en la función que cada una cumple dentro del razonamiento probatorio. Para esta corriente mayoritaria el indicio es el hecho conocido y la presunción judicial es el argumento lógico que permite valorarlo.</w:t>
      </w:r>
    </w:p>
    <w:p>
      <w:pPr>
        <w:spacing w:before="0" w:after="0" w:line="360" w:lineRule="auto"/>
        <w:ind w:firstLine="709"/>
        <w:jc w:val="both"/>
      </w:pPr>
      <w:r>
        <w:rPr>
          <w:rFonts w:ascii="Arial" w:eastAsia="Arial" w:hAnsi="Arial" w:cs="Arial"/>
          <w:color w:val="000000"/>
          <w:sz w:val="24"/>
          <w:szCs w:val="24"/>
        </w:rPr>
        <w:t xml:space="preserve">La epistemología jurídica contemporánea ofrece una distinción más precisa entre estas figuras. González Lagier reconstruye la inferencia probatoria con tres elementos.</w:t>
      </w:r>
      <w:r>
        <w:rPr>
          <w:rFonts w:ascii="Arial" w:eastAsia="Arial" w:hAnsi="Arial" w:cs="Arial"/>
          <w:color w:val="000000"/>
          <w:sz w:val="24"/>
          <w:szCs w:val="24"/>
          <w:vertAlign w:val="superscript"/>
        </w:rPr>
        <w:footnoteReference w:id="15"/>
      </w:r>
      <w:r>
        <w:rPr>
          <w:rFonts w:ascii="Arial" w:eastAsia="Arial" w:hAnsi="Arial" w:cs="Arial"/>
          <w:color w:val="000000"/>
          <w:sz w:val="24"/>
          <w:szCs w:val="24"/>
        </w:rPr>
        <w:t xml:space="preserve"> Los hechos probatorios funcionan como razones, el hecho a probar funciona como pretensión o hipótesis y el enlace entre ambos funciona como garantía. Esa garantía puede consistir en máximas de experiencia, en presunciones o en definiciones.</w:t>
      </w:r>
      <w:r>
        <w:rPr>
          <w:rFonts w:ascii="Arial" w:eastAsia="Arial" w:hAnsi="Arial" w:cs="Arial"/>
          <w:color w:val="000000"/>
          <w:sz w:val="24"/>
          <w:szCs w:val="24"/>
          <w:vertAlign w:val="superscript"/>
        </w:rPr>
        <w:footnoteReference w:id="16"/>
      </w:r>
      <w:r>
        <w:rPr>
          <w:rFonts w:ascii="Arial" w:eastAsia="Arial" w:hAnsi="Arial" w:cs="Arial"/>
          <w:color w:val="000000"/>
          <w:sz w:val="24"/>
          <w:szCs w:val="24"/>
        </w:rPr>
        <w:t xml:space="preserve"> La máxima de experiencia adopta la forma de un enunciado probabilístico construido a partir de la observación de casos semejantes. Su fórmula indica que, si ocurre X, entonces probablemente ocurre Y. La presunción adopta una forma distinta porque indica que, si ocurre X, entonces debe tenerse por probado Y. Estas dos fórmulas, aparentemente próximas, revelan una diferencia de fondo entre la regla que descansa en la observación empírica y la regla que descansa en una decisión normativa.</w:t>
      </w:r>
    </w:p>
    <w:p>
      <w:pPr>
        <w:spacing w:before="0" w:after="0" w:line="360" w:lineRule="auto"/>
        <w:ind w:firstLine="709"/>
        <w:jc w:val="both"/>
      </w:pPr>
      <w:r>
        <w:rPr>
          <w:rFonts w:ascii="Arial" w:eastAsia="Arial" w:hAnsi="Arial" w:cs="Arial"/>
          <w:color w:val="000000"/>
          <w:sz w:val="24"/>
          <w:szCs w:val="24"/>
        </w:rPr>
        <w:t xml:space="preserve">La diferencia entre máxima de experiencia y presunción reside en la autoridad del enunciado. Para González Lagier, las presunciones son enunciados revestidos de autoridad.</w:t>
      </w:r>
      <w:r>
        <w:rPr>
          <w:rFonts w:ascii="Arial" w:eastAsia="Arial" w:hAnsi="Arial" w:cs="Arial"/>
          <w:color w:val="000000"/>
          <w:sz w:val="24"/>
          <w:szCs w:val="24"/>
          <w:vertAlign w:val="superscript"/>
        </w:rPr>
        <w:footnoteReference w:id="17"/>
      </w:r>
      <w:r>
        <w:rPr>
          <w:rFonts w:ascii="Arial" w:eastAsia="Arial" w:hAnsi="Arial" w:cs="Arial"/>
          <w:color w:val="000000"/>
          <w:sz w:val="24"/>
          <w:szCs w:val="24"/>
        </w:rPr>
        <w:t xml:space="preserve"> Las máximas de experiencia carecen de esa autoridad y valen solo por su fundamento empírico. Las presunciones pueden verse como máximas de experiencia que el derecho ha institucionalizado.</w:t>
      </w:r>
      <w:r>
        <w:rPr>
          <w:rFonts w:ascii="Arial" w:eastAsia="Arial" w:hAnsi="Arial" w:cs="Arial"/>
          <w:color w:val="000000"/>
          <w:sz w:val="24"/>
          <w:szCs w:val="24"/>
          <w:vertAlign w:val="superscript"/>
        </w:rPr>
        <w:footnoteReference w:id="18"/>
      </w:r>
      <w:r>
        <w:rPr>
          <w:rFonts w:ascii="Arial" w:eastAsia="Arial" w:hAnsi="Arial" w:cs="Arial"/>
          <w:color w:val="000000"/>
          <w:sz w:val="24"/>
          <w:szCs w:val="24"/>
        </w:rPr>
        <w:t xml:space="preserve"> Si su fundamento es cognoscitivo y no meramente normativo, las presunciones deben apoyarse igualmente en una inducción sólida. En consecuencia, el indicio no es la presunción ni la inferencia, sino la materia prima de la inferencia. La presunción o la máxima de experiencia es la regla que autoriza el paso, y la inferencia es la operación que realiza ese paso. Esta separación de componentes permite examinar el recorrido indiciario por tramos y ubicar con exactitud el punto en que cada tramo requiere justificación.</w:t>
      </w:r>
    </w:p>
    <w:p>
      <w:pPr>
        <w:spacing w:before="0" w:after="0" w:line="360" w:lineRule="auto"/>
        <w:ind w:firstLine="709"/>
        <w:jc w:val="both"/>
      </w:pPr>
      <w:r>
        <w:rPr>
          <w:rFonts w:ascii="Arial" w:eastAsia="Arial" w:hAnsi="Arial" w:cs="Arial"/>
          <w:color w:val="000000"/>
          <w:sz w:val="24"/>
          <w:szCs w:val="24"/>
        </w:rPr>
        <w:t xml:space="preserve">Igartua Salaverría introduce una distinción terminológica de gran utilidad analítica para ese examen por tramos. El autor diferencia la prueba de indicios de la prueba por indicios.</w:t>
      </w:r>
      <w:r>
        <w:rPr>
          <w:rFonts w:ascii="Arial" w:eastAsia="Arial" w:hAnsi="Arial" w:cs="Arial"/>
          <w:color w:val="000000"/>
          <w:sz w:val="24"/>
          <w:szCs w:val="24"/>
          <w:vertAlign w:val="superscript"/>
        </w:rPr>
        <w:footnoteReference w:id="19"/>
      </w:r>
      <w:r>
        <w:rPr>
          <w:rFonts w:ascii="Arial" w:eastAsia="Arial" w:hAnsi="Arial" w:cs="Arial"/>
          <w:color w:val="000000"/>
          <w:sz w:val="24"/>
          <w:szCs w:val="24"/>
        </w:rPr>
        <w:t xml:space="preserve"> En la prueba de indicios el indicio es el hecho que será objeto de prueba y que debe acreditarse con un medio idóneo. En la prueba por indicios el indicio ya acreditado se convierte en elemento de prueba de otro hecho distinto. Por tanto, el recorrido indiciario completo tiene dos tramos sucesivos. El primer tramo va del medio de prueba al hecho intermedio, y el segundo tramo va del hecho intermedio al hecho principal. Cada tramo exige su propia justificación y admite sus propios errores, que el juez debe identificar por separado. Esta distinción coincide con la de Carnelutti, quien consideró el indicio a la vez como tema y como fuente de prueba.</w:t>
      </w:r>
      <w:r>
        <w:rPr>
          <w:rFonts w:ascii="Arial" w:eastAsia="Arial" w:hAnsi="Arial" w:cs="Arial"/>
          <w:color w:val="000000"/>
          <w:sz w:val="24"/>
          <w:szCs w:val="24"/>
          <w:vertAlign w:val="superscript"/>
        </w:rPr>
        <w:footnoteReference w:id="20"/>
      </w:r>
    </w:p>
    <w:p>
      <w:pPr>
        <w:spacing w:before="0" w:after="0" w:line="360" w:lineRule="auto"/>
        <w:ind w:firstLine="709"/>
        <w:jc w:val="both"/>
      </w:pPr>
      <w:r>
        <w:rPr>
          <w:rFonts w:ascii="Arial" w:eastAsia="Arial" w:hAnsi="Arial" w:cs="Arial"/>
          <w:color w:val="000000"/>
          <w:sz w:val="24"/>
          <w:szCs w:val="24"/>
        </w:rPr>
        <w:t xml:space="preserve">La distinción entre prueba directa e indirecta pierde nitidez bajo la lógica de los dos tramos. Gascón Abellán advierte que todas las pruebas de hechos pasados son indirectas si se atiende al carácter mediato del conocimiento.</w:t>
      </w:r>
      <w:r>
        <w:rPr>
          <w:rFonts w:ascii="Arial" w:eastAsia="Arial" w:hAnsi="Arial" w:cs="Arial"/>
          <w:color w:val="000000"/>
          <w:sz w:val="24"/>
          <w:szCs w:val="24"/>
          <w:vertAlign w:val="superscript"/>
        </w:rPr>
        <w:footnoteReference w:id="21"/>
      </w:r>
      <w:r>
        <w:rPr>
          <w:rFonts w:ascii="Arial" w:eastAsia="Arial" w:hAnsi="Arial" w:cs="Arial"/>
          <w:color w:val="000000"/>
          <w:sz w:val="24"/>
          <w:szCs w:val="24"/>
        </w:rPr>
        <w:t xml:space="preserve"> Solo la observación inmediata del juez sería prueba directa en sentido estricto. González Lagier llega a una conclusión semejante porque incluso el testimonio exige inferir la credibilidad del testigo y descartar errores de percepción e interpretación.</w:t>
      </w:r>
      <w:r>
        <w:rPr>
          <w:rFonts w:ascii="Arial" w:eastAsia="Arial" w:hAnsi="Arial" w:cs="Arial"/>
          <w:color w:val="000000"/>
          <w:sz w:val="24"/>
          <w:szCs w:val="24"/>
          <w:vertAlign w:val="superscript"/>
        </w:rPr>
        <w:footnoteReference w:id="22"/>
      </w:r>
      <w:r>
        <w:rPr>
          <w:rFonts w:ascii="Arial" w:eastAsia="Arial" w:hAnsi="Arial" w:cs="Arial"/>
          <w:color w:val="000000"/>
          <w:sz w:val="24"/>
          <w:szCs w:val="24"/>
        </w:rPr>
        <w:t xml:space="preserve"> La diferencia entre prueba directa e indirecta resulta de grado y depende del número de inferencias y de la evidencia de las máximas empleadas. Igartua matiza esta tesis y sostiene que la diferencia no radica en el número de inferencias sino en el tipo de enlace.</w:t>
      </w:r>
      <w:r>
        <w:rPr>
          <w:rFonts w:ascii="Arial" w:eastAsia="Arial" w:hAnsi="Arial" w:cs="Arial"/>
          <w:color w:val="000000"/>
          <w:sz w:val="24"/>
          <w:szCs w:val="24"/>
          <w:vertAlign w:val="superscript"/>
        </w:rPr>
        <w:footnoteReference w:id="23"/>
      </w:r>
      <w:r>
        <w:rPr>
          <w:rFonts w:ascii="Arial" w:eastAsia="Arial" w:hAnsi="Arial" w:cs="Arial"/>
          <w:color w:val="000000"/>
          <w:sz w:val="24"/>
          <w:szCs w:val="24"/>
        </w:rPr>
        <w:t xml:space="preserve"> El testimonio creído conduce de modo automático al hecho narrado. El indicio requiere una regularidad empírica de fuerza variable.</w:t>
      </w:r>
    </w:p>
    <w:p>
      <w:pPr>
        <w:spacing w:before="0" w:after="0" w:line="360" w:lineRule="auto"/>
        <w:ind w:firstLine="709"/>
        <w:jc w:val="both"/>
      </w:pPr>
      <w:r>
        <w:rPr>
          <w:rFonts w:ascii="Arial" w:eastAsia="Arial" w:hAnsi="Arial" w:cs="Arial"/>
          <w:color w:val="000000"/>
          <w:sz w:val="24"/>
          <w:szCs w:val="24"/>
        </w:rPr>
        <w:t xml:space="preserve">La distinción adoptada en esta investigación tiene una utilidad que no es meramente terminológica. Esa utilidad consiste en que cada componente de la inferencia admite un control distinto. El hecho base se controla por la fiabilidad del medio que lo acredita. La regla de enlace se controla por su fundamento empírico o normativo. La inferencia se controla por su coherencia interna y por la eliminación de las hipótesis alternativas. En consecuencia, una sentencia que fusiona los tres componentes impide saber cuál de ellos falló. Esa fusión priva a las partes y al tribunal revisor de la posibilidad de señalar el eslabón defectuoso de la cadena inferencial. Esta observación anticipa la primera de las críticas que la doctrina formula al uso forense de la adminiculación y muestra la necesidad de clasificar los indicios con precisión.</w:t>
      </w:r>
    </w:p>
    <w:p>
      <w:pPr>
        <w:spacing w:before="0" w:after="0" w:line="360" w:lineRule="auto"/>
        <w:ind w:firstLine="709"/>
        <w:jc w:val="both"/>
      </w:pPr>
      <w:r>
        <w:rPr>
          <w:rFonts w:ascii="Arial" w:eastAsia="Arial" w:hAnsi="Arial" w:cs="Arial"/>
          <w:color w:val="000000"/>
          <w:sz w:val="24"/>
          <w:szCs w:val="24"/>
        </w:rPr>
        <w:t xml:space="preserve">Las clases de indicios completan la delimitación del concepto. La doctrina clásica clasificó los indicios según la fuerza de su enlace con el hecho a probar. La distinción más difundida separa los indicios necesarios de los indicios contingentes. Según la exposición de Cortés Coto, Framarino dei Malatesta definió los necesarios como aquellos que revelan una causa determinada mediante una relación constante de causalidad.</w:t>
      </w:r>
      <w:r>
        <w:rPr>
          <w:rFonts w:ascii="Arial" w:eastAsia="Arial" w:hAnsi="Arial" w:cs="Arial"/>
          <w:color w:val="000000"/>
          <w:sz w:val="24"/>
          <w:szCs w:val="24"/>
          <w:vertAlign w:val="superscript"/>
        </w:rPr>
        <w:footnoteReference w:id="24"/>
      </w:r>
      <w:r>
        <w:rPr>
          <w:rFonts w:ascii="Arial" w:eastAsia="Arial" w:hAnsi="Arial" w:cs="Arial"/>
          <w:color w:val="000000"/>
          <w:sz w:val="24"/>
          <w:szCs w:val="24"/>
        </w:rPr>
        <w:t xml:space="preserve"> Los indicios contingentes revelan de modo más o menos probable cierta causa o cierto efecto.</w:t>
      </w:r>
      <w:r>
        <w:rPr>
          <w:rFonts w:ascii="Arial" w:eastAsia="Arial" w:hAnsi="Arial" w:cs="Arial"/>
          <w:color w:val="000000"/>
          <w:sz w:val="24"/>
          <w:szCs w:val="24"/>
          <w:vertAlign w:val="superscript"/>
        </w:rPr>
        <w:footnoteReference w:id="25"/>
      </w:r>
      <w:r>
        <w:rPr>
          <w:rFonts w:ascii="Arial" w:eastAsia="Arial" w:hAnsi="Arial" w:cs="Arial"/>
          <w:color w:val="000000"/>
          <w:sz w:val="24"/>
          <w:szCs w:val="24"/>
        </w:rPr>
        <w:t xml:space="preserve"> Los indicios necesarios son sumamente raros y suelen apoyarse en reglas científicas o técnicas cuando existen. Por ello los indicios necesarios constituyen la única excepción a la exigencia de pluralidad. La inmensa mayoría de los indicios con los que trabaja un tribunal son contingentes, y esa circunstancia obliga a examinar el valor teórico de las clasificaciones tradicionales.</w:t>
      </w:r>
    </w:p>
    <w:p>
      <w:pPr>
        <w:spacing w:before="0" w:after="0" w:line="360" w:lineRule="auto"/>
        <w:ind w:firstLine="709"/>
        <w:jc w:val="both"/>
      </w:pPr>
      <w:r>
        <w:rPr>
          <w:rFonts w:ascii="Arial" w:eastAsia="Arial" w:hAnsi="Arial" w:cs="Arial"/>
          <w:color w:val="000000"/>
          <w:sz w:val="24"/>
          <w:szCs w:val="24"/>
        </w:rPr>
        <w:t xml:space="preserve">Carnelutti cuestionó el valor teórico de estas clasificaciones. El autor afirmó que las fuentes de presunción no se prestan a análisis ni a clasificaciones.</w:t>
      </w:r>
      <w:r>
        <w:rPr>
          <w:rFonts w:ascii="Arial" w:eastAsia="Arial" w:hAnsi="Arial" w:cs="Arial"/>
          <w:color w:val="000000"/>
          <w:sz w:val="24"/>
          <w:szCs w:val="24"/>
          <w:vertAlign w:val="superscript"/>
        </w:rPr>
        <w:footnoteReference w:id="26"/>
      </w:r>
      <w:r>
        <w:rPr>
          <w:rFonts w:ascii="Arial" w:eastAsia="Arial" w:hAnsi="Arial" w:cs="Arial"/>
          <w:color w:val="000000"/>
          <w:sz w:val="24"/>
          <w:szCs w:val="24"/>
        </w:rPr>
        <w:t xml:space="preserve"> La conocida división entre presunciones necesarias, violentas, probables y temerarias no se refiere al indicio en sí, sino al indicio contemplado en relación con un tema de prueba determinado. En consecuencia, la clasificación mide el valor probatorio y no la naturaleza del indicio. Igartua recoge una tipología más fina, construida por la doctrina italiana a partir de la eficacia probatoria.</w:t>
      </w:r>
      <w:r>
        <w:rPr>
          <w:rFonts w:ascii="Arial" w:eastAsia="Arial" w:hAnsi="Arial" w:cs="Arial"/>
          <w:color w:val="000000"/>
          <w:sz w:val="24"/>
          <w:szCs w:val="24"/>
          <w:vertAlign w:val="superscript"/>
        </w:rPr>
        <w:footnoteReference w:id="27"/>
      </w:r>
      <w:r>
        <w:rPr>
          <w:rFonts w:ascii="Arial" w:eastAsia="Arial" w:hAnsi="Arial" w:cs="Arial"/>
          <w:color w:val="000000"/>
          <w:sz w:val="24"/>
          <w:szCs w:val="24"/>
        </w:rPr>
        <w:t xml:space="preserve"> Esa tipología distingue indicios equiprobables, indicios de probabilidad prevalente, indicios cualificados e indicios necesarios. La escala tiene una ventaja metodológica clara frente a las clasificaciones tradicionales, porque vincula cada categoría con su rendimiento en el proceso. La escala obliga a precisar cuántas hipótesis rivales deja abiertas cada indicio y, con ello, cuánta prueba adicional se necesita para cerrarlas.</w:t>
      </w:r>
    </w:p>
    <w:p>
      <w:pPr>
        <w:spacing w:before="0" w:after="0" w:line="360" w:lineRule="auto"/>
        <w:ind w:firstLine="709"/>
        <w:jc w:val="both"/>
      </w:pPr>
      <w:r>
        <w:rPr>
          <w:rFonts w:ascii="Arial" w:eastAsia="Arial" w:hAnsi="Arial" w:cs="Arial"/>
          <w:color w:val="000000"/>
          <w:sz w:val="24"/>
          <w:szCs w:val="24"/>
        </w:rPr>
        <w:t xml:space="preserve">Las clasificaciones anteriores explican la exigencia de pluralidad que la doctrina y la jurisprudencia imponen a la prueba indiciaria. Si el indicio contingente solo engendra probabilidad, un indicio aislado no puede fundar por sí mismo la certeza exigida para decidir. Mittermaier ya consideraba indispensable el concurso de varios indicios.</w:t>
      </w:r>
      <w:r>
        <w:rPr>
          <w:rFonts w:ascii="Arial" w:eastAsia="Arial" w:hAnsi="Arial" w:cs="Arial"/>
          <w:color w:val="000000"/>
          <w:sz w:val="24"/>
          <w:szCs w:val="24"/>
          <w:vertAlign w:val="superscript"/>
        </w:rPr>
        <w:footnoteReference w:id="28"/>
      </w:r>
      <w:r>
        <w:rPr>
          <w:rFonts w:ascii="Arial" w:eastAsia="Arial" w:hAnsi="Arial" w:cs="Arial"/>
          <w:color w:val="000000"/>
          <w:sz w:val="24"/>
          <w:szCs w:val="24"/>
        </w:rPr>
        <w:t xml:space="preserve"> El autor refirió que la ley austriaca de 1833 exigía, en principio, la reunión de tres indicios. Mittermaier advirtió sin embargo un límite fundamental, pues solo cuentan como indicios distintos los que se apoyan en circunstancias distintas e independientes.</w:t>
      </w:r>
      <w:r>
        <w:rPr>
          <w:rFonts w:ascii="Arial" w:eastAsia="Arial" w:hAnsi="Arial" w:cs="Arial"/>
          <w:color w:val="000000"/>
          <w:sz w:val="24"/>
          <w:szCs w:val="24"/>
          <w:vertAlign w:val="superscript"/>
        </w:rPr>
        <w:footnoteReference w:id="29"/>
      </w:r>
      <w:r>
        <w:rPr>
          <w:rFonts w:ascii="Arial" w:eastAsia="Arial" w:hAnsi="Arial" w:cs="Arial"/>
          <w:color w:val="000000"/>
          <w:sz w:val="24"/>
          <w:szCs w:val="24"/>
        </w:rPr>
        <w:t xml:space="preserve"> Un mismo hecho no puede computarse más de una vez, aunque presente diversos aspectos. Gorphe formuló la misma advertencia respecto de las huellas similares, cuya multiplicación aparente no añade información nueva.</w:t>
      </w:r>
      <w:r>
        <w:rPr>
          <w:rFonts w:ascii="Arial" w:eastAsia="Arial" w:hAnsi="Arial" w:cs="Arial"/>
          <w:color w:val="000000"/>
          <w:sz w:val="24"/>
          <w:szCs w:val="24"/>
          <w:vertAlign w:val="superscript"/>
        </w:rPr>
        <w:footnoteReference w:id="30"/>
      </w:r>
      <w:r>
        <w:rPr>
          <w:rFonts w:ascii="Arial" w:eastAsia="Arial" w:hAnsi="Arial" w:cs="Arial"/>
          <w:color w:val="000000"/>
          <w:sz w:val="24"/>
          <w:szCs w:val="24"/>
        </w:rPr>
        <w:t xml:space="preserve"> Varios indicios mediatos que repiten la misma presunción solo equivalen a un indicio inmediato, de modo que el número de indicios no mide por sí solo su fuerza.</w:t>
      </w:r>
    </w:p>
    <w:p>
      <w:pPr>
        <w:spacing w:before="0" w:after="0" w:line="360" w:lineRule="auto"/>
        <w:ind w:firstLine="709"/>
        <w:jc w:val="both"/>
      </w:pPr>
      <w:r>
        <w:rPr>
          <w:rFonts w:ascii="Arial" w:eastAsia="Arial" w:hAnsi="Arial" w:cs="Arial"/>
          <w:color w:val="000000"/>
          <w:sz w:val="24"/>
          <w:szCs w:val="24"/>
        </w:rPr>
        <w:t xml:space="preserve">La pluralidad de indicios no es un requisito aritmético. Lo relevante para la pluralidad es la independencia de las fuentes de las que provienen los indicios y la variedad de los datos que aportan. González Lagier sostiene que un solo hecho probatorio muy fiable puede pesar más que varios hechos de escasa fiabilidad.</w:t>
      </w:r>
      <w:r>
        <w:rPr>
          <w:rFonts w:ascii="Arial" w:eastAsia="Arial" w:hAnsi="Arial" w:cs="Arial"/>
          <w:color w:val="000000"/>
          <w:sz w:val="24"/>
          <w:szCs w:val="24"/>
          <w:vertAlign w:val="superscript"/>
        </w:rPr>
        <w:footnoteReference w:id="31"/>
      </w:r>
      <w:r>
        <w:rPr>
          <w:rFonts w:ascii="Arial" w:eastAsia="Arial" w:hAnsi="Arial" w:cs="Arial"/>
          <w:color w:val="000000"/>
          <w:sz w:val="24"/>
          <w:szCs w:val="24"/>
        </w:rPr>
        <w:t xml:space="preserve"> El mismo autor añade que la variedad de los datos refuerza la confirmación y explica, siguiendo a Cohen, que la diversidad permite eliminar hipótesis alternativas.</w:t>
      </w:r>
      <w:r>
        <w:rPr>
          <w:rFonts w:ascii="Arial" w:eastAsia="Arial" w:hAnsi="Arial" w:cs="Arial"/>
          <w:color w:val="000000"/>
          <w:sz w:val="24"/>
          <w:szCs w:val="24"/>
          <w:vertAlign w:val="superscript"/>
        </w:rPr>
        <w:footnoteReference w:id="32"/>
      </w:r>
      <w:r>
        <w:rPr>
          <w:rFonts w:ascii="Arial" w:eastAsia="Arial" w:hAnsi="Arial" w:cs="Arial"/>
          <w:color w:val="000000"/>
          <w:sz w:val="24"/>
          <w:szCs w:val="24"/>
        </w:rPr>
        <w:t xml:space="preserve"> Ferrer Beltrán adopta la misma regla, tomada de Hempel. Para Ferrer Beltrán, la confirmación de una hipótesis depende de la cantidad de datos favorables y de su variedad.</w:t>
      </w:r>
      <w:r>
        <w:rPr>
          <w:rFonts w:ascii="Arial" w:eastAsia="Arial" w:hAnsi="Arial" w:cs="Arial"/>
          <w:color w:val="000000"/>
          <w:sz w:val="24"/>
          <w:szCs w:val="24"/>
          <w:vertAlign w:val="superscript"/>
        </w:rPr>
        <w:footnoteReference w:id="33"/>
      </w:r>
      <w:r>
        <w:rPr>
          <w:rFonts w:ascii="Arial" w:eastAsia="Arial" w:hAnsi="Arial" w:cs="Arial"/>
          <w:color w:val="000000"/>
          <w:sz w:val="24"/>
          <w:szCs w:val="24"/>
        </w:rPr>
        <w:t xml:space="preserve"> Por esa razón cada prueba redundante aporta un grado de corroboración decreciente. Diez indicios derivados de una misma fuente valen menos que tres indicios independientes, porque solo estos últimos someten la hipótesis a pruebas distintas.</w:t>
      </w:r>
    </w:p>
    <w:p>
      <w:pPr>
        <w:spacing w:before="0" w:after="0" w:line="360" w:lineRule="auto"/>
        <w:ind w:firstLine="709"/>
        <w:jc w:val="both"/>
      </w:pPr>
      <w:r>
        <w:rPr>
          <w:rFonts w:ascii="Arial" w:eastAsia="Arial" w:hAnsi="Arial" w:cs="Arial"/>
          <w:color w:val="000000"/>
          <w:sz w:val="24"/>
          <w:szCs w:val="24"/>
        </w:rPr>
        <w:t xml:space="preserve">La presencia de contraindicios debilita el conjunto indiciario. Mittermaier distinguió dos clases de hechos favorables al acusado que el juez debe examinar junto con los datos de cargo.</w:t>
      </w:r>
      <w:r>
        <w:rPr>
          <w:rFonts w:ascii="Arial" w:eastAsia="Arial" w:hAnsi="Arial" w:cs="Arial"/>
          <w:color w:val="000000"/>
          <w:sz w:val="24"/>
          <w:szCs w:val="24"/>
          <w:vertAlign w:val="superscript"/>
        </w:rPr>
        <w:footnoteReference w:id="34"/>
      </w:r>
      <w:r>
        <w:rPr>
          <w:rFonts w:ascii="Arial" w:eastAsia="Arial" w:hAnsi="Arial" w:cs="Arial"/>
          <w:color w:val="000000"/>
          <w:sz w:val="24"/>
          <w:szCs w:val="24"/>
        </w:rPr>
        <w:t xml:space="preserve"> Los primeros hechos impiden atribuirle el hecho delictivo, y los segundos ofrecen una explicación inocente de los datos incriminatorios. Devis Echandía, según la exposición de Cortés Coto, precisó el efecto de los contraindicios no desvirtuados.</w:t>
      </w:r>
      <w:r>
        <w:rPr>
          <w:rFonts w:ascii="Arial" w:eastAsia="Arial" w:hAnsi="Arial" w:cs="Arial"/>
          <w:color w:val="000000"/>
          <w:sz w:val="24"/>
          <w:szCs w:val="24"/>
          <w:vertAlign w:val="superscript"/>
        </w:rPr>
        <w:footnoteReference w:id="35"/>
      </w:r>
      <w:r>
        <w:rPr>
          <w:rFonts w:ascii="Arial" w:eastAsia="Arial" w:hAnsi="Arial" w:cs="Arial"/>
          <w:color w:val="000000"/>
          <w:sz w:val="24"/>
          <w:szCs w:val="24"/>
        </w:rPr>
        <w:t xml:space="preserve"> Cuando indicios y contraindicios no pueden descartarse razonablemente, el conjunto queda desarticulado. La convergencia desaparece en ese supuesto y el juez no puede obtener pleno convencimiento. Por consiguiente, la valoración indiciaria es siempre bidireccional y nunca puede limitarse a sumar los datos de cargo. Esa valoración obliga a ponderar lo que confirma la hipótesis y lo que la refuta, pero no explica todavía por qué el enlace entre los hechos autoriza la conclusión.</w:t>
      </w:r>
    </w:p>
    <w:p>
      <w:pPr>
        <w:spacing w:before="0" w:after="0" w:line="360" w:lineRule="auto"/>
        <w:ind w:firstLine="709"/>
        <w:jc w:val="both"/>
      </w:pPr>
      <w:r>
        <w:rPr>
          <w:rFonts w:ascii="Arial" w:eastAsia="Arial" w:hAnsi="Arial" w:cs="Arial"/>
          <w:color w:val="000000"/>
          <w:sz w:val="24"/>
          <w:szCs w:val="24"/>
        </w:rPr>
        <w:t xml:space="preserve">Las clasificaciones anteriores miden la fuerza del enlace, pero no explican por qué el enlace autoriza la conclusión. Esa explicación corresponde al plano epistemológico. La concepción racionalista de la prueba rechaza que la valoración dependa de la íntima convicción del juez. González Lagier sintetiza ese punto de partida al afirmar que la valoración no puede ser una operación libre de criterio y cargada de subjetividad.</w:t>
      </w:r>
      <w:r>
        <w:rPr>
          <w:rFonts w:ascii="Arial" w:eastAsia="Arial" w:hAnsi="Arial" w:cs="Arial"/>
          <w:color w:val="000000"/>
          <w:sz w:val="24"/>
          <w:szCs w:val="24"/>
          <w:vertAlign w:val="superscript"/>
        </w:rPr>
        <w:footnoteReference w:id="36"/>
      </w:r>
      <w:r>
        <w:rPr>
          <w:rFonts w:ascii="Arial" w:eastAsia="Arial" w:hAnsi="Arial" w:cs="Arial"/>
          <w:color w:val="000000"/>
          <w:sz w:val="24"/>
          <w:szCs w:val="24"/>
        </w:rPr>
        <w:t xml:space="preserve"> Las referencias legales a la lógica, a la sana crítica y a la experiencia son, sin embargo, sumamente vagas. Por ello el autor propone concretarlas con pautas de racionalidad tomadas de la filosofía de la ciencia. Esta estrategia desplaza la pregunta, pues ya no interesa si el juez quedó convencido sino si la inferencia es sólida. La solidez de la inferencia, a diferencia de la convicción, puede ser controlada por terceros.</w:t>
      </w:r>
    </w:p>
    <w:p>
      <w:pPr>
        <w:spacing w:before="0" w:after="0" w:line="360" w:lineRule="auto"/>
        <w:ind w:firstLine="709"/>
        <w:jc w:val="both"/>
      </w:pPr>
      <w:r>
        <w:rPr>
          <w:rFonts w:ascii="Arial" w:eastAsia="Arial" w:hAnsi="Arial" w:cs="Arial"/>
          <w:color w:val="000000"/>
          <w:sz w:val="24"/>
          <w:szCs w:val="24"/>
        </w:rPr>
        <w:t xml:space="preserve">La primera tarea epistemológica consiste en identificar el tipo de razonamiento que subyace a la inferencia probatoria. González Lagier examina con ese fin la deducción, la inducción generalizadora, la inducción probabilística y la abducción.</w:t>
      </w:r>
      <w:r>
        <w:rPr>
          <w:rFonts w:ascii="Arial" w:eastAsia="Arial" w:hAnsi="Arial" w:cs="Arial"/>
          <w:color w:val="000000"/>
          <w:sz w:val="24"/>
          <w:szCs w:val="24"/>
          <w:vertAlign w:val="superscript"/>
        </w:rPr>
        <w:footnoteReference w:id="37"/>
      </w:r>
      <w:r>
        <w:rPr>
          <w:rFonts w:ascii="Arial" w:eastAsia="Arial" w:hAnsi="Arial" w:cs="Arial"/>
          <w:color w:val="000000"/>
          <w:sz w:val="24"/>
          <w:szCs w:val="24"/>
        </w:rPr>
        <w:t xml:space="preserve"> La deducción garantiza la conclusión si las premisas son verdaderas, pero no amplía el conocimiento. La inducción amplía el conocimiento, pero su conclusión solo es probable. La abducción infiere un hecho particular a partir de un resultado y de una regla.</w:t>
      </w:r>
      <w:r>
        <w:rPr>
          <w:rFonts w:ascii="Arial" w:eastAsia="Arial" w:hAnsi="Arial" w:cs="Arial"/>
          <w:color w:val="000000"/>
          <w:sz w:val="24"/>
          <w:szCs w:val="24"/>
          <w:vertAlign w:val="superscript"/>
        </w:rPr>
        <w:footnoteReference w:id="38"/>
      </w:r>
      <w:r>
        <w:rPr>
          <w:rFonts w:ascii="Arial" w:eastAsia="Arial" w:hAnsi="Arial" w:cs="Arial"/>
          <w:color w:val="000000"/>
          <w:sz w:val="24"/>
          <w:szCs w:val="24"/>
        </w:rPr>
        <w:t xml:space="preserve"> Desde la lógica deductiva la abducción incurre en la falacia de afirmación del consecuente, aunque conserva fuerza por su potencial explicativo. El autor concluye que la discusión sobre el esquema lógico correcto puede resultar estéril para la práctica judicial. Lo relevante es que la conclusión de una inferencia probatoria nunca alcanza certeza lógica, cualquiera que sea el esquema que se adopte para reconstruirla.</w:t>
      </w:r>
    </w:p>
    <w:p>
      <w:pPr>
        <w:spacing w:before="0" w:after="0" w:line="360" w:lineRule="auto"/>
        <w:ind w:firstLine="709"/>
        <w:jc w:val="both"/>
      </w:pPr>
      <w:r>
        <w:rPr>
          <w:rFonts w:ascii="Arial" w:eastAsia="Arial" w:hAnsi="Arial" w:cs="Arial"/>
          <w:color w:val="000000"/>
          <w:sz w:val="24"/>
          <w:szCs w:val="24"/>
        </w:rPr>
        <w:t xml:space="preserve">La solidez de una inferencia que nunca alcanza certeza lógica se evalúa mediante criterios graduales. González Lagier organiza esos criterios en tres grupos.</w:t>
      </w:r>
      <w:r>
        <w:rPr>
          <w:rFonts w:ascii="Arial" w:eastAsia="Arial" w:hAnsi="Arial" w:cs="Arial"/>
          <w:color w:val="000000"/>
          <w:sz w:val="24"/>
          <w:szCs w:val="24"/>
          <w:vertAlign w:val="superscript"/>
        </w:rPr>
        <w:footnoteReference w:id="39"/>
      </w:r>
      <w:r>
        <w:rPr>
          <w:rFonts w:ascii="Arial" w:eastAsia="Arial" w:hAnsi="Arial" w:cs="Arial"/>
          <w:color w:val="000000"/>
          <w:sz w:val="24"/>
          <w:szCs w:val="24"/>
        </w:rPr>
        <w:t xml:space="preserve"> Respecto de los hechos probatorios, el autor pregunta si son fiables, suficientes, variados y pertinentes. Respecto de la garantía, el autor pregunta si la máxima está bien fundada y si expresa una probabilidad causal suficiente. Respecto de la hipótesis, el autor pregunta si ha sido refutada, si se confirmaron sus hipótesis derivadas y si se eliminaron las hipótesis alternativas. El último criterio atiende a si la hipótesis es coherente y simple frente a las explicaciones rivales. El autor aclara que la ausencia de un criterio no invalida por sí sola la inferencia.</w:t>
      </w:r>
      <w:r>
        <w:rPr>
          <w:rFonts w:ascii="Arial" w:eastAsia="Arial" w:hAnsi="Arial" w:cs="Arial"/>
          <w:color w:val="000000"/>
          <w:sz w:val="24"/>
          <w:szCs w:val="24"/>
          <w:vertAlign w:val="superscript"/>
        </w:rPr>
        <w:footnoteReference w:id="40"/>
      </w:r>
      <w:r>
        <w:rPr>
          <w:rFonts w:ascii="Arial" w:eastAsia="Arial" w:hAnsi="Arial" w:cs="Arial"/>
          <w:color w:val="000000"/>
          <w:sz w:val="24"/>
          <w:szCs w:val="24"/>
        </w:rPr>
        <w:t xml:space="preserve"> Casi todos los criterios admiten cumplimiento en mayor o menor medida, y por ello la solidez de una inferencia es siempre una cuestión de grado.</w:t>
      </w:r>
    </w:p>
    <w:p>
      <w:pPr>
        <w:spacing w:before="0" w:after="0" w:line="360" w:lineRule="auto"/>
        <w:ind w:firstLine="709"/>
        <w:jc w:val="both"/>
      </w:pPr>
      <w:r>
        <w:rPr>
          <w:rFonts w:ascii="Arial" w:eastAsia="Arial" w:hAnsi="Arial" w:cs="Arial"/>
          <w:color w:val="000000"/>
          <w:sz w:val="24"/>
          <w:szCs w:val="24"/>
        </w:rPr>
        <w:t xml:space="preserve">Este catálogo de criterios tiene un valor especial para la presente investigación. González Lagier demuestra que los requisitos jurisprudenciales de la prueba indiciaria coinciden con sus criterios de solidez.</w:t>
      </w:r>
      <w:r>
        <w:rPr>
          <w:rFonts w:ascii="Arial" w:eastAsia="Arial" w:hAnsi="Arial" w:cs="Arial"/>
          <w:color w:val="000000"/>
          <w:sz w:val="24"/>
          <w:szCs w:val="24"/>
          <w:vertAlign w:val="superscript"/>
        </w:rPr>
        <w:footnoteReference w:id="41"/>
      </w:r>
      <w:r>
        <w:rPr>
          <w:rFonts w:ascii="Arial" w:eastAsia="Arial" w:hAnsi="Arial" w:cs="Arial"/>
          <w:color w:val="000000"/>
          <w:sz w:val="24"/>
          <w:szCs w:val="24"/>
        </w:rPr>
        <w:t xml:space="preserve"> La exigencia de indicios plenamente acreditados corresponde a la fiabilidad de los hechos probatorios. La pluralidad corresponde a la cantidad de datos, y la relación del indicio con el hecho por probar corresponde a la pertinencia. La concordancia de los indicios entre sí corresponde a la coherencia de la hipótesis que los explica. El enlace conforme a la lógica y a la experiencia corresponde a una garantía bien fundada. La ausencia de contraindicios corresponde a la no refutación de la hipótesis. Por lo tanto, los requisitos forenses traducen al plano institucional pautas epistemológicas, y esa traducción permite someter la práctica judicial a un control racional.</w:t>
      </w:r>
    </w:p>
    <w:p>
      <w:pPr>
        <w:spacing w:before="0" w:after="0" w:line="360" w:lineRule="auto"/>
        <w:ind w:firstLine="709"/>
        <w:jc w:val="both"/>
      </w:pPr>
      <w:r>
        <w:rPr>
          <w:rFonts w:ascii="Arial" w:eastAsia="Arial" w:hAnsi="Arial" w:cs="Arial"/>
          <w:color w:val="000000"/>
          <w:sz w:val="24"/>
          <w:szCs w:val="24"/>
        </w:rPr>
        <w:t xml:space="preserve">La garantía de la inferencia exige un análisis particularmente cuidadoso porque de ella depende la fuerza del paso entre el indicio y la conclusión. Las máximas de experiencia son conclusiones de inducciones ampliativas y por ello solo son probables.</w:t>
      </w:r>
      <w:r>
        <w:rPr>
          <w:rFonts w:ascii="Arial" w:eastAsia="Arial" w:hAnsi="Arial" w:cs="Arial"/>
          <w:color w:val="000000"/>
          <w:sz w:val="24"/>
          <w:szCs w:val="24"/>
          <w:vertAlign w:val="superscript"/>
        </w:rPr>
        <w:footnoteReference w:id="42"/>
      </w:r>
      <w:r>
        <w:rPr>
          <w:rFonts w:ascii="Arial" w:eastAsia="Arial" w:hAnsi="Arial" w:cs="Arial"/>
          <w:color w:val="000000"/>
          <w:sz w:val="24"/>
          <w:szCs w:val="24"/>
        </w:rPr>
        <w:t xml:space="preserve"> La credibilidad de cada máxima depende de la solidez de la inducción que la generó. Gascón Abellán, seguida por González Lagier, exige examinar su fundamento cognoscitivo para excluir generalizaciones apresuradas y prejuicios. González Lagier agrega una cautela adicional para el control de la garantía. No basta que la máxima esté bien fundada, pues es preciso que no exista otra máxima mejor fundada que desautorice el paso.</w:t>
      </w:r>
      <w:r>
        <w:rPr>
          <w:rFonts w:ascii="Arial" w:eastAsia="Arial" w:hAnsi="Arial" w:cs="Arial"/>
          <w:color w:val="000000"/>
          <w:sz w:val="24"/>
          <w:szCs w:val="24"/>
          <w:vertAlign w:val="superscript"/>
        </w:rPr>
        <w:footnoteReference w:id="43"/>
      </w:r>
      <w:r>
        <w:rPr>
          <w:rFonts w:ascii="Arial" w:eastAsia="Arial" w:hAnsi="Arial" w:cs="Arial"/>
          <w:color w:val="000000"/>
          <w:sz w:val="24"/>
          <w:szCs w:val="24"/>
        </w:rPr>
        <w:t xml:space="preserve"> El autor recomienda desconfiar de las reglas construidas para el caso concreto. Una regla creada para explicar el caso no descansa en ninguna inducción previa y carece, por tanto, del fundamento empírico que da credibilidad a una máxima de experiencia.</w:t>
      </w:r>
    </w:p>
    <w:p>
      <w:pPr>
        <w:spacing w:before="0" w:after="0" w:line="360" w:lineRule="auto"/>
        <w:ind w:firstLine="709"/>
        <w:jc w:val="both"/>
      </w:pPr>
      <w:r>
        <w:rPr>
          <w:rFonts w:ascii="Arial" w:eastAsia="Arial" w:hAnsi="Arial" w:cs="Arial"/>
          <w:color w:val="000000"/>
          <w:sz w:val="24"/>
          <w:szCs w:val="24"/>
        </w:rPr>
        <w:t xml:space="preserve">Igartua precisa la diferencia entre la valoración individual y la valoración conjunta, dos operaciones que la práctica forense suele confundir. La valoración individual examina primero cada elemento de prueba para determinar si es fiable.</w:t>
      </w:r>
      <w:r>
        <w:rPr>
          <w:rFonts w:ascii="Arial" w:eastAsia="Arial" w:hAnsi="Arial" w:cs="Arial"/>
          <w:color w:val="000000"/>
          <w:sz w:val="24"/>
          <w:szCs w:val="24"/>
          <w:vertAlign w:val="superscript"/>
        </w:rPr>
        <w:footnoteReference w:id="44"/>
      </w:r>
      <w:r>
        <w:rPr>
          <w:rFonts w:ascii="Arial" w:eastAsia="Arial" w:hAnsi="Arial" w:cs="Arial"/>
          <w:color w:val="000000"/>
          <w:sz w:val="24"/>
          <w:szCs w:val="24"/>
        </w:rPr>
        <w:t xml:space="preserve"> Solo después se decanta cada elemento como prueba estricta o como indicio. La distinción entre ambas categorías no precede a la valoración, sino que resulta de ella. La valoración conjunta comienza después de esa decantación y trabaja con los elementos que superaron el examen individual. En esta segunda fase cobran sentido la gravedad, la precisión y la concordancia de los indicios. La convergencia solo tiene sentido si los indicios son varios, porque un indicio único no puede converger con nada. La precisión y la gravedad de cada indicio dependen de su interrelación con los demás, y esa interrelación exige una imagen que permita comprenderla.</w:t>
      </w:r>
    </w:p>
    <w:p>
      <w:pPr>
        <w:spacing w:before="0" w:after="0" w:line="360" w:lineRule="auto"/>
        <w:ind w:firstLine="709"/>
        <w:jc w:val="both"/>
      </w:pPr>
      <w:r>
        <w:rPr>
          <w:rFonts w:ascii="Arial" w:eastAsia="Arial" w:hAnsi="Arial" w:cs="Arial"/>
          <w:color w:val="000000"/>
          <w:sz w:val="24"/>
          <w:szCs w:val="24"/>
        </w:rPr>
        <w:t xml:space="preserve">Igartua propone una imagen para comprender la valoración conjunta y los vínculos que se establecen entre los indicios. El autor retoma de Haack la metáfora del crucigrama.</w:t>
      </w:r>
      <w:r>
        <w:rPr>
          <w:rFonts w:ascii="Arial" w:eastAsia="Arial" w:hAnsi="Arial" w:cs="Arial"/>
          <w:color w:val="000000"/>
          <w:sz w:val="24"/>
          <w:szCs w:val="24"/>
          <w:vertAlign w:val="superscript"/>
        </w:rPr>
        <w:footnoteReference w:id="45"/>
      </w:r>
      <w:r>
        <w:rPr>
          <w:rFonts w:ascii="Arial" w:eastAsia="Arial" w:hAnsi="Arial" w:cs="Arial"/>
          <w:color w:val="000000"/>
          <w:sz w:val="24"/>
          <w:szCs w:val="24"/>
        </w:rPr>
        <w:t xml:space="preserve"> En un crucigrama cada respuesta depende de sí misma y de la manera en que se cruza con las demás respuestas. Los nexos entre indicios pueden ser incompatibles, meramente compatibles o recíprocamente implicados. Los nexos incompatibles merman la fuerza de cada elemento, los compatibles la conservan y los recíprocamente implicados la incrementan. Después debe verificarse si el conjunto abarca todas las partes esenciales de la hipótesis y no solo algunos de sus fragmentos. Esta secuencia ofrece un modelo operativo de lo que los tribunales mexicanos llaman adminiculación. El modelo del crucigrama no garantiza por sí mismo que la unión de los indicios produzca una corroboración mayor.</w:t>
      </w:r>
    </w:p>
    <w:p>
      <w:pPr>
        <w:spacing w:before="0" w:after="0" w:line="360" w:lineRule="auto"/>
        <w:ind w:firstLine="709"/>
        <w:jc w:val="both"/>
      </w:pPr>
      <w:r>
        <w:rPr>
          <w:rFonts w:ascii="Arial" w:eastAsia="Arial" w:hAnsi="Arial" w:cs="Arial"/>
          <w:color w:val="000000"/>
          <w:sz w:val="24"/>
          <w:szCs w:val="24"/>
        </w:rPr>
        <w:t xml:space="preserve">La corroboración conjunta de los indicios no es un resultado automático de su acumulación. Haack, citada por Igartua, advierte que un conjunto de evidencias puede garantizar una conclusión en grado superior al de cada componente.</w:t>
      </w:r>
      <w:r>
        <w:rPr>
          <w:rFonts w:ascii="Arial" w:eastAsia="Arial" w:hAnsi="Arial" w:cs="Arial"/>
          <w:color w:val="000000"/>
          <w:sz w:val="24"/>
          <w:szCs w:val="24"/>
          <w:vertAlign w:val="superscript"/>
        </w:rPr>
        <w:footnoteReference w:id="46"/>
      </w:r>
      <w:r>
        <w:rPr>
          <w:rFonts w:ascii="Arial" w:eastAsia="Arial" w:hAnsi="Arial" w:cs="Arial"/>
          <w:color w:val="000000"/>
          <w:sz w:val="24"/>
          <w:szCs w:val="24"/>
        </w:rPr>
        <w:t xml:space="preserve"> La combinación, sin embargo, no siempre es más fuerte que sus partes y solo a veces lo es. El resultado depende de la forma en que están unidos los indicios y de la independencia de cada uno respecto de los demás. Igartua concluye por esa razón que los indicios deben resultar concluyentes al unirse. Mittermaier había intuido el mismo fenómeno un siglo y medio antes. El autor afirmó que el concurso de indicios conduce al objeto por diversos caminos.</w:t>
      </w:r>
      <w:r>
        <w:rPr>
          <w:rFonts w:ascii="Arial" w:eastAsia="Arial" w:hAnsi="Arial" w:cs="Arial"/>
          <w:color w:val="000000"/>
          <w:sz w:val="24"/>
          <w:szCs w:val="24"/>
          <w:vertAlign w:val="superscript"/>
        </w:rPr>
        <w:footnoteReference w:id="47"/>
      </w:r>
      <w:r>
        <w:rPr>
          <w:rFonts w:ascii="Arial" w:eastAsia="Arial" w:hAnsi="Arial" w:cs="Arial"/>
          <w:color w:val="000000"/>
          <w:sz w:val="24"/>
          <w:szCs w:val="24"/>
        </w:rPr>
        <w:t xml:space="preserve"> La conclusión que suministra un indicio la suministra el otro y, por ello, la confirma, siempre que ambos caminos sean realmente distintos.</w:t>
      </w:r>
    </w:p>
    <w:p>
      <w:pPr>
        <w:spacing w:before="0" w:after="0" w:line="360" w:lineRule="auto"/>
        <w:ind w:firstLine="709"/>
        <w:jc w:val="both"/>
      </w:pPr>
      <w:r>
        <w:rPr>
          <w:rFonts w:ascii="Arial" w:eastAsia="Arial" w:hAnsi="Arial" w:cs="Arial"/>
          <w:color w:val="000000"/>
          <w:sz w:val="24"/>
          <w:szCs w:val="24"/>
        </w:rPr>
        <w:t xml:space="preserve">El plano jurisprudencial exige partir del origen del término adminicular. El verbo adminicular procede del latín </w:t>
      </w:r>
      <w:r>
        <w:rPr>
          <w:rFonts w:ascii="Arial" w:eastAsia="Arial" w:hAnsi="Arial" w:cs="Arial"/>
          <w:i/>
          <w:iCs/>
          <w:color w:val="000000"/>
          <w:sz w:val="24"/>
          <w:szCs w:val="24"/>
        </w:rPr>
        <w:t xml:space="preserve">adminiculum</w:t>
      </w:r>
      <w:r>
        <w:rPr>
          <w:rFonts w:ascii="Arial" w:eastAsia="Arial" w:hAnsi="Arial" w:cs="Arial"/>
          <w:color w:val="000000"/>
          <w:sz w:val="24"/>
          <w:szCs w:val="24"/>
        </w:rPr>
        <w:t xml:space="preserve">, voz que designa un apoyo o sostén. Su uso procesal es antiguo, pues Mittermaier recogió la categoría de la </w:t>
      </w:r>
      <w:r>
        <w:rPr>
          <w:rFonts w:ascii="Arial" w:eastAsia="Arial" w:hAnsi="Arial" w:cs="Arial"/>
          <w:i/>
          <w:iCs/>
          <w:color w:val="000000"/>
          <w:sz w:val="24"/>
          <w:szCs w:val="24"/>
        </w:rPr>
        <w:t xml:space="preserve">singularitas testium adminiculativa o cumulativa</w:t>
      </w:r>
      <w:r>
        <w:rPr>
          <w:rFonts w:ascii="Arial" w:eastAsia="Arial" w:hAnsi="Arial" w:cs="Arial"/>
          <w:color w:val="000000"/>
          <w:sz w:val="24"/>
          <w:szCs w:val="24"/>
        </w:rPr>
        <w:t xml:space="preserve">, empleada por los antiguos doctores.</w:t>
      </w:r>
      <w:r>
        <w:rPr>
          <w:rFonts w:ascii="Arial" w:eastAsia="Arial" w:hAnsi="Arial" w:cs="Arial"/>
          <w:color w:val="000000"/>
          <w:sz w:val="24"/>
          <w:szCs w:val="24"/>
          <w:vertAlign w:val="superscript"/>
        </w:rPr>
        <w:footnoteReference w:id="48"/>
      </w:r>
      <w:r>
        <w:rPr>
          <w:rFonts w:ascii="Arial" w:eastAsia="Arial" w:hAnsi="Arial" w:cs="Arial"/>
          <w:color w:val="000000"/>
          <w:sz w:val="24"/>
          <w:szCs w:val="24"/>
        </w:rPr>
        <w:t xml:space="preserve"> Esa categoría designaba varios testimonios que versaban sobre hechos distintos, pero que se sucedían y se completaban entre sí. El juez debía hacerse cargo de todos esos testimonios y de su íntimo enlace antes de formar su juicio. El mismo autor empleó la voz adminículos para designar las circunstancias relativas a la conducta y moralidad del acusado.</w:t>
      </w:r>
      <w:r>
        <w:rPr>
          <w:rFonts w:ascii="Arial" w:eastAsia="Arial" w:hAnsi="Arial" w:cs="Arial"/>
          <w:color w:val="000000"/>
          <w:sz w:val="24"/>
          <w:szCs w:val="24"/>
          <w:vertAlign w:val="superscript"/>
        </w:rPr>
        <w:footnoteReference w:id="49"/>
      </w:r>
      <w:r>
        <w:rPr>
          <w:rFonts w:ascii="Arial" w:eastAsia="Arial" w:hAnsi="Arial" w:cs="Arial"/>
          <w:color w:val="000000"/>
          <w:sz w:val="24"/>
          <w:szCs w:val="24"/>
        </w:rPr>
        <w:t xml:space="preserve"> Estas circunstancias no eran verdaderos indicios, sino meros complementos de prueba. La doble acepción muestra que el término nació para describir elementos que no prueban solos, pero que apoyan a otros.</w:t>
      </w:r>
    </w:p>
    <w:p>
      <w:pPr>
        <w:spacing w:before="0" w:after="0" w:line="360" w:lineRule="auto"/>
        <w:ind w:firstLine="709"/>
        <w:jc w:val="both"/>
      </w:pPr>
      <w:r>
        <w:rPr>
          <w:rFonts w:ascii="Arial" w:eastAsia="Arial" w:hAnsi="Arial" w:cs="Arial"/>
          <w:color w:val="000000"/>
          <w:sz w:val="24"/>
          <w:szCs w:val="24"/>
        </w:rPr>
        <w:t xml:space="preserve">La adminiculación tiene un anclaje legal expreso en el derecho electoral mexicano vigente. El artículo 16, párrafo 1, de la </w:t>
      </w:r>
      <w:r>
        <w:rPr>
          <w:rFonts w:ascii="Arial" w:eastAsia="Arial" w:hAnsi="Arial" w:cs="Arial"/>
          <w:i/>
          <w:iCs/>
          <w:color w:val="000000"/>
          <w:sz w:val="24"/>
          <w:szCs w:val="24"/>
        </w:rPr>
        <w:t xml:space="preserve">Ley General del Sistema de Medios de Impugnación en Materia Electoral</w:t>
      </w:r>
      <w:r>
        <w:rPr>
          <w:rFonts w:ascii="Arial" w:eastAsia="Arial" w:hAnsi="Arial" w:cs="Arial"/>
          <w:color w:val="000000"/>
          <w:sz w:val="24"/>
          <w:szCs w:val="24"/>
        </w:rPr>
        <w:t xml:space="preserve"> ordena valorar las pruebas conforme a la lógica, la sana crítica y la experiencia.</w:t>
      </w:r>
      <w:r>
        <w:rPr>
          <w:rFonts w:ascii="Arial" w:eastAsia="Arial" w:hAnsi="Arial" w:cs="Arial"/>
          <w:color w:val="000000"/>
          <w:sz w:val="24"/>
          <w:szCs w:val="24"/>
          <w:vertAlign w:val="superscript"/>
        </w:rPr>
        <w:footnoteReference w:id="50"/>
      </w:r>
      <w:r>
        <w:rPr>
          <w:rFonts w:ascii="Arial" w:eastAsia="Arial" w:hAnsi="Arial" w:cs="Arial"/>
          <w:color w:val="000000"/>
          <w:sz w:val="24"/>
          <w:szCs w:val="24"/>
        </w:rPr>
        <w:t xml:space="preserve"> El párrafo 2 otorga valor pleno a las documentales públicas. El párrafo 3 establece un régimen distinto para las demás pruebas. Las documentales privadas, las técnicas, las presuncionales y las testimoniales solo hacen prueba plena cuando generan convicción a partir de los demás elementos del expediente, las afirmaciones de las partes, la verdad conocida y el recto raciocinio de la relación que guardan entre sí. Esta última expresión describe con exactitud la operación adminiculadora. Por tanto, la adminiculación no es una creación pretoriana sin base normativa. La adminiculación es el método que la propia ley exige para perfeccionar pruebas que aisladamente son imperfectas.</w:t>
      </w:r>
    </w:p>
    <w:p>
      <w:pPr>
        <w:spacing w:before="0" w:after="0" w:line="360" w:lineRule="auto"/>
        <w:ind w:firstLine="709"/>
        <w:jc w:val="both"/>
      </w:pPr>
      <w:r>
        <w:rPr>
          <w:rFonts w:ascii="Arial" w:eastAsia="Arial" w:hAnsi="Arial" w:cs="Arial"/>
          <w:color w:val="000000"/>
          <w:sz w:val="24"/>
          <w:szCs w:val="24"/>
        </w:rPr>
        <w:t xml:space="preserve">La justicia penal federal desarrolló en paralelo la doctrina de la prueba circunstancial. La Primera Sala de la Suprema Corte de Justicia de la Nación resolvió el amparo directo 78/2012 el 21 de agosto de 2013, y de ese asunto derivó la tesis PRUEBA INDICIARIA O CIRCUNSTANCIAL. SU NATURALEZA Y ALCANCES.</w:t>
      </w:r>
      <w:r>
        <w:rPr>
          <w:rFonts w:ascii="Arial" w:eastAsia="Arial" w:hAnsi="Arial" w:cs="Arial"/>
          <w:color w:val="000000"/>
          <w:sz w:val="24"/>
          <w:szCs w:val="24"/>
          <w:vertAlign w:val="superscript"/>
        </w:rPr>
        <w:footnoteReference w:id="51"/>
      </w:r>
      <w:r>
        <w:rPr>
          <w:rFonts w:ascii="Arial" w:eastAsia="Arial" w:hAnsi="Arial" w:cs="Arial"/>
          <w:color w:val="000000"/>
          <w:sz w:val="24"/>
          <w:szCs w:val="24"/>
        </w:rPr>
        <w:t xml:space="preserve"> La Sala definió la prueba indiciaria como la dirigida a demostrar hechos que, sin ser constitutivos del delito, permiten inferirlo. La Sala exigió una conexión racional entre los hechos probados y los que se pretende acreditar. La Sala advirtió que la prueba circunstancial no debe confundirse con sospechas. El voto particular del ministro Cossío Díaz aporta un contrapunto metodológico.</w:t>
      </w:r>
      <w:r>
        <w:rPr>
          <w:rFonts w:ascii="Arial" w:eastAsia="Arial" w:hAnsi="Arial" w:cs="Arial"/>
          <w:color w:val="000000"/>
          <w:sz w:val="24"/>
          <w:szCs w:val="24"/>
          <w:vertAlign w:val="superscript"/>
        </w:rPr>
        <w:footnoteReference w:id="52"/>
      </w:r>
      <w:r>
        <w:rPr>
          <w:rFonts w:ascii="Arial" w:eastAsia="Arial" w:hAnsi="Arial" w:cs="Arial"/>
          <w:color w:val="000000"/>
          <w:sz w:val="24"/>
          <w:szCs w:val="24"/>
        </w:rPr>
        <w:t xml:space="preserve"> El ministro reprochó a la mayoría no analizar de manera exhaustiva cada una de las pruebas antes de declarar su insuficiencia. La mayoría sostuvo por su parte que diversas presunciones abstractas no se contrastaron con otras hipótesis posibles.</w:t>
      </w:r>
    </w:p>
    <w:p>
      <w:pPr>
        <w:spacing w:before="0" w:after="0" w:line="360" w:lineRule="auto"/>
        <w:ind w:firstLine="709"/>
        <w:jc w:val="both"/>
      </w:pPr>
      <w:r>
        <w:rPr>
          <w:rFonts w:ascii="Arial" w:eastAsia="Arial" w:hAnsi="Arial" w:cs="Arial"/>
          <w:color w:val="000000"/>
          <w:sz w:val="24"/>
          <w:szCs w:val="24"/>
        </w:rPr>
        <w:t xml:space="preserve">Los tribunales colegiados trasladaron esa doctrina al sistema acusatorio y precisaron sus condiciones de validez. El Primer Tribunal Colegiado en Materia Penal del Segundo Circuito sostuvo que el ejercicio inferencial es válido para condenar.</w:t>
      </w:r>
      <w:r>
        <w:rPr>
          <w:rFonts w:ascii="Arial" w:eastAsia="Arial" w:hAnsi="Arial" w:cs="Arial"/>
          <w:color w:val="000000"/>
          <w:sz w:val="24"/>
          <w:szCs w:val="24"/>
          <w:vertAlign w:val="superscript"/>
        </w:rPr>
        <w:footnoteReference w:id="53"/>
      </w:r>
      <w:r>
        <w:rPr>
          <w:rFonts w:ascii="Arial" w:eastAsia="Arial" w:hAnsi="Arial" w:cs="Arial"/>
          <w:color w:val="000000"/>
          <w:sz w:val="24"/>
          <w:szCs w:val="24"/>
        </w:rPr>
        <w:t xml:space="preserve"> El tribunal condicionó esa validez a que el resultado satisfaga el umbral de culpabilidad más allá de toda duda razonable. El tribunal exigió indicios unívocos, concurrentes, convergentes e interrelacionados. Para justificar su criterio, el colegiado invocó la sentencia 175/1985 del Tribunal Constitucional español. El colegiado citó en el mismo sentido la sentencia 229/1988 de ese tribunal, que exige explicitar el recorrido mental que conduce a tener por probados los hechos. El colegiado mencionó la jurisprudencia de la Corte Interamericana de Derechos Humanos sobre prueba circunstancial. Este criterio es relevante porque separa con claridad el ejercicio inferencial del umbral de suficiencia.</w:t>
      </w:r>
    </w:p>
    <w:p>
      <w:pPr>
        <w:spacing w:before="0" w:after="0" w:line="360" w:lineRule="auto"/>
        <w:ind w:firstLine="709"/>
        <w:jc w:val="both"/>
      </w:pPr>
      <w:r>
        <w:rPr>
          <w:rFonts w:ascii="Arial" w:eastAsia="Arial" w:hAnsi="Arial" w:cs="Arial"/>
          <w:color w:val="000000"/>
          <w:sz w:val="24"/>
          <w:szCs w:val="24"/>
        </w:rPr>
        <w:t xml:space="preserve">La adminiculación adquirió perfiles propios en materia electoral por la naturaleza de los hechos que se discuten en ella. La Sala Superior enfrentó irregularidades que, por su naturaleza, rara vez dejan prueba documental directa. El juicio de revisión constitucional electoral SUP-JRC-487/2000, relativo a la elección de gobernador de Tabasco, ilustra el método con precisión. En ese juicio la Sala Superior anunció que analizaría las pruebas en dos etapas sucesivas.</w:t>
      </w:r>
      <w:r>
        <w:rPr>
          <w:rFonts w:ascii="Arial" w:eastAsia="Arial" w:hAnsi="Arial" w:cs="Arial"/>
          <w:color w:val="000000"/>
          <w:sz w:val="24"/>
          <w:szCs w:val="24"/>
          <w:vertAlign w:val="superscript"/>
        </w:rPr>
        <w:footnoteReference w:id="54"/>
      </w:r>
      <w:r>
        <w:rPr>
          <w:rFonts w:ascii="Arial" w:eastAsia="Arial" w:hAnsi="Arial" w:cs="Arial"/>
          <w:color w:val="000000"/>
          <w:sz w:val="24"/>
          <w:szCs w:val="24"/>
        </w:rPr>
        <w:t xml:space="preserve"> La primera etapa examinaría cada probanza en forma particular, y la segunda valoraría las pruebas de manera concatenada mediante la adminiculación de sus contenidos. El objetivo declarado fue poner de relieve concordancias y discordancias para establecer su valor exacto. La Sala sostuvo en la misma resolución que los testimonios rendidos ante notario solo constituyen indicios. Esos testimonios debían adminicularse con otros medios que produjeran certidumbre sobre los hechos para formar convicción.</w:t>
      </w:r>
    </w:p>
    <w:p>
      <w:pPr>
        <w:spacing w:before="0" w:after="0" w:line="360" w:lineRule="auto"/>
        <w:ind w:firstLine="709"/>
        <w:jc w:val="both"/>
      </w:pPr>
      <w:r>
        <w:rPr>
          <w:rFonts w:ascii="Arial" w:eastAsia="Arial" w:hAnsi="Arial" w:cs="Arial"/>
          <w:color w:val="000000"/>
          <w:sz w:val="24"/>
          <w:szCs w:val="24"/>
        </w:rPr>
        <w:t xml:space="preserve">La Sala Superior emitió criterios congruentes con ese método respecto de pruebas de bajo valor autónomo, que abundan en los juicios electorales. La jurisprudencia 38/2002 estableció que las notas periodísticas solo pueden arrojar indicios.</w:t>
      </w:r>
      <w:r>
        <w:rPr>
          <w:rFonts w:ascii="Arial" w:eastAsia="Arial" w:hAnsi="Arial" w:cs="Arial"/>
          <w:color w:val="000000"/>
          <w:sz w:val="24"/>
          <w:szCs w:val="24"/>
          <w:vertAlign w:val="superscript"/>
        </w:rPr>
        <w:footnoteReference w:id="55"/>
      </w:r>
      <w:r>
        <w:rPr>
          <w:rFonts w:ascii="Arial" w:eastAsia="Arial" w:hAnsi="Arial" w:cs="Arial"/>
          <w:color w:val="000000"/>
          <w:sz w:val="24"/>
          <w:szCs w:val="24"/>
        </w:rPr>
        <w:t xml:space="preserve"> La fuerza de esas notas aumenta cuando provienen de medios y autores distintos, coinciden en lo sustancial y no son desmentidas por el afectado. La jurisprudencia 4/2014 calificó como imperfectas las pruebas técnicas.</w:t>
      </w:r>
      <w:r>
        <w:rPr>
          <w:rFonts w:ascii="Arial" w:eastAsia="Arial" w:hAnsi="Arial" w:cs="Arial"/>
          <w:color w:val="000000"/>
          <w:sz w:val="24"/>
          <w:szCs w:val="24"/>
          <w:vertAlign w:val="superscript"/>
        </w:rPr>
        <w:footnoteReference w:id="56"/>
      </w:r>
      <w:r>
        <w:rPr>
          <w:rFonts w:ascii="Arial" w:eastAsia="Arial" w:hAnsi="Arial" w:cs="Arial"/>
          <w:color w:val="000000"/>
          <w:sz w:val="24"/>
          <w:szCs w:val="24"/>
        </w:rPr>
        <w:t xml:space="preserve"> Su imperfección deriva de la facilidad para alterarlas y de la dificultad para detectar la alteración. Por ello las pruebas técnicas requieren otros elementos que las corroboren. Ambos criterios comparten una lógica común que coincide con las exigencias doctrinales de independencia y variedad. La independencia de las fuentes y la corroboración externa suplen la debilidad de cada elemento aislado y convierten un conjunto de datos frágiles en una base razonable para decidir.</w:t>
      </w:r>
    </w:p>
    <w:p>
      <w:pPr>
        <w:spacing w:before="0" w:after="0" w:line="360" w:lineRule="auto"/>
        <w:ind w:firstLine="709"/>
        <w:jc w:val="both"/>
      </w:pPr>
      <w:r>
        <w:rPr>
          <w:rFonts w:ascii="Arial" w:eastAsia="Arial" w:hAnsi="Arial" w:cs="Arial"/>
          <w:color w:val="000000"/>
          <w:sz w:val="24"/>
          <w:szCs w:val="24"/>
        </w:rPr>
        <w:t xml:space="preserve">La Sala Superior vinculó la prueba indiciaria con el carácter determinante de las irregularidades que se invocan como causa de nulidad. La tesis XXXI/2004 distinguió los factores cualitativo y cuantitativo de la determinancia.</w:t>
      </w:r>
      <w:r>
        <w:rPr>
          <w:rFonts w:ascii="Arial" w:eastAsia="Arial" w:hAnsi="Arial" w:cs="Arial"/>
          <w:color w:val="000000"/>
          <w:sz w:val="24"/>
          <w:szCs w:val="24"/>
          <w:vertAlign w:val="superscript"/>
        </w:rPr>
        <w:footnoteReference w:id="57"/>
      </w:r>
      <w:r>
        <w:rPr>
          <w:rFonts w:ascii="Arial" w:eastAsia="Arial" w:hAnsi="Arial" w:cs="Arial"/>
          <w:color w:val="000000"/>
          <w:sz w:val="24"/>
          <w:szCs w:val="24"/>
        </w:rPr>
        <w:t xml:space="preserve"> El factor cuantitativo atiende al número cierto o racionalmente calculable de votos irregulares. La tesis admitió que ese número puede establecerse mediante prueba directa o indirecta, como la indiciaria. Esta precisión reconoce que la prueba indiciaria puede incidir en la medición del impacto de la irregularidad. No obstante, la jurisprudencia 9/98 impone un contrapeso a esa apertura probatoria. El principio de conservación de los actos públicos válidamente celebrados exige acreditar plenamente las causales de nulidad.</w:t>
      </w:r>
      <w:r>
        <w:rPr>
          <w:rFonts w:ascii="Arial" w:eastAsia="Arial" w:hAnsi="Arial" w:cs="Arial"/>
          <w:color w:val="000000"/>
          <w:sz w:val="24"/>
          <w:szCs w:val="24"/>
          <w:vertAlign w:val="superscript"/>
        </w:rPr>
        <w:footnoteReference w:id="58"/>
      </w:r>
      <w:r>
        <w:rPr>
          <w:rFonts w:ascii="Arial" w:eastAsia="Arial" w:hAnsi="Arial" w:cs="Arial"/>
          <w:color w:val="000000"/>
          <w:sz w:val="24"/>
          <w:szCs w:val="24"/>
        </w:rPr>
        <w:t xml:space="preserve"> La jurisprudencia 44/2024 reiteró esa exigencia de plena acreditación para la nulidad por violación a principios constitucionales, sin precisar el grado de prueba que la satisface.</w:t>
      </w:r>
      <w:r>
        <w:rPr>
          <w:rFonts w:ascii="Arial" w:eastAsia="Arial" w:hAnsi="Arial" w:cs="Arial"/>
          <w:color w:val="000000"/>
          <w:sz w:val="24"/>
          <w:szCs w:val="24"/>
          <w:vertAlign w:val="superscript"/>
        </w:rPr>
        <w:footnoteReference w:id="59"/>
      </w:r>
    </w:p>
    <w:p>
      <w:pPr>
        <w:spacing w:before="0" w:after="0" w:line="360" w:lineRule="auto"/>
        <w:ind w:firstLine="709"/>
        <w:jc w:val="both"/>
      </w:pPr>
      <w:r>
        <w:rPr>
          <w:rFonts w:ascii="Arial" w:eastAsia="Arial" w:hAnsi="Arial" w:cs="Arial"/>
          <w:color w:val="000000"/>
          <w:sz w:val="24"/>
          <w:szCs w:val="24"/>
        </w:rPr>
        <w:t xml:space="preserve">La sentencia SUP-JIN-194/2025 y acumulados representa la sistematización más reciente del razonamiento indiciario en la Sala Superior. El caso versó sobre la elección de ministras y ministros de la Suprema Corte de Justicia de la Nación.</w:t>
      </w:r>
      <w:r>
        <w:rPr>
          <w:rFonts w:ascii="Arial" w:eastAsia="Arial" w:hAnsi="Arial" w:cs="Arial"/>
          <w:color w:val="000000"/>
          <w:sz w:val="24"/>
          <w:szCs w:val="24"/>
          <w:vertAlign w:val="superscript"/>
        </w:rPr>
        <w:footnoteReference w:id="60"/>
      </w:r>
      <w:r>
        <w:rPr>
          <w:rFonts w:ascii="Arial" w:eastAsia="Arial" w:hAnsi="Arial" w:cs="Arial"/>
          <w:color w:val="000000"/>
          <w:sz w:val="24"/>
          <w:szCs w:val="24"/>
        </w:rPr>
        <w:t xml:space="preserve"> La Sala reconoció que la parte actora difícilmente podía obtener pruebas directas de cada conducta denunciada y admitió por ello la prueba mediante indicios y ejercicios inferenciales. La Sala fijó, sin embargo, tres requisitos para que esa forma de prueba resultara admisible. El primero exige indicios acreditados con pruebas directas, plurales, concomitantes al hecho e interrelacionados. Ese mismo requisito exige inferencias razonables que fluyan de manera natural, sin conexiones forzadas. El segundo requisito exige un razonamiento pormenorizado que permita reconstruir el ejercicio inferencial en la sentencia. El tercero exige contrastar la conclusión con otras hipótesis para descartarlas.</w:t>
      </w:r>
    </w:p>
    <w:p>
      <w:pPr>
        <w:spacing w:before="0" w:after="0" w:line="360" w:lineRule="auto"/>
        <w:ind w:firstLine="709"/>
        <w:jc w:val="both"/>
      </w:pPr>
      <w:r>
        <w:rPr>
          <w:rFonts w:ascii="Arial" w:eastAsia="Arial" w:hAnsi="Arial" w:cs="Arial"/>
          <w:color w:val="000000"/>
          <w:sz w:val="24"/>
          <w:szCs w:val="24"/>
        </w:rPr>
        <w:t xml:space="preserve">La Sala Superior desestimó la pretensión de nulidad al aplicar ese marco. La Sala concluyó que no existían pruebas directas de los hechos indiciarios.</w:t>
      </w:r>
      <w:r>
        <w:rPr>
          <w:rFonts w:ascii="Arial" w:eastAsia="Arial" w:hAnsi="Arial" w:cs="Arial"/>
          <w:color w:val="000000"/>
          <w:sz w:val="24"/>
          <w:szCs w:val="24"/>
          <w:vertAlign w:val="superscript"/>
        </w:rPr>
        <w:footnoteReference w:id="61"/>
      </w:r>
      <w:r>
        <w:rPr>
          <w:rFonts w:ascii="Arial" w:eastAsia="Arial" w:hAnsi="Arial" w:cs="Arial"/>
          <w:color w:val="000000"/>
          <w:sz w:val="24"/>
          <w:szCs w:val="24"/>
        </w:rPr>
        <w:t xml:space="preserve"> La pluralidad tampoco existía, pues solo había indicio sobre la existencia limitada de los materiales aportados, y faltaban indicios concomitantes que permitieran inferir su difusión, su autoría o su financiamiento. Sin indicios suficientes no era posible realizar inferencias lógicas. La resolución muestra el grado de desarrollo de la doctrina jurisdiccional, porque sus requisitos coinciden con los criterios de solidez descritos por González Lagier. La exigencia de contrastar hipótesis reproduce el criterio de eliminación de alternativas que Mittermaier ya planteaba. Con todo, la sentencia no explicita qué grado de corroboración conjunta basta para tener por probada una hipótesis. Esa omisión es el punto de partida de la crítica al uso forense de la adminiculación.</w:t>
      </w:r>
    </w:p>
    <w:p>
      <w:pPr>
        <w:spacing w:before="0" w:after="0" w:line="360" w:lineRule="auto"/>
        <w:ind w:firstLine="709"/>
        <w:jc w:val="both"/>
      </w:pPr>
      <w:r>
        <w:rPr>
          <w:rFonts w:ascii="Arial" w:eastAsia="Arial" w:hAnsi="Arial" w:cs="Arial"/>
          <w:color w:val="000000"/>
          <w:sz w:val="24"/>
          <w:szCs w:val="24"/>
        </w:rPr>
        <w:t xml:space="preserve">La crítica al uso forense de la adminiculación se articula en cinco objeciones. La primera objeción se dirige contra la fórmula de la valoración conjunta cuando se emplea sin motivación analítica. Igartua advierte que el calificativo conjunta parece eximir de toda glosa y que esa dejación convierte la valoración conjunta en el baluarte de la valoración más subjetiva e incontrolable.</w:t>
      </w:r>
      <w:r>
        <w:rPr>
          <w:rFonts w:ascii="Arial" w:eastAsia="Arial" w:hAnsi="Arial" w:cs="Arial"/>
          <w:color w:val="000000"/>
          <w:sz w:val="24"/>
          <w:szCs w:val="24"/>
          <w:vertAlign w:val="superscript"/>
        </w:rPr>
        <w:footnoteReference w:id="62"/>
      </w:r>
      <w:r>
        <w:rPr>
          <w:rFonts w:ascii="Arial" w:eastAsia="Arial" w:hAnsi="Arial" w:cs="Arial"/>
          <w:color w:val="000000"/>
          <w:sz w:val="24"/>
          <w:szCs w:val="24"/>
        </w:rPr>
        <w:t xml:space="preserve"> El autor describe dos imágenes opuestas. La imagen correcta es la de un ramillete, cuyos elementos siguen siendo distinguibles.</w:t>
      </w:r>
      <w:r>
        <w:rPr>
          <w:rFonts w:ascii="Arial" w:eastAsia="Arial" w:hAnsi="Arial" w:cs="Arial"/>
          <w:color w:val="000000"/>
          <w:sz w:val="24"/>
          <w:szCs w:val="24"/>
          <w:vertAlign w:val="superscript"/>
        </w:rPr>
        <w:footnoteReference w:id="63"/>
      </w:r>
      <w:r>
        <w:rPr>
          <w:rFonts w:ascii="Arial" w:eastAsia="Arial" w:hAnsi="Arial" w:cs="Arial"/>
          <w:color w:val="000000"/>
          <w:sz w:val="24"/>
          <w:szCs w:val="24"/>
        </w:rPr>
        <w:t xml:space="preserve"> La imagen incorrecta es la de un puré, donde todo se funde en una convicción indistinta. Muchas sentencias adoptan la segunda imagen, y en ellas el lector no puede saber qué indicio sostuvo qué parte de la conclusión. En consecuencia, la adminiculación deja de ser un método y se convierte en una fórmula de estilo.</w:t>
      </w:r>
    </w:p>
    <w:p>
      <w:pPr>
        <w:spacing w:before="0" w:after="0" w:line="360" w:lineRule="auto"/>
        <w:ind w:firstLine="709"/>
        <w:jc w:val="both"/>
      </w:pPr>
      <w:r>
        <w:rPr>
          <w:rFonts w:ascii="Arial" w:eastAsia="Arial" w:hAnsi="Arial" w:cs="Arial"/>
          <w:color w:val="000000"/>
          <w:sz w:val="24"/>
          <w:szCs w:val="24"/>
        </w:rPr>
        <w:t xml:space="preserve">La segunda objeción atañe al conteo indebido de indicios, que produce una apariencia de corroboración sin sustento real. La pluralidad puede simularse mediante la fragmentación de un mismo hecho en varios enunciados que el tribunal cuenta como indicios distintos. Mittermaier ya denunció este riesgo al exigir que cada indicio descansara en una circunstancia independiente.</w:t>
      </w:r>
      <w:r>
        <w:rPr>
          <w:rFonts w:ascii="Arial" w:eastAsia="Arial" w:hAnsi="Arial" w:cs="Arial"/>
          <w:color w:val="000000"/>
          <w:sz w:val="24"/>
          <w:szCs w:val="24"/>
          <w:vertAlign w:val="superscript"/>
        </w:rPr>
        <w:footnoteReference w:id="64"/>
      </w:r>
      <w:r>
        <w:rPr>
          <w:rFonts w:ascii="Arial" w:eastAsia="Arial" w:hAnsi="Arial" w:cs="Arial"/>
          <w:color w:val="000000"/>
          <w:sz w:val="24"/>
          <w:szCs w:val="24"/>
        </w:rPr>
        <w:t xml:space="preserve"> El mismo peligro aparece cuando varias notas periodísticas reproducen una única fuente, aunque se publiquen en medios diferentes. En tal caso la coincidencia entre las notas expresa repetición y no corroboración. Ferrer Beltrán explica que las pruebas redundantes aportan un rendimiento decreciente.</w:t>
      </w:r>
      <w:r>
        <w:rPr>
          <w:rFonts w:ascii="Arial" w:eastAsia="Arial" w:hAnsi="Arial" w:cs="Arial"/>
          <w:color w:val="000000"/>
          <w:sz w:val="24"/>
          <w:szCs w:val="24"/>
          <w:vertAlign w:val="superscript"/>
        </w:rPr>
        <w:footnoteReference w:id="65"/>
      </w:r>
      <w:r>
        <w:rPr>
          <w:rFonts w:ascii="Arial" w:eastAsia="Arial" w:hAnsi="Arial" w:cs="Arial"/>
          <w:color w:val="000000"/>
          <w:sz w:val="24"/>
          <w:szCs w:val="24"/>
        </w:rPr>
        <w:t xml:space="preserve"> Por lo tanto, sumar indicios dependientes no multiplica la confirmación de la hipótesis, aunque aumente el volumen del expediente. Esta advertencia resulta especialmente pertinente en materia electoral, donde abundan pruebas técnicas y periodísticas de origen común.</w:t>
      </w:r>
    </w:p>
    <w:p>
      <w:pPr>
        <w:spacing w:before="0" w:after="0" w:line="360" w:lineRule="auto"/>
        <w:ind w:firstLine="709"/>
        <w:jc w:val="both"/>
      </w:pPr>
      <w:r>
        <w:rPr>
          <w:rFonts w:ascii="Arial" w:eastAsia="Arial" w:hAnsi="Arial" w:cs="Arial"/>
          <w:color w:val="000000"/>
          <w:sz w:val="24"/>
          <w:szCs w:val="24"/>
        </w:rPr>
        <w:t xml:space="preserve">La tercera objeción se refiere a la opacidad de las máximas de experiencia. Muchas resoluciones enlazan indicios y conclusiones sin enunciar la regla de experiencia que autoriza el paso de unos a otras. Esa omisión impide verificar si la máxima está bien fundada o si es un prejuicio. González Lagier recuerda que las máximas de experiencia solo son probables en sentido inferencial.</w:t>
      </w:r>
      <w:r>
        <w:rPr>
          <w:rFonts w:ascii="Arial" w:eastAsia="Arial" w:hAnsi="Arial" w:cs="Arial"/>
          <w:color w:val="000000"/>
          <w:sz w:val="24"/>
          <w:szCs w:val="24"/>
          <w:vertAlign w:val="superscript"/>
        </w:rPr>
        <w:footnoteReference w:id="66"/>
      </w:r>
      <w:r>
        <w:rPr>
          <w:rFonts w:ascii="Arial" w:eastAsia="Arial" w:hAnsi="Arial" w:cs="Arial"/>
          <w:color w:val="000000"/>
          <w:sz w:val="24"/>
          <w:szCs w:val="24"/>
        </w:rPr>
        <w:t xml:space="preserve"> Cuanto menor es la probabilidad causal que expresan, menor es la probabilidad de la hipótesis final. Una sentencia que no explicita la máxima tampoco explicita esa probabilidad. De esta manera, la inferencia queda inmunizada contra el control de las partes y del tribunal que revisa la sentencia. La exigencia de la sentencia 229/1988 del Tribunal Constitucional español, recogida por el tribunal colegiado mexicano, apunta precisamente a este defecto.</w:t>
      </w:r>
      <w:r>
        <w:rPr>
          <w:rFonts w:ascii="Arial" w:eastAsia="Arial" w:hAnsi="Arial" w:cs="Arial"/>
          <w:color w:val="000000"/>
          <w:sz w:val="24"/>
          <w:szCs w:val="24"/>
          <w:vertAlign w:val="superscript"/>
        </w:rPr>
        <w:footnoteReference w:id="67"/>
      </w:r>
    </w:p>
    <w:p>
      <w:pPr>
        <w:spacing w:before="0" w:after="0" w:line="360" w:lineRule="auto"/>
        <w:ind w:firstLine="709"/>
        <w:jc w:val="both"/>
      </w:pPr>
      <w:r>
        <w:rPr>
          <w:rFonts w:ascii="Arial" w:eastAsia="Arial" w:hAnsi="Arial" w:cs="Arial"/>
          <w:color w:val="000000"/>
          <w:sz w:val="24"/>
          <w:szCs w:val="24"/>
        </w:rPr>
        <w:t xml:space="preserve">La cuarta objeción recae sobre el riesgo inverso de la rigidez. González Lagier advierte que fijar criterios de valoración por vía jurisprudencial puede instaurar un nuevo sistema de prueba tasada.</w:t>
      </w:r>
      <w:r>
        <w:rPr>
          <w:rFonts w:ascii="Arial" w:eastAsia="Arial" w:hAnsi="Arial" w:cs="Arial"/>
          <w:color w:val="000000"/>
          <w:sz w:val="24"/>
          <w:szCs w:val="24"/>
          <w:vertAlign w:val="superscript"/>
        </w:rPr>
        <w:footnoteReference w:id="68"/>
      </w:r>
      <w:r>
        <w:rPr>
          <w:rFonts w:ascii="Arial" w:eastAsia="Arial" w:hAnsi="Arial" w:cs="Arial"/>
          <w:color w:val="000000"/>
          <w:sz w:val="24"/>
          <w:szCs w:val="24"/>
        </w:rPr>
        <w:t xml:space="preserve"> Ese riesgo aparece si los criterios se aplican como requisitos mecánicos y no como pautas graduales. La historia confirma la advertencia, pues la ley austriaca de 1833 exigía un número mínimo de indicios.</w:t>
      </w:r>
      <w:r>
        <w:rPr>
          <w:rFonts w:ascii="Arial" w:eastAsia="Arial" w:hAnsi="Arial" w:cs="Arial"/>
          <w:color w:val="000000"/>
          <w:sz w:val="24"/>
          <w:szCs w:val="24"/>
          <w:vertAlign w:val="superscript"/>
        </w:rPr>
        <w:footnoteReference w:id="69"/>
      </w:r>
      <w:r>
        <w:rPr>
          <w:rFonts w:ascii="Arial" w:eastAsia="Arial" w:hAnsi="Arial" w:cs="Arial"/>
          <w:color w:val="000000"/>
          <w:sz w:val="24"/>
          <w:szCs w:val="24"/>
        </w:rPr>
        <w:t xml:space="preserve"> El propio Mittermaier consideró que exigir de manera absoluta indicios anteriores, concomitantes y posteriores obligaría a absolver aun ante una culpabilidad cierta.</w:t>
      </w:r>
      <w:r>
        <w:rPr>
          <w:rFonts w:ascii="Arial" w:eastAsia="Arial" w:hAnsi="Arial" w:cs="Arial"/>
          <w:color w:val="000000"/>
          <w:sz w:val="24"/>
          <w:szCs w:val="24"/>
          <w:vertAlign w:val="superscript"/>
        </w:rPr>
        <w:footnoteReference w:id="70"/>
      </w:r>
      <w:r>
        <w:rPr>
          <w:rFonts w:ascii="Arial" w:eastAsia="Arial" w:hAnsi="Arial" w:cs="Arial"/>
          <w:color w:val="000000"/>
          <w:sz w:val="24"/>
          <w:szCs w:val="24"/>
        </w:rPr>
        <w:t xml:space="preserve"> Por consiguiente, los requisitos de pluralidad, concomitancia e interrelación deben leerse como criterios de solidez. Esos requisitos no deben leerse como casillas cuya mera marca garantiza la conclusión. La lectura gradual de los requisitos deja abierta la pregunta sobre el peso que debe alcanzar el conjunto.</w:t>
      </w:r>
    </w:p>
    <w:p>
      <w:pPr>
        <w:spacing w:before="0" w:after="0" w:line="360" w:lineRule="auto"/>
        <w:ind w:firstLine="709"/>
        <w:jc w:val="both"/>
      </w:pPr>
      <w:r>
        <w:rPr>
          <w:rFonts w:ascii="Arial" w:eastAsia="Arial" w:hAnsi="Arial" w:cs="Arial"/>
          <w:color w:val="000000"/>
          <w:sz w:val="24"/>
          <w:szCs w:val="24"/>
        </w:rPr>
        <w:t xml:space="preserve">La quinta objeción, la más relevante para esta investigación, es la ausencia de un umbral explícito. Los requisitos jurisprudenciales indican cómo construir la inferencia, pero no cuánto debe pesar el conjunto. Igartua expresa esta carencia con claridad al cerrar su análisis de la valoración conjunta.</w:t>
      </w:r>
      <w:r>
        <w:rPr>
          <w:rFonts w:ascii="Arial" w:eastAsia="Arial" w:hAnsi="Arial" w:cs="Arial"/>
          <w:color w:val="000000"/>
          <w:sz w:val="24"/>
          <w:szCs w:val="24"/>
          <w:vertAlign w:val="superscript"/>
        </w:rPr>
        <w:footnoteReference w:id="71"/>
      </w:r>
      <w:r>
        <w:rPr>
          <w:rFonts w:ascii="Arial" w:eastAsia="Arial" w:hAnsi="Arial" w:cs="Arial"/>
          <w:color w:val="000000"/>
          <w:sz w:val="24"/>
          <w:szCs w:val="24"/>
        </w:rPr>
        <w:t xml:space="preserve"> El colofón de esa valoración consiste en determinar el grado de confirmación de la hipótesis, y ese grado se mide con el estándar que corresponda. A diferencia de la valoración individual, en esta fase no rige el todo o nada. El criterio que rige es el más o el menos, en función de la probabilidad de la reconstrucción. De ahí que la adminiculación sea incompleta por sí sola como criterio de decisión. La adminiculación requiere un parámetro externo que indique cuándo la probabilidad alcanzada basta.</w:t>
      </w:r>
    </w:p>
    <w:p>
      <w:pPr>
        <w:spacing w:before="0" w:after="0" w:line="360" w:lineRule="auto"/>
        <w:ind w:firstLine="709"/>
        <w:jc w:val="both"/>
      </w:pPr>
      <w:r>
        <w:rPr>
          <w:rFonts w:ascii="Arial" w:eastAsia="Arial" w:hAnsi="Arial" w:cs="Arial"/>
          <w:color w:val="000000"/>
          <w:sz w:val="24"/>
          <w:szCs w:val="24"/>
        </w:rPr>
        <w:t xml:space="preserve">La quinta objeción conduce a deslindar la adminiculación del estándar de prueba. Una confusión frecuente consiste en tratar la adminiculación como si fuera un estándar de prueba. La teoría de los momentos de la actividad probatoria aclara esa distinción con precisión. Ferrer Beltrán distingue la conformación del conjunto de elementos de juicio, la valoración de esos elementos y la adopción de la decisión sobre los hechos probados.</w:t>
      </w:r>
      <w:r>
        <w:rPr>
          <w:rFonts w:ascii="Arial" w:eastAsia="Arial" w:hAnsi="Arial" w:cs="Arial"/>
          <w:color w:val="000000"/>
          <w:sz w:val="24"/>
          <w:szCs w:val="24"/>
          <w:vertAlign w:val="superscript"/>
        </w:rPr>
        <w:footnoteReference w:id="72"/>
      </w:r>
      <w:r>
        <w:rPr>
          <w:rFonts w:ascii="Arial" w:eastAsia="Arial" w:hAnsi="Arial" w:cs="Arial"/>
          <w:color w:val="000000"/>
          <w:sz w:val="24"/>
          <w:szCs w:val="24"/>
        </w:rPr>
        <w:t xml:space="preserve"> En el momento de la valoración, cada hipótesis recibe un grado de confirmación según el apoyo que le prestan los elementos de juicio disponibles. En el momento de la decisión, un estándar de prueba determina si ese grado basta para declarar probada la hipótesis. La adminiculación pertenece al momento de la valoración de la prueba. El estándar de prueba pertenece al momento de la decisión.</w:t>
      </w:r>
    </w:p>
    <w:p>
      <w:pPr>
        <w:spacing w:before="0" w:after="0" w:line="360" w:lineRule="auto"/>
        <w:ind w:firstLine="709"/>
        <w:jc w:val="both"/>
      </w:pPr>
      <w:r>
        <w:rPr>
          <w:rFonts w:ascii="Arial" w:eastAsia="Arial" w:hAnsi="Arial" w:cs="Arial"/>
          <w:color w:val="000000"/>
          <w:sz w:val="24"/>
          <w:szCs w:val="24"/>
        </w:rPr>
        <w:t xml:space="preserve">Esa distinción entre momentos sostiene una consecuencia metodológica central para el análisis del razonamiento probatorio. Ferrer Beltrán afirma que el resultado de la valoración no implica por sí solo nada respecto de la decisión.</w:t>
      </w:r>
      <w:r>
        <w:rPr>
          <w:rFonts w:ascii="Arial" w:eastAsia="Arial" w:hAnsi="Arial" w:cs="Arial"/>
          <w:color w:val="000000"/>
          <w:sz w:val="24"/>
          <w:szCs w:val="24"/>
          <w:vertAlign w:val="superscript"/>
        </w:rPr>
        <w:footnoteReference w:id="73"/>
      </w:r>
      <w:r>
        <w:rPr>
          <w:rFonts w:ascii="Arial" w:eastAsia="Arial" w:hAnsi="Arial" w:cs="Arial"/>
          <w:color w:val="000000"/>
          <w:sz w:val="24"/>
          <w:szCs w:val="24"/>
        </w:rPr>
        <w:t xml:space="preserve"> La decisión sobre los hechos requiere la intermediación de algún estándar de prueba que fije el grado de confirmación suficiente. Ni siquiera la hipótesis más confirmada debe darse siempre por probada si su grado de confirmación no alcanza ese umbral. En el proceso penal, por ejemplo, la hipótesis acusatoria puede tener más apoyo que la de inocencia y aun así no alcanzar el umbral exigido. La elección del estándar es propiamente jurídica.</w:t>
      </w:r>
      <w:r>
        <w:rPr>
          <w:rFonts w:ascii="Arial" w:eastAsia="Arial" w:hAnsi="Arial" w:cs="Arial"/>
          <w:color w:val="000000"/>
          <w:sz w:val="24"/>
          <w:szCs w:val="24"/>
          <w:vertAlign w:val="superscript"/>
        </w:rPr>
        <w:footnoteReference w:id="74"/>
      </w:r>
      <w:r>
        <w:rPr>
          <w:rFonts w:ascii="Arial" w:eastAsia="Arial" w:hAnsi="Arial" w:cs="Arial"/>
          <w:color w:val="000000"/>
          <w:sz w:val="24"/>
          <w:szCs w:val="24"/>
        </w:rPr>
        <w:t xml:space="preserve"> Esa elección responde a los valores en juego en cada tipo de proceso y a la distribución de errores que el derecho considera tolerable. Igartua coincide en que compete al legislador fijar la cantidad de prueba exigida.</w:t>
      </w:r>
      <w:r>
        <w:rPr>
          <w:rFonts w:ascii="Arial" w:eastAsia="Arial" w:hAnsi="Arial" w:cs="Arial"/>
          <w:color w:val="000000"/>
          <w:sz w:val="24"/>
          <w:szCs w:val="24"/>
          <w:vertAlign w:val="superscript"/>
        </w:rPr>
        <w:footnoteReference w:id="75"/>
      </w:r>
    </w:p>
    <w:p>
      <w:pPr>
        <w:spacing w:before="0" w:after="0" w:line="360" w:lineRule="auto"/>
        <w:ind w:firstLine="709"/>
        <w:jc w:val="both"/>
      </w:pPr>
      <w:r>
        <w:rPr>
          <w:rFonts w:ascii="Arial" w:eastAsia="Arial" w:hAnsi="Arial" w:cs="Arial"/>
          <w:color w:val="000000"/>
          <w:sz w:val="24"/>
          <w:szCs w:val="24"/>
        </w:rPr>
        <w:t xml:space="preserve">La materia electoral carece de un estándar de prueba enunciado con claridad, a diferencia del proceso penal. La jurisprudencia electoral exige que las irregularidades estén plenamente acreditadas y que sean determinantes. La expresión plenamente acreditadas no indica qué grado de confirmación conjunta satisface esa exigencia. La tesis II.1o.P.1 P (11a.) muestra que en el ámbito penal el umbral de la duda razonable opera como límite externo del ejercicio inferencial. La sentencia SUP-JIN-194/2025 describe con detalle cómo construir la inferencia indiciaria en materia electoral. Esa sentencia no precisa el umbral con el que debe contrastarse el resultado. La consecuencia de esa omisión es una zona de discrecionalidad que ningún criterio jurisprudencial ha delimitado. En esa zona dos tribunales pueden aplicar correctamente la adminiculación y llegar a decisiones opuestas sobre los mismos hechos.</w:t>
      </w:r>
    </w:p>
    <w:p>
      <w:pPr>
        <w:spacing w:before="0" w:after="0" w:line="360" w:lineRule="auto"/>
        <w:ind w:firstLine="709"/>
        <w:jc w:val="both"/>
      </w:pPr>
      <w:r>
        <w:rPr>
          <w:rFonts w:ascii="Arial" w:eastAsia="Arial" w:hAnsi="Arial" w:cs="Arial"/>
          <w:color w:val="000000"/>
          <w:sz w:val="24"/>
          <w:szCs w:val="24"/>
        </w:rPr>
        <w:t xml:space="preserve">La adminiculación resuelve cómo se construyen y articulan los indicios que obran en el expediente. La adminiculación no resuelve cuánta fuerza epistémica conjunta se necesita para tener por acreditado un hecho. La primera cuestión es metodológica y se rige por criterios de solidez inferencial. La segunda cuestión es normativa y se rige por una regla de decisión. La confusión de ambas cuestiones produce dos errores simétricos que afectan la calidad de las decisiones judiciales. El primer error consiste en creer que una adminiculación correcta garantiza por sí sola la decisión sobre los hechos. El segundo error consiste en creer que un estándar exigente dispensa al tribunal de motivar la inferencia que conduce a su conclusión. Esta limitación inherente al método adminiculador justifica el estudio del estándar de prueba como regla de decisión autónoma.</w:t>
      </w:r>
    </w:p>
    <w:p>
      <w:pPr>
        <w:spacing w:before="0" w:after="0" w:line="360" w:lineRule="auto"/>
        <w:ind w:firstLine="709"/>
        <w:jc w:val="both"/>
      </w:pPr>
      <w:r>
        <w:rPr>
          <w:rFonts w:ascii="Arial" w:eastAsia="Arial" w:hAnsi="Arial" w:cs="Arial"/>
          <w:color w:val="000000"/>
          <w:sz w:val="24"/>
          <w:szCs w:val="24"/>
        </w:rPr>
        <w:t xml:space="preserve">Un caso hipotético permite mostrar la operatividad de los criterios expuestos antes de emprender el estudio del estándar. El caso se construye con fines exclusivamente didácticos y sus hechos no corresponden a ningún expediente real. La hipótesis por probar consiste en que un candidato a presidente municipal utilizó recursos de un programa social para coaccionar el voto durante el periodo de veda. El haz probatorio se integra con cuatro elementos. El primero es una documental pública que acredita la adquisición municipal de paquetes alimentarios con un etiquetado específico. El segundo es un video difundido en redes sociales que muestra la descarga nocturna de cajas semejantes en una bodega particular. El tercero es un informe de geolocalización que ubica dos vehículos oficiales en esa bodega durante el mismo horario. El cuarto es un acta ante fedatario en la que tres vecinos declaran haber recibido ofrecimientos de despensas a cambio del voto.</w:t>
      </w:r>
    </w:p>
    <w:p>
      <w:pPr>
        <w:spacing w:before="0" w:after="0" w:line="360" w:lineRule="auto"/>
        <w:ind w:firstLine="709"/>
        <w:jc w:val="both"/>
      </w:pPr>
      <w:r>
        <w:rPr>
          <w:rFonts w:ascii="Arial" w:eastAsia="Arial" w:hAnsi="Arial" w:cs="Arial"/>
          <w:color w:val="000000"/>
          <w:sz w:val="24"/>
          <w:szCs w:val="24"/>
        </w:rPr>
        <w:t xml:space="preserve">Cada elemento del caso resulta insuficiente cuando se examina en una valoración individual y separada de los demás. Conforme a la jurisprudencia 4/2014, el video no puede acreditar por sí solo los hechos que contiene. La documental pública solo acredita un acto administrativo lícito, como es la compra de paquetes alimentarios. El informe de geolocalización solo acredita un uso irregular de vehículos oficiales en un lugar y un horario determinados. El acta notarial, según el criterio aplicado en el SUP-JRC-487/2000, solo produce indicios que requieren corroboración externa. Ninguno de estos elementos conduce aislado a la hipótesis de coacción del voto. Sin embargo, la valoración conjunta permite examinar sus nexos mediante la secuencia propuesta por Igartua. Esa secuencia obliga a verificar si los nexos entre los cuatro elementos son incompatibles, meramente compatibles o recíprocamente implicados.</w:t>
      </w:r>
    </w:p>
    <w:p>
      <w:pPr>
        <w:spacing w:before="0" w:after="0" w:line="360" w:lineRule="auto"/>
        <w:ind w:firstLine="709"/>
        <w:jc w:val="both"/>
      </w:pPr>
      <w:r>
        <w:rPr>
          <w:rFonts w:ascii="Arial" w:eastAsia="Arial" w:hAnsi="Arial" w:cs="Arial"/>
          <w:color w:val="000000"/>
          <w:sz w:val="24"/>
          <w:szCs w:val="24"/>
        </w:rPr>
        <w:t xml:space="preserve">Los nexos entre los elementos del caso resultan recíprocamente implicados. El informe de geolocalización corrobora desde una fuente independiente el lugar y la hora que muestra el video. Las características de las cajas del video coinciden con el etiquetado descrito en la documental pública. Esta coincidencia debilita la hipótesis de que las cajas contuvieran mercancía privada ajena al programa social. Las declaraciones vecinales dotan de sentido a la presencia nocturna de los paquetes durante la veda y vinculan su destino con la oferta de despensas. Cada elemento proviene de una fuente distinta y por ello la pluralidad es real y no el resultado de fragmentar un mismo dato. En términos de González Lagier, el conjunto cumple los criterios de fiabilidad, variedad y pertinencia. La corroboración recíproca exige, sin embargo, un contraste con las hipótesis alternativas.</w:t>
      </w:r>
    </w:p>
    <w:p>
      <w:pPr>
        <w:spacing w:before="0" w:after="0" w:line="360" w:lineRule="auto"/>
        <w:ind w:firstLine="709"/>
        <w:jc w:val="both"/>
      </w:pPr>
      <w:r>
        <w:rPr>
          <w:rFonts w:ascii="Arial" w:eastAsia="Arial" w:hAnsi="Arial" w:cs="Arial"/>
          <w:color w:val="000000"/>
          <w:sz w:val="24"/>
          <w:szCs w:val="24"/>
        </w:rPr>
        <w:t xml:space="preserve">La corroboración recíproca no basta si no se contrastan las hipótesis alternativas que la defensa podría proponer. La defensa podría alegar una avería mecánica simultánea de ambos vehículos y la manipulación digital del video. La primera explicación no da cuenta de la coincidencia entre los vehículos, las cajas y el horario. La segunda explicación queda debilitada porque la geolocalización confirma de manera independiente lo que el video registra. Si ninguna hipótesis rival explica el conjunto con igual coherencia, la hipótesis de la infracción se presenta como la mejor explicación disponible. La mejor explicación disponible no cierra, sin embargo, el análisis. El análisis debe determinar todavía si ese grado de confirmación alcanza el umbral exigido para anular una votación o sancionar una conducta. Esa pregunta ya no pertenece a la adminiculación sino al estándar de prueba.</w:t>
      </w:r>
    </w:p>
    <w:p>
      <w:pPr>
        <w:spacing w:before="0" w:after="0" w:line="360" w:lineRule="auto"/>
        <w:jc w:val="left"/>
      </w:pPr>
    </w:p>
    <w:p>
      <w:pPr>
        <w:pStyle w:val="Ttulo2"/>
        <w:keepNext/>
        <w:spacing w:before="0" w:after="0" w:line="360" w:lineRule="auto"/>
        <w:ind w:left="567" w:hanging="284"/>
        <w:jc w:val="left"/>
      </w:pPr>
      <w:bookmarkStart w:id="808" w:name="_Toc9000008"/>
      <w:r>
        <w:rPr>
          <w:rFonts w:ascii="Arial" w:eastAsia="Arial" w:hAnsi="Arial" w:cs="Arial"/>
          <w:color w:val="000000"/>
          <w:sz w:val="24"/>
          <w:szCs w:val="24"/>
        </w:rPr>
        <w:t xml:space="preserve">1.2. </w:t>
      </w:r>
      <w:r>
        <w:rPr>
          <w:rFonts w:ascii="Arial" w:eastAsia="Arial" w:hAnsi="Arial" w:cs="Arial"/>
          <w:i/>
          <w:iCs/>
          <w:color w:val="000000"/>
          <w:sz w:val="24"/>
          <w:szCs w:val="24"/>
        </w:rPr>
        <w:t xml:space="preserve">La distinción entre valoración de la prueba y estándar de prueba</w:t>
      </w:r>
      <w:bookmarkEnd w:id="808"/>
    </w:p>
    <w:p>
      <w:pPr>
        <w:spacing w:before="0" w:after="0" w:line="360" w:lineRule="auto"/>
        <w:jc w:val="left"/>
      </w:pPr>
    </w:p>
    <w:p>
      <w:pPr>
        <w:spacing w:before="0" w:after="0" w:line="360" w:lineRule="auto"/>
        <w:ind w:firstLine="0"/>
        <w:jc w:val="both"/>
      </w:pPr>
      <w:r>
        <w:rPr>
          <w:rFonts w:ascii="Arial" w:eastAsia="Arial" w:hAnsi="Arial" w:cs="Arial"/>
          <w:color w:val="000000"/>
          <w:sz w:val="24"/>
          <w:szCs w:val="24"/>
        </w:rPr>
        <w:t xml:space="preserve">La adminiculación explica cómo se construye la inferencia indiciaria, pero no indica cuánta corroboración basta para decidir. Esa conclusión obliga a examinar una distinción que la cultura jurídica mexicana suele ignorar. La distinción separa la operación de valorar la prueba de la decisión sobre la suficiencia de lo probado. La valoración es una operación epistémica que asigna a cada hipótesis un grado de corroboración. El estándar de prueba es una regla que indica qué grado de corroboración se exige para tener una hipótesis por probada. Ambas figuras responden a preguntas diferentes, porque la valoración pregunta cómo razonar sobre las pruebas y el estándar pregunta cuánto debe pesar el resultado de ese razonamiento. La confusión entre ambas figuras constituye un problema conceptual con efectos prácticos graves en la justicia electoral. La demostración de esa tesis requiere un recorrido que parte de la legislación electoral y termina en los criterios para identificar un auténtico estándar.</w:t>
      </w:r>
    </w:p>
    <w:p>
      <w:pPr>
        <w:spacing w:before="0" w:after="0" w:line="360" w:lineRule="auto"/>
        <w:ind w:firstLine="709"/>
        <w:jc w:val="both"/>
      </w:pPr>
      <w:r>
        <w:rPr>
          <w:rFonts w:ascii="Arial" w:eastAsia="Arial" w:hAnsi="Arial" w:cs="Arial"/>
          <w:color w:val="000000"/>
          <w:sz w:val="24"/>
          <w:szCs w:val="24"/>
        </w:rPr>
        <w:t xml:space="preserve">El recorrido comienza con el planteamiento del problema en la legislación electoral mexicana. Ese planteamiento conduce a reconstruir la genealogía histórica de la distinción entre valoración y estándar. La genealogía muestra por qué la tradición continental dejó sin regular el umbral de suficiencia. El análisis ubica después cada figura en los momentos de la actividad probatoria. Esa ubicación permite explicar la naturaleza normativa del estándar y las funciones que cumple en el proceso. En consecuencia, el estándar puede deslindarse de la carga de la prueba y de la sana crítica, y la convicción del juzgador puede criticarse como criterio de suficiencia. El examen se completa con la recepción de la distinción en el derecho mexicano y con las consecuencias prácticas de ignorarla. Esas consecuencias justifican la formulación de criterios de diagnóstico que permitan reconocer cuándo una disposición establece un verdadero estándar de prueba.</w:t>
      </w:r>
    </w:p>
    <w:p>
      <w:pPr>
        <w:spacing w:before="0" w:after="0" w:line="360" w:lineRule="auto"/>
        <w:ind w:firstLine="709"/>
        <w:jc w:val="both"/>
      </w:pPr>
      <w:r>
        <w:rPr>
          <w:rFonts w:ascii="Arial" w:eastAsia="Arial" w:hAnsi="Arial" w:cs="Arial"/>
          <w:color w:val="000000"/>
          <w:sz w:val="24"/>
          <w:szCs w:val="24"/>
        </w:rPr>
        <w:t xml:space="preserve">La confusión que se examina consiste en una asimilación indebida de dos categorías distintas. Esa asimilación atribuye a un método de razonamiento la función de un umbral de decisión. Ferrer Beltrán advierte que la necesidad de reglas que fijen el grado de probabilidad suficiente ha sido un tema generalmente olvidado en la cultura jurídica continental.</w:t>
      </w:r>
      <w:r>
        <w:rPr>
          <w:rFonts w:ascii="Arial" w:eastAsia="Arial" w:hAnsi="Arial" w:cs="Arial"/>
          <w:color w:val="000000"/>
          <w:sz w:val="24"/>
          <w:szCs w:val="24"/>
          <w:vertAlign w:val="superscript"/>
        </w:rPr>
        <w:footnoteReference w:id="76"/>
      </w:r>
      <w:r>
        <w:rPr>
          <w:rFonts w:ascii="Arial" w:eastAsia="Arial" w:hAnsi="Arial" w:cs="Arial"/>
          <w:color w:val="000000"/>
          <w:sz w:val="24"/>
          <w:szCs w:val="24"/>
        </w:rPr>
        <w:t xml:space="preserve"> El autor parte de una premisa sencilla sobre la naturaleza del razonamiento probatorio. Si ese razonamiento es probabilístico y la certeza racional es inalcanzable, resulta imprescindible contar con reglas que determinen el grado de probabilidad suficiente, y esas reglas reciben el nombre de estándares de prueba. Sin estándares, otras reglas de decisión no pueden operar. La carga de la prueba y las presunciones presuponen saber cuándo hay prueba suficiente.</w:t>
      </w:r>
      <w:r>
        <w:rPr>
          <w:rFonts w:ascii="Arial" w:eastAsia="Arial" w:hAnsi="Arial" w:cs="Arial"/>
          <w:color w:val="000000"/>
          <w:sz w:val="24"/>
          <w:szCs w:val="24"/>
          <w:vertAlign w:val="superscript"/>
        </w:rPr>
        <w:footnoteReference w:id="77"/>
      </w:r>
      <w:r>
        <w:rPr>
          <w:rFonts w:ascii="Arial" w:eastAsia="Arial" w:hAnsi="Arial" w:cs="Arial"/>
          <w:color w:val="000000"/>
          <w:sz w:val="24"/>
          <w:szCs w:val="24"/>
        </w:rPr>
        <w:t xml:space="preserve"> Por tanto, la ausencia de estándar constituye un defecto estructural del sistema de decisión y no una simple omisión técnica del legislador.</w:t>
      </w:r>
    </w:p>
    <w:p>
      <w:pPr>
        <w:spacing w:before="0" w:after="0" w:line="360" w:lineRule="auto"/>
        <w:ind w:firstLine="709"/>
        <w:jc w:val="both"/>
      </w:pPr>
      <w:r>
        <w:rPr>
          <w:rFonts w:ascii="Arial" w:eastAsia="Arial" w:hAnsi="Arial" w:cs="Arial"/>
          <w:color w:val="000000"/>
          <w:sz w:val="24"/>
          <w:szCs w:val="24"/>
        </w:rPr>
        <w:t xml:space="preserve">La legislación electoral mexicana ofrece un ejemplo claro de ese defecto estructural. El artículo 16 de la </w:t>
      </w:r>
      <w:r>
        <w:rPr>
          <w:rFonts w:ascii="Arial" w:eastAsia="Arial" w:hAnsi="Arial" w:cs="Arial"/>
          <w:i/>
          <w:iCs/>
          <w:color w:val="000000"/>
          <w:sz w:val="24"/>
          <w:szCs w:val="24"/>
        </w:rPr>
        <w:t xml:space="preserve">Ley General del Sistema de Medios de Impugnación en Materia Electoral</w:t>
      </w:r>
      <w:r>
        <w:rPr>
          <w:rFonts w:ascii="Arial" w:eastAsia="Arial" w:hAnsi="Arial" w:cs="Arial"/>
          <w:color w:val="000000"/>
          <w:sz w:val="24"/>
          <w:szCs w:val="24"/>
        </w:rPr>
        <w:t xml:space="preserve"> regula la valoración probatoria en tres párrafos.</w:t>
      </w:r>
      <w:r>
        <w:rPr>
          <w:rFonts w:ascii="Arial" w:eastAsia="Arial" w:hAnsi="Arial" w:cs="Arial"/>
          <w:color w:val="000000"/>
          <w:sz w:val="24"/>
          <w:szCs w:val="24"/>
          <w:vertAlign w:val="superscript"/>
        </w:rPr>
        <w:footnoteReference w:id="78"/>
      </w:r>
      <w:r>
        <w:rPr>
          <w:rFonts w:ascii="Arial" w:eastAsia="Arial" w:hAnsi="Arial" w:cs="Arial"/>
          <w:color w:val="000000"/>
          <w:sz w:val="24"/>
          <w:szCs w:val="24"/>
        </w:rPr>
        <w:t xml:space="preserve"> El párrafo 1 ordena valorar los medios de prueba conforme a las reglas de la lógica, de la sana crítica y de la experiencia. El párrafo 2 concede valor probatorio pleno a las documentales públicas, salvo prueba en contrario. Esta disposición constituye la base normativa de la valoración probatoria en el contencioso electoral y por ello su estructura merece un examen detenido. El párrafo 3 establece la regla que interesa a esta investigación. Esa regla fija las condiciones en que las pruebas distintas de las documentales públicas alcanzan valor pleno. El texto del párrafo 3 dispone lo siguiente.</w:t>
      </w:r>
    </w:p>
    <w:p w14:paraId="4FF636AA" w14:textId="77777777" w:rsidR="00657C4E" w:rsidRPr="00657C4E" w:rsidRDefault="00657C4E" w:rsidP="00657C4E">
      <w:pPr>
        <w:spacing w:before="0" w:after="0" w:line="360" w:lineRule="auto"/>
        <w:ind w:left="709" w:firstLine="0"/>
        <w:jc w:val="both"/>
      </w:pPr>
      <w:r>
        <w:rPr>
          <w:rFonts w:ascii="Arial" w:eastAsia="Arial" w:hAnsi="Arial" w:cs="Arial"/>
          <w:color w:val="000000"/>
          <w:sz w:val="22"/>
          <w:szCs w:val="22"/>
        </w:rPr>
        <w:t>Las documentales privadas, las técnicas, las presuncionales, la instrumental de actuaciones, la confesional, la testimonial, los reconocimientos o inspecciones judiciales y las periciales, sólo harán prueba plena cuando a juicio del órgano competente para resolver, los demás elementos que obren en el expediente, las afirmaciones de las partes, la verdad conocida y el recto raciocinio de la relación que guardan entre sí, generen convicción sobre la veracidad de los hechos afirmados.</w:t>
      </w:r>
    </w:p>
    <w:p>
      <w:pPr>
        <w:spacing w:before="0" w:after="0" w:line="360" w:lineRule="auto"/>
        <w:ind w:firstLine="709"/>
        <w:jc w:val="both"/>
      </w:pPr>
      <w:r>
        <w:rPr>
          <w:rFonts w:ascii="Arial" w:eastAsia="Arial" w:hAnsi="Arial" w:cs="Arial"/>
          <w:color w:val="000000"/>
          <w:sz w:val="24"/>
          <w:szCs w:val="24"/>
        </w:rPr>
        <w:t xml:space="preserve">La transcripción anterior revela dos rasgos del diseño legal. El primer rasgo es la mezcla de un método con un criterio de suficiencia, porque el párrafo 1 describe cómo razonar y el párrafo 3 pretende indicar cuándo lo razonado basta. El segundo rasgo es que ese criterio de suficiencia remite a un estado mental del juzgador. Según la norma, la prueba es plena cuando los elementos del expediente generan convicción. La norma no indica qué propiedades debe tener el acervo para merecer esa convicción y no distingue grados de exigencia según la gravedad de la decisión. En consecuencia, la ley traslada la determinación del umbral al juicio subjetivo de cada órgano resolutor. Ese traslado deja a las partes sin un parámetro previo para medir la suficiencia de sus pruebas. La tesis del traslado subjetivo del umbral exige reconstruir el origen histórico de la distinción entre valoración y estándar.</w:t>
      </w:r>
    </w:p>
    <w:p>
      <w:pPr>
        <w:spacing w:before="0" w:after="0" w:line="360" w:lineRule="auto"/>
        <w:ind w:firstLine="709"/>
        <w:jc w:val="both"/>
      </w:pPr>
      <w:r>
        <w:rPr>
          <w:rFonts w:ascii="Arial" w:eastAsia="Arial" w:hAnsi="Arial" w:cs="Arial"/>
          <w:color w:val="000000"/>
          <w:sz w:val="24"/>
          <w:szCs w:val="24"/>
        </w:rPr>
        <w:t xml:space="preserve">El origen histórico de la distinción se encuentra, paradójicamente, en el sistema de prueba legal. Nieva Fenoll explica que ese sistema conocía dos niveles de convicción.</w:t>
      </w:r>
      <w:r>
        <w:rPr>
          <w:rFonts w:ascii="Arial" w:eastAsia="Arial" w:hAnsi="Arial" w:cs="Arial"/>
          <w:color w:val="000000"/>
          <w:sz w:val="24"/>
          <w:szCs w:val="24"/>
          <w:vertAlign w:val="superscript"/>
        </w:rPr>
        <w:footnoteReference w:id="79"/>
      </w:r>
      <w:r>
        <w:rPr>
          <w:rFonts w:ascii="Arial" w:eastAsia="Arial" w:hAnsi="Arial" w:cs="Arial"/>
          <w:color w:val="000000"/>
          <w:sz w:val="24"/>
          <w:szCs w:val="24"/>
        </w:rPr>
        <w:t xml:space="preserve"> La </w:t>
      </w:r>
      <w:r>
        <w:rPr>
          <w:rFonts w:ascii="Arial" w:eastAsia="Arial" w:hAnsi="Arial" w:cs="Arial"/>
          <w:i/>
          <w:iCs/>
          <w:color w:val="000000"/>
          <w:sz w:val="24"/>
          <w:szCs w:val="24"/>
        </w:rPr>
        <w:t xml:space="preserve">probatio plena</w:t>
      </w:r>
      <w:r>
        <w:rPr>
          <w:rFonts w:ascii="Arial" w:eastAsia="Arial" w:hAnsi="Arial" w:cs="Arial"/>
          <w:color w:val="000000"/>
          <w:sz w:val="24"/>
          <w:szCs w:val="24"/>
        </w:rPr>
        <w:t xml:space="preserve"> se alcanzaba con un documento público, con dos testigos presenciales o con el juramento. La </w:t>
      </w:r>
      <w:r>
        <w:rPr>
          <w:rFonts w:ascii="Arial" w:eastAsia="Arial" w:hAnsi="Arial" w:cs="Arial"/>
          <w:i/>
          <w:iCs/>
          <w:color w:val="000000"/>
          <w:sz w:val="24"/>
          <w:szCs w:val="24"/>
        </w:rPr>
        <w:t xml:space="preserve">semiplena probatio</w:t>
      </w:r>
      <w:r>
        <w:rPr>
          <w:rFonts w:ascii="Arial" w:eastAsia="Arial" w:hAnsi="Arial" w:cs="Arial"/>
          <w:color w:val="000000"/>
          <w:sz w:val="24"/>
          <w:szCs w:val="24"/>
        </w:rPr>
        <w:t xml:space="preserve"> comprendía todo lo demás, incluidos el documento privado y el testigo único, y de ella derivaban los indicios, más tarde estudiados como presunciones. Según el autor, ese sistema fue el primer intento de estandarizar la valoración de la prueba. Su propósito era controlar al juez más que ayudarlo. Por ello la prueba legal fijaba de antemano el resultado probatorio de ciertos medios. Esta característica distingue la prueba legal de los estándares contemporáneos, que no fijan el valor de cada medio sino el umbral que debe alcanzar el conjunto.</w:t>
      </w:r>
    </w:p>
    <w:p>
      <w:pPr>
        <w:spacing w:before="0" w:after="0" w:line="360" w:lineRule="auto"/>
        <w:ind w:firstLine="709"/>
        <w:jc w:val="both"/>
      </w:pPr>
      <w:r>
        <w:rPr>
          <w:rFonts w:ascii="Arial" w:eastAsia="Arial" w:hAnsi="Arial" w:cs="Arial"/>
          <w:color w:val="000000"/>
          <w:sz w:val="24"/>
          <w:szCs w:val="24"/>
        </w:rPr>
        <w:t xml:space="preserve">La Ilustración proclamó el principio de libre convicción frente a la prueba legal. Gascón Abellán sostiene que ese principio tenía un sentido epistemológico preciso.</w:t>
      </w:r>
      <w:r>
        <w:rPr>
          <w:rFonts w:ascii="Arial" w:eastAsia="Arial" w:hAnsi="Arial" w:cs="Arial"/>
          <w:color w:val="000000"/>
          <w:sz w:val="24"/>
          <w:szCs w:val="24"/>
          <w:vertAlign w:val="superscript"/>
        </w:rPr>
        <w:footnoteReference w:id="80"/>
      </w:r>
      <w:r>
        <w:rPr>
          <w:rFonts w:ascii="Arial" w:eastAsia="Arial" w:hAnsi="Arial" w:cs="Arial"/>
          <w:color w:val="000000"/>
          <w:sz w:val="24"/>
          <w:szCs w:val="24"/>
        </w:rPr>
        <w:t xml:space="preserve"> La libre convicción no significaba persuasión libérrima y sin sujeción a pruebas, sino que solo al juzgador corresponde decidir si un hecho está probado a la luz del material probatorio. Sin embargo, la praxis procesal posterior transformó ese principio. La libre convicción se convirtió, en palabras de Andrés Ibáñez citadas por la autora, en una especie de momento místico capaz de suplantar a las pruebas.</w:t>
      </w:r>
      <w:r>
        <w:rPr>
          <w:rFonts w:ascii="Arial" w:eastAsia="Arial" w:hAnsi="Arial" w:cs="Arial"/>
          <w:color w:val="000000"/>
          <w:sz w:val="24"/>
          <w:szCs w:val="24"/>
          <w:vertAlign w:val="superscript"/>
        </w:rPr>
        <w:footnoteReference w:id="81"/>
      </w:r>
      <w:r>
        <w:rPr>
          <w:rFonts w:ascii="Arial" w:eastAsia="Arial" w:hAnsi="Arial" w:cs="Arial"/>
          <w:color w:val="000000"/>
          <w:sz w:val="24"/>
          <w:szCs w:val="24"/>
        </w:rPr>
        <w:t xml:space="preserve"> Ferrajoli calificó esa evolución como una de las páginas más amargas de la historia de las instituciones penales. Gascón concluye que la libre convicción debe entenderse solo como un principio metodológico negativo.</w:t>
      </w:r>
      <w:r>
        <w:rPr>
          <w:rFonts w:ascii="Arial" w:eastAsia="Arial" w:hAnsi="Arial" w:cs="Arial"/>
          <w:color w:val="000000"/>
          <w:sz w:val="24"/>
          <w:szCs w:val="24"/>
          <w:vertAlign w:val="superscript"/>
        </w:rPr>
        <w:footnoteReference w:id="82"/>
      </w:r>
      <w:r>
        <w:rPr>
          <w:rFonts w:ascii="Arial" w:eastAsia="Arial" w:hAnsi="Arial" w:cs="Arial"/>
          <w:color w:val="000000"/>
          <w:sz w:val="24"/>
          <w:szCs w:val="24"/>
        </w:rPr>
        <w:t xml:space="preserve"> Ese principio significa el rechazo de las pruebas legales y no la autorización de una valoración sin reglas.</w:t>
      </w:r>
    </w:p>
    <w:p>
      <w:pPr>
        <w:spacing w:before="0" w:after="0" w:line="360" w:lineRule="auto"/>
        <w:ind w:firstLine="709"/>
        <w:jc w:val="both"/>
      </w:pPr>
      <w:r>
        <w:rPr>
          <w:rFonts w:ascii="Arial" w:eastAsia="Arial" w:hAnsi="Arial" w:cs="Arial"/>
          <w:color w:val="000000"/>
          <w:sz w:val="24"/>
          <w:szCs w:val="24"/>
        </w:rPr>
        <w:t xml:space="preserve">González Lagier documenta la versión extrema de esa libertad en la jurisprudencia española. El Tribunal Supremo llegó a sostener que el juez aprecia la prueba en conciencia, sin más freno que su propia razón y una intención presumida recta.</w:t>
      </w:r>
      <w:r>
        <w:rPr>
          <w:rFonts w:ascii="Arial" w:eastAsia="Arial" w:hAnsi="Arial" w:cs="Arial"/>
          <w:color w:val="000000"/>
          <w:sz w:val="24"/>
          <w:szCs w:val="24"/>
          <w:vertAlign w:val="superscript"/>
        </w:rPr>
        <w:footnoteReference w:id="83"/>
      </w:r>
      <w:r>
        <w:rPr>
          <w:rFonts w:ascii="Arial" w:eastAsia="Arial" w:hAnsi="Arial" w:cs="Arial"/>
          <w:color w:val="000000"/>
          <w:sz w:val="24"/>
          <w:szCs w:val="24"/>
        </w:rPr>
        <w:t xml:space="preserve"> Esa concepción producía dos consecuencias, pues la valoración correspondía exclusivamente al juez de instancia y el juez no estaba obligado a expresar las razones de su convicción. La convicción, al ser un estado de conciencia, escapaba al control casacional. Por esa vía la motivación de los hechos perdía todo sentido. Esta genealogía explica por qué el derecho continental no desarrolló reglas explícitas de suficiencia. La convicción del juez ocupó el lugar que debía corresponder a un estándar de prueba. La tradición angloamericana siguió un camino distinto en apariencia, y ese camino permite contrastar la experiencia continental.</w:t>
      </w:r>
    </w:p>
    <w:p>
      <w:pPr>
        <w:spacing w:before="0" w:after="0" w:line="360" w:lineRule="auto"/>
        <w:ind w:firstLine="709"/>
        <w:jc w:val="both"/>
      </w:pPr>
      <w:r>
        <w:rPr>
          <w:rFonts w:ascii="Arial" w:eastAsia="Arial" w:hAnsi="Arial" w:cs="Arial"/>
          <w:color w:val="000000"/>
          <w:sz w:val="24"/>
          <w:szCs w:val="24"/>
        </w:rPr>
        <w:t xml:space="preserve">Laudan explica que el estándar de más allá de toda duda razonable surgió de la noción filosófica de certeza moral.</w:t>
      </w:r>
      <w:r>
        <w:rPr>
          <w:rFonts w:ascii="Arial" w:eastAsia="Arial" w:hAnsi="Arial" w:cs="Arial"/>
          <w:color w:val="000000"/>
          <w:sz w:val="24"/>
          <w:szCs w:val="24"/>
          <w:vertAlign w:val="superscript"/>
        </w:rPr>
        <w:footnoteReference w:id="84"/>
      </w:r>
      <w:r>
        <w:rPr>
          <w:rFonts w:ascii="Arial" w:eastAsia="Arial" w:hAnsi="Arial" w:cs="Arial"/>
          <w:color w:val="000000"/>
          <w:sz w:val="24"/>
          <w:szCs w:val="24"/>
        </w:rPr>
        <w:t xml:space="preserve"> Esa noción provenía de autores como Locke y Wilkins, quienes distinguían la certeza moral de la certeza matemática. Hacia la década de 1850 el estándar se había generalizado en los sistemas de </w:t>
      </w:r>
      <w:r>
        <w:rPr>
          <w:rFonts w:ascii="Arial" w:eastAsia="Arial" w:hAnsi="Arial" w:cs="Arial"/>
          <w:i/>
          <w:iCs/>
          <w:color w:val="000000"/>
          <w:sz w:val="24"/>
          <w:szCs w:val="24"/>
        </w:rPr>
        <w:t xml:space="preserve">common law</w:t>
      </w:r>
      <w:r>
        <w:rPr>
          <w:rFonts w:ascii="Arial" w:eastAsia="Arial" w:hAnsi="Arial" w:cs="Arial"/>
          <w:color w:val="000000"/>
          <w:sz w:val="24"/>
          <w:szCs w:val="24"/>
        </w:rPr>
        <w:t xml:space="preserve">. La formulación canónica se atribuye al juez Shaw en el caso </w:t>
      </w:r>
      <w:r>
        <w:rPr>
          <w:rFonts w:ascii="Arial" w:eastAsia="Arial" w:hAnsi="Arial" w:cs="Arial"/>
          <w:i/>
          <w:iCs/>
          <w:color w:val="000000"/>
          <w:sz w:val="24"/>
          <w:szCs w:val="24"/>
        </w:rPr>
        <w:t xml:space="preserve">Commonwealth v. Webster</w:t>
      </w:r>
      <w:r>
        <w:rPr>
          <w:rFonts w:ascii="Arial" w:eastAsia="Arial" w:hAnsi="Arial" w:cs="Arial"/>
          <w:color w:val="000000"/>
          <w:sz w:val="24"/>
          <w:szCs w:val="24"/>
        </w:rPr>
        <w:t xml:space="preserve"> de 1850. En 1970 la Corte Suprema de los Estados Unidos otorgó rango constitucional al estándar en el caso </w:t>
      </w:r>
      <w:r>
        <w:rPr>
          <w:rFonts w:ascii="Arial" w:eastAsia="Arial" w:hAnsi="Arial" w:cs="Arial"/>
          <w:i/>
          <w:iCs/>
          <w:color w:val="000000"/>
          <w:sz w:val="24"/>
          <w:szCs w:val="24"/>
        </w:rPr>
        <w:t xml:space="preserve">In re Winship</w:t>
      </w:r>
      <w:r>
        <w:rPr>
          <w:rFonts w:ascii="Arial" w:eastAsia="Arial" w:hAnsi="Arial" w:cs="Arial"/>
          <w:color w:val="000000"/>
          <w:sz w:val="24"/>
          <w:szCs w:val="24"/>
        </w:rPr>
        <w:t xml:space="preserve">.</w:t>
      </w:r>
      <w:r>
        <w:rPr>
          <w:rFonts w:ascii="Arial" w:eastAsia="Arial" w:hAnsi="Arial" w:cs="Arial"/>
          <w:color w:val="000000"/>
          <w:sz w:val="24"/>
          <w:szCs w:val="24"/>
          <w:vertAlign w:val="superscript"/>
        </w:rPr>
        <w:footnoteReference w:id="85"/>
      </w:r>
      <w:r>
        <w:rPr>
          <w:rFonts w:ascii="Arial" w:eastAsia="Arial" w:hAnsi="Arial" w:cs="Arial"/>
          <w:color w:val="000000"/>
          <w:sz w:val="24"/>
          <w:szCs w:val="24"/>
        </w:rPr>
        <w:t xml:space="preserve"> Nieva Fenoll añade que el estándar se utilizó hacia 1780 en el Old Bailey de Londres, según el relato de Whitman.</w:t>
      </w:r>
      <w:r>
        <w:rPr>
          <w:rFonts w:ascii="Arial" w:eastAsia="Arial" w:hAnsi="Arial" w:cs="Arial"/>
          <w:color w:val="000000"/>
          <w:sz w:val="24"/>
          <w:szCs w:val="24"/>
          <w:vertAlign w:val="superscript"/>
        </w:rPr>
        <w:footnoteReference w:id="86"/>
      </w:r>
      <w:r>
        <w:rPr>
          <w:rFonts w:ascii="Arial" w:eastAsia="Arial" w:hAnsi="Arial" w:cs="Arial"/>
          <w:color w:val="000000"/>
          <w:sz w:val="24"/>
          <w:szCs w:val="24"/>
        </w:rPr>
        <w:t xml:space="preserve"> En su origen el estándar no se concibió como un estándar máximo, sino como una instrucción para jurados. Esa función de instrucción explica que el </w:t>
      </w:r>
      <w:r>
        <w:rPr>
          <w:rFonts w:ascii="Arial" w:eastAsia="Arial" w:hAnsi="Arial" w:cs="Arial"/>
          <w:i/>
          <w:iCs/>
          <w:color w:val="000000"/>
          <w:sz w:val="24"/>
          <w:szCs w:val="24"/>
        </w:rPr>
        <w:t xml:space="preserve">common law</w:t>
      </w:r>
      <w:r>
        <w:rPr>
          <w:rFonts w:ascii="Arial" w:eastAsia="Arial" w:hAnsi="Arial" w:cs="Arial"/>
          <w:color w:val="000000"/>
          <w:sz w:val="24"/>
          <w:szCs w:val="24"/>
        </w:rPr>
        <w:t xml:space="preserve"> diversificara después sus fórmulas de suficiencia.</w:t>
      </w:r>
    </w:p>
    <w:p>
      <w:pPr>
        <w:spacing w:before="0" w:after="0" w:line="360" w:lineRule="auto"/>
        <w:ind w:firstLine="709"/>
        <w:jc w:val="both"/>
      </w:pPr>
      <w:r>
        <w:rPr>
          <w:rFonts w:ascii="Arial" w:eastAsia="Arial" w:hAnsi="Arial" w:cs="Arial"/>
          <w:color w:val="000000"/>
          <w:sz w:val="24"/>
          <w:szCs w:val="24"/>
        </w:rPr>
        <w:t xml:space="preserve">El </w:t>
      </w:r>
      <w:r>
        <w:rPr>
          <w:rFonts w:ascii="Arial" w:eastAsia="Arial" w:hAnsi="Arial" w:cs="Arial"/>
          <w:i/>
          <w:iCs/>
          <w:color w:val="000000"/>
          <w:sz w:val="24"/>
          <w:szCs w:val="24"/>
        </w:rPr>
        <w:t xml:space="preserve">common law</w:t>
      </w:r>
      <w:r>
        <w:rPr>
          <w:rFonts w:ascii="Arial" w:eastAsia="Arial" w:hAnsi="Arial" w:cs="Arial"/>
          <w:color w:val="000000"/>
          <w:sz w:val="24"/>
          <w:szCs w:val="24"/>
        </w:rPr>
        <w:t xml:space="preserve"> diversificó sus fórmulas de suficiencia según el tipo de proceso. Nieva Fenoll describe la aparición de la </w:t>
      </w:r>
      <w:r>
        <w:rPr>
          <w:rFonts w:ascii="Arial" w:eastAsia="Arial" w:hAnsi="Arial" w:cs="Arial"/>
          <w:i/>
          <w:iCs/>
          <w:color w:val="000000"/>
          <w:sz w:val="24"/>
          <w:szCs w:val="24"/>
        </w:rPr>
        <w:t xml:space="preserve">preponderance of evidence</w:t>
      </w:r>
      <w:r>
        <w:rPr>
          <w:rFonts w:ascii="Arial" w:eastAsia="Arial" w:hAnsi="Arial" w:cs="Arial"/>
          <w:color w:val="000000"/>
          <w:sz w:val="24"/>
          <w:szCs w:val="24"/>
        </w:rPr>
        <w:t xml:space="preserve"> o </w:t>
      </w:r>
      <w:r>
        <w:rPr>
          <w:rFonts w:ascii="Arial" w:eastAsia="Arial" w:hAnsi="Arial" w:cs="Arial"/>
          <w:i/>
          <w:iCs/>
          <w:color w:val="000000"/>
          <w:sz w:val="24"/>
          <w:szCs w:val="24"/>
        </w:rPr>
        <w:t xml:space="preserve">balance of probabilities</w:t>
      </w:r>
      <w:r>
        <w:rPr>
          <w:rFonts w:ascii="Arial" w:eastAsia="Arial" w:hAnsi="Arial" w:cs="Arial"/>
          <w:color w:val="000000"/>
          <w:sz w:val="24"/>
          <w:szCs w:val="24"/>
        </w:rPr>
        <w:t xml:space="preserve"> como estándar mínimo del proceso civil.</w:t>
      </w:r>
      <w:r>
        <w:rPr>
          <w:rFonts w:ascii="Arial" w:eastAsia="Arial" w:hAnsi="Arial" w:cs="Arial"/>
          <w:color w:val="000000"/>
          <w:sz w:val="24"/>
          <w:szCs w:val="24"/>
          <w:vertAlign w:val="superscript"/>
        </w:rPr>
        <w:footnoteReference w:id="87"/>
      </w:r>
      <w:r>
        <w:rPr>
          <w:rFonts w:ascii="Arial" w:eastAsia="Arial" w:hAnsi="Arial" w:cs="Arial"/>
          <w:color w:val="000000"/>
          <w:sz w:val="24"/>
          <w:szCs w:val="24"/>
        </w:rPr>
        <w:t xml:space="preserve"> Por encima de ese estándar se situó la </w:t>
      </w:r>
      <w:r>
        <w:rPr>
          <w:rFonts w:ascii="Arial" w:eastAsia="Arial" w:hAnsi="Arial" w:cs="Arial"/>
          <w:i/>
          <w:iCs/>
          <w:color w:val="000000"/>
          <w:sz w:val="24"/>
          <w:szCs w:val="24"/>
        </w:rPr>
        <w:t xml:space="preserve">clear and convincing evidence</w:t>
      </w:r>
      <w:r>
        <w:rPr>
          <w:rFonts w:ascii="Arial" w:eastAsia="Arial" w:hAnsi="Arial" w:cs="Arial"/>
          <w:color w:val="000000"/>
          <w:sz w:val="24"/>
          <w:szCs w:val="24"/>
        </w:rPr>
        <w:t xml:space="preserve">, y en el vértice quedó el más allá de toda duda razonable. Para este autor, los tres estándares recuerdan poderosamente a la </w:t>
      </w:r>
      <w:r>
        <w:rPr>
          <w:rFonts w:ascii="Arial" w:eastAsia="Arial" w:hAnsi="Arial" w:cs="Arial"/>
          <w:i/>
          <w:iCs/>
          <w:color w:val="000000"/>
          <w:sz w:val="24"/>
          <w:szCs w:val="24"/>
        </w:rPr>
        <w:t xml:space="preserve">semiplena probatio</w:t>
      </w:r>
      <w:r>
        <w:rPr>
          <w:rFonts w:ascii="Arial" w:eastAsia="Arial" w:hAnsi="Arial" w:cs="Arial"/>
          <w:color w:val="000000"/>
          <w:sz w:val="24"/>
          <w:szCs w:val="24"/>
        </w:rPr>
        <w:t xml:space="preserve"> y a la </w:t>
      </w:r>
      <w:r>
        <w:rPr>
          <w:rFonts w:ascii="Arial" w:eastAsia="Arial" w:hAnsi="Arial" w:cs="Arial"/>
          <w:i/>
          <w:iCs/>
          <w:color w:val="000000"/>
          <w:sz w:val="24"/>
          <w:szCs w:val="24"/>
        </w:rPr>
        <w:t xml:space="preserve">probatio plena</w:t>
      </w:r>
      <w:r>
        <w:rPr>
          <w:rFonts w:ascii="Arial" w:eastAsia="Arial" w:hAnsi="Arial" w:cs="Arial"/>
          <w:color w:val="000000"/>
          <w:sz w:val="24"/>
          <w:szCs w:val="24"/>
        </w:rPr>
        <w:t xml:space="preserve">. La doctrina alemana elaboró por su parte la noción de </w:t>
      </w:r>
      <w:r>
        <w:rPr>
          <w:rFonts w:ascii="Arial" w:eastAsia="Arial" w:hAnsi="Arial" w:cs="Arial"/>
          <w:i/>
          <w:iCs/>
          <w:color w:val="000000"/>
          <w:sz w:val="24"/>
          <w:szCs w:val="24"/>
        </w:rPr>
        <w:t xml:space="preserve">Beweismaß</w:t>
      </w:r>
      <w:r>
        <w:rPr>
          <w:rFonts w:ascii="Arial" w:eastAsia="Arial" w:hAnsi="Arial" w:cs="Arial"/>
          <w:color w:val="000000"/>
          <w:sz w:val="24"/>
          <w:szCs w:val="24"/>
        </w:rPr>
        <w:t xml:space="preserve"> o medida de la prueba.</w:t>
      </w:r>
      <w:r>
        <w:rPr>
          <w:rFonts w:ascii="Arial" w:eastAsia="Arial" w:hAnsi="Arial" w:cs="Arial"/>
          <w:color w:val="000000"/>
          <w:sz w:val="24"/>
          <w:szCs w:val="24"/>
          <w:vertAlign w:val="superscript"/>
        </w:rPr>
        <w:footnoteReference w:id="88"/>
      </w:r>
      <w:r>
        <w:rPr>
          <w:rFonts w:ascii="Arial" w:eastAsia="Arial" w:hAnsi="Arial" w:cs="Arial"/>
          <w:color w:val="000000"/>
          <w:sz w:val="24"/>
          <w:szCs w:val="24"/>
        </w:rPr>
        <w:t xml:space="preserve"> Esa doctrina distingue la probabilidad preponderante, el más allá de toda duda razonable y la </w:t>
      </w:r>
      <w:r>
        <w:rPr>
          <w:rFonts w:ascii="Arial" w:eastAsia="Arial" w:hAnsi="Arial" w:cs="Arial"/>
          <w:i/>
          <w:iCs/>
          <w:color w:val="000000"/>
          <w:sz w:val="24"/>
          <w:szCs w:val="24"/>
        </w:rPr>
        <w:t xml:space="preserve">Glaubhaftmachung</w:t>
      </w:r>
      <w:r>
        <w:rPr>
          <w:rFonts w:ascii="Arial" w:eastAsia="Arial" w:hAnsi="Arial" w:cs="Arial"/>
          <w:color w:val="000000"/>
          <w:sz w:val="24"/>
          <w:szCs w:val="24"/>
        </w:rPr>
        <w:t xml:space="preserve">, un estándar mínimo para medidas cautelares. De ahí se sigue que ninguna familia jurídica ha sido ajena al problema de la suficiencia. La diferencia entre las tradiciones reside en la manera de formular esas exigencias.</w:t>
      </w:r>
    </w:p>
    <w:p>
      <w:pPr>
        <w:spacing w:before="0" w:after="0" w:line="360" w:lineRule="auto"/>
        <w:ind w:firstLine="709"/>
        <w:jc w:val="both"/>
      </w:pPr>
      <w:r>
        <w:rPr>
          <w:rFonts w:ascii="Arial" w:eastAsia="Arial" w:hAnsi="Arial" w:cs="Arial"/>
          <w:color w:val="000000"/>
          <w:sz w:val="24"/>
          <w:szCs w:val="24"/>
        </w:rPr>
        <w:t xml:space="preserve">La diferencia entre la tradición angloamericana y la continental es menor de lo que parece. Ferrer Beltrán sostiene que tres factores empujan a los sistemas angloamericanos hacia la subjetividad continental.</w:t>
      </w:r>
      <w:r>
        <w:rPr>
          <w:rFonts w:ascii="Arial" w:eastAsia="Arial" w:hAnsi="Arial" w:cs="Arial"/>
          <w:color w:val="000000"/>
          <w:sz w:val="24"/>
          <w:szCs w:val="24"/>
          <w:vertAlign w:val="superscript"/>
        </w:rPr>
        <w:footnoteReference w:id="89"/>
      </w:r>
      <w:r>
        <w:rPr>
          <w:rFonts w:ascii="Arial" w:eastAsia="Arial" w:hAnsi="Arial" w:cs="Arial"/>
          <w:color w:val="000000"/>
          <w:sz w:val="24"/>
          <w:szCs w:val="24"/>
        </w:rPr>
        <w:t xml:space="preserve"> El primer factor es la extrema indeterminación de las fórmulas empleadas, y el segundo es la tesis de que esos estándares son flexibles y deben concretarse en cada caso. El tercer factor es que la jurisprudencia de las altas cortes concibe esos estándares como grados de confianza del juzgador en sus propias creencias. Por ello la incorporación del más allá de toda duda razonable a los países de tradición romano-germánica no ha cambiado mucho las cosas.</w:t>
      </w:r>
      <w:r>
        <w:rPr>
          <w:rFonts w:ascii="Arial" w:eastAsia="Arial" w:hAnsi="Arial" w:cs="Arial"/>
          <w:color w:val="000000"/>
          <w:sz w:val="24"/>
          <w:szCs w:val="24"/>
          <w:vertAlign w:val="superscript"/>
        </w:rPr>
        <w:footnoteReference w:id="90"/>
      </w:r>
      <w:r>
        <w:rPr>
          <w:rFonts w:ascii="Arial" w:eastAsia="Arial" w:hAnsi="Arial" w:cs="Arial"/>
          <w:color w:val="000000"/>
          <w:sz w:val="24"/>
          <w:szCs w:val="24"/>
        </w:rPr>
        <w:t xml:space="preserve"> Sin una definición intersubjetiva de la razonabilidad de la duda, todo queda remitido a la subjetividad del juzgador. En consecuencia, el problema no reside en el origen de las fórmulas sino en su formulación subjetiva. Las legislaciones comparadas confirman esa formulación subjetiva con notable regularidad.</w:t>
      </w:r>
    </w:p>
    <w:p>
      <w:pPr>
        <w:spacing w:before="0" w:after="0" w:line="360" w:lineRule="auto"/>
        <w:ind w:firstLine="709"/>
        <w:jc w:val="both"/>
      </w:pPr>
      <w:r>
        <w:rPr>
          <w:rFonts w:ascii="Arial" w:eastAsia="Arial" w:hAnsi="Arial" w:cs="Arial"/>
          <w:color w:val="000000"/>
          <w:sz w:val="24"/>
          <w:szCs w:val="24"/>
        </w:rPr>
        <w:t xml:space="preserve">La mayoría de las legislaciones comparadas enlaza el resultado probatorio con el convencimiento del juzgador. Ferrer Beltrán reúne diversos ejemplos legislativos para mostrar ese patrón común.</w:t>
      </w:r>
      <w:r>
        <w:rPr>
          <w:rFonts w:ascii="Arial" w:eastAsia="Arial" w:hAnsi="Arial" w:cs="Arial"/>
          <w:color w:val="000000"/>
          <w:sz w:val="24"/>
          <w:szCs w:val="24"/>
          <w:vertAlign w:val="superscript"/>
        </w:rPr>
        <w:footnoteReference w:id="91"/>
      </w:r>
      <w:r>
        <w:rPr>
          <w:rFonts w:ascii="Arial" w:eastAsia="Arial" w:hAnsi="Arial" w:cs="Arial"/>
          <w:color w:val="000000"/>
          <w:sz w:val="24"/>
          <w:szCs w:val="24"/>
        </w:rPr>
        <w:t xml:space="preserve"> En todos esos ejemplos la prueba de un hecho depende de que el juez quede convencido. El patrón se reproduce incluso en disposiciones que exigen suficiencia sin definirla. El artículo 530 del </w:t>
      </w:r>
      <w:r>
        <w:rPr>
          <w:rFonts w:ascii="Arial" w:eastAsia="Arial" w:hAnsi="Arial" w:cs="Arial"/>
          <w:i/>
          <w:iCs/>
          <w:color w:val="000000"/>
          <w:sz w:val="24"/>
          <w:szCs w:val="24"/>
        </w:rPr>
        <w:t xml:space="preserve">Código de Procedimiento Penal</w:t>
      </w:r>
      <w:r>
        <w:rPr>
          <w:rFonts w:ascii="Arial" w:eastAsia="Arial" w:hAnsi="Arial" w:cs="Arial"/>
          <w:color w:val="000000"/>
          <w:sz w:val="24"/>
          <w:szCs w:val="24"/>
        </w:rPr>
        <w:t xml:space="preserve"> italiano ordena absolver si la prueba es insuficiente, pero no dice cuándo lo es.</w:t>
      </w:r>
      <w:r>
        <w:rPr>
          <w:rFonts w:ascii="Arial" w:eastAsia="Arial" w:hAnsi="Arial" w:cs="Arial"/>
          <w:color w:val="000000"/>
          <w:sz w:val="24"/>
          <w:szCs w:val="24"/>
          <w:vertAlign w:val="superscript"/>
        </w:rPr>
        <w:footnoteReference w:id="92"/>
      </w:r>
      <w:r>
        <w:rPr>
          <w:rFonts w:ascii="Arial" w:eastAsia="Arial" w:hAnsi="Arial" w:cs="Arial"/>
          <w:color w:val="000000"/>
          <w:sz w:val="24"/>
          <w:szCs w:val="24"/>
        </w:rPr>
        <w:t xml:space="preserve"> El artículo 316 del Código Nacional de Procedimientos Penales mexicano exige indicios razonables para la vinculación a proceso y tampoco precisa el grado de probabilidad requerido. Ferrer resume ese vicio con una fórmula crítica según la cual el legislador se limita a indicar que la prueba será suficiente cuando sea suficiente. La superación de ese vicio exige ubicar cada figura en su lugar dentro de la actividad probatoria.</w:t>
      </w:r>
    </w:p>
    <w:p>
      <w:pPr>
        <w:spacing w:before="0" w:after="0" w:line="360" w:lineRule="auto"/>
        <w:ind w:firstLine="709"/>
        <w:jc w:val="both"/>
      </w:pPr>
      <w:r>
        <w:rPr>
          <w:rFonts w:ascii="Arial" w:eastAsia="Arial" w:hAnsi="Arial" w:cs="Arial"/>
          <w:color w:val="000000"/>
          <w:sz w:val="24"/>
          <w:szCs w:val="24"/>
        </w:rPr>
        <w:t xml:space="preserve">La teoría de los momentos de la actividad probatoria permite comprender mejor la distinción entre valoración y estándar. Ferrer Beltrán distingue tres momentos lógicamente sucesivos, aunque en la práctica puedan entrelazarse.</w:t>
      </w:r>
      <w:r>
        <w:rPr>
          <w:rFonts w:ascii="Arial" w:eastAsia="Arial" w:hAnsi="Arial" w:cs="Arial"/>
          <w:color w:val="000000"/>
          <w:sz w:val="24"/>
          <w:szCs w:val="24"/>
          <w:vertAlign w:val="superscript"/>
        </w:rPr>
        <w:footnoteReference w:id="93"/>
      </w:r>
      <w:r>
        <w:rPr>
          <w:rFonts w:ascii="Arial" w:eastAsia="Arial" w:hAnsi="Arial" w:cs="Arial"/>
          <w:color w:val="000000"/>
          <w:sz w:val="24"/>
          <w:szCs w:val="24"/>
        </w:rPr>
        <w:t xml:space="preserve"> El primer momento es la conformación del conjunto de elementos de juicio. El segundo momento es la valoración de esos elementos, y el tercero es la adopción de la decisión sobre los hechos probados. En el primer momento rigen numerosas reglas jurídicas de admisión y exclusión.</w:t>
      </w:r>
      <w:r>
        <w:rPr>
          <w:rFonts w:ascii="Arial" w:eastAsia="Arial" w:hAnsi="Arial" w:cs="Arial"/>
          <w:color w:val="000000"/>
          <w:sz w:val="24"/>
          <w:szCs w:val="24"/>
          <w:vertAlign w:val="superscript"/>
        </w:rPr>
        <w:footnoteReference w:id="94"/>
      </w:r>
      <w:r>
        <w:rPr>
          <w:rFonts w:ascii="Arial" w:eastAsia="Arial" w:hAnsi="Arial" w:cs="Arial"/>
          <w:color w:val="000000"/>
          <w:sz w:val="24"/>
          <w:szCs w:val="24"/>
        </w:rPr>
        <w:t xml:space="preserve"> En el segundo momento rige la racionalidad general, siempre que el sistema adopte la libre valoración. En el tercer momento rigen reglas jurídicas de decisión que el legislador puede y debe formular. Esta secuencia permite ubicar con precisión cada figura del derecho probatorio y evita atribuir a una figura la función que corresponde a otra.</w:t>
      </w:r>
    </w:p>
    <w:p>
      <w:pPr>
        <w:spacing w:before="0" w:after="0" w:line="360" w:lineRule="auto"/>
        <w:ind w:firstLine="709"/>
        <w:jc w:val="both"/>
      </w:pPr>
      <w:r>
        <w:rPr>
          <w:rFonts w:ascii="Arial" w:eastAsia="Arial" w:hAnsi="Arial" w:cs="Arial"/>
          <w:color w:val="000000"/>
          <w:sz w:val="24"/>
          <w:szCs w:val="24"/>
        </w:rPr>
        <w:t xml:space="preserve">El segundo momento de la actividad probatoria tiene un contenido específico. En ese momento el juzgador valora la prueba de manera individual y conjunta.</w:t>
      </w:r>
      <w:r>
        <w:rPr>
          <w:rFonts w:ascii="Arial" w:eastAsia="Arial" w:hAnsi="Arial" w:cs="Arial"/>
          <w:color w:val="000000"/>
          <w:sz w:val="24"/>
          <w:szCs w:val="24"/>
          <w:vertAlign w:val="superscript"/>
        </w:rPr>
        <w:footnoteReference w:id="95"/>
      </w:r>
      <w:r>
        <w:rPr>
          <w:rFonts w:ascii="Arial" w:eastAsia="Arial" w:hAnsi="Arial" w:cs="Arial"/>
          <w:color w:val="000000"/>
          <w:sz w:val="24"/>
          <w:szCs w:val="24"/>
        </w:rPr>
        <w:t xml:space="preserve"> La valoración individual analiza la fiabilidad de cada prueba, y la valoración conjunta relaciona las pruebas con las hipótesis y determina qué grado de corroboración aporta a cada una. Ferrer precisa que ese resultado es siempre contextual.</w:t>
      </w:r>
      <w:r>
        <w:rPr>
          <w:rFonts w:ascii="Arial" w:eastAsia="Arial" w:hAnsi="Arial" w:cs="Arial"/>
          <w:color w:val="000000"/>
          <w:sz w:val="24"/>
          <w:szCs w:val="24"/>
          <w:vertAlign w:val="superscript"/>
        </w:rPr>
        <w:footnoteReference w:id="96"/>
      </w:r>
      <w:r>
        <w:rPr>
          <w:rFonts w:ascii="Arial" w:eastAsia="Arial" w:hAnsi="Arial" w:cs="Arial"/>
          <w:color w:val="000000"/>
          <w:sz w:val="24"/>
          <w:szCs w:val="24"/>
        </w:rPr>
        <w:t xml:space="preserve"> Si cambia el conjunto de elementos de juicio, el resultado de la valoración puede ser otro distinto. La libre valoración es libre solo porque no está sujeta a normas que predeterminen su resultado. La operación permanece sometida a los criterios generales de la lógica y la racionalidad. En este momento se sitúa la adminiculación, que integra los indicios y mide su apoyo conjunto sin decidir si ese apoyo basta.</w:t>
      </w:r>
    </w:p>
    <w:p>
      <w:pPr>
        <w:spacing w:before="0" w:after="0" w:line="360" w:lineRule="auto"/>
        <w:ind w:firstLine="709"/>
        <w:jc w:val="both"/>
      </w:pPr>
      <w:r>
        <w:rPr>
          <w:rFonts w:ascii="Arial" w:eastAsia="Arial" w:hAnsi="Arial" w:cs="Arial"/>
          <w:color w:val="000000"/>
          <w:sz w:val="24"/>
          <w:szCs w:val="24"/>
        </w:rPr>
        <w:t xml:space="preserve">El tercer momento añade a la actividad probatoria algo que la valoración no puede proporcionar. Ferrer sostiene que la valoración nunca basta para tomar una decisión sobre los hechos.</w:t>
      </w:r>
      <w:r>
        <w:rPr>
          <w:rFonts w:ascii="Arial" w:eastAsia="Arial" w:hAnsi="Arial" w:cs="Arial"/>
          <w:color w:val="000000"/>
          <w:sz w:val="24"/>
          <w:szCs w:val="24"/>
          <w:vertAlign w:val="superscript"/>
        </w:rPr>
        <w:footnoteReference w:id="97"/>
      </w:r>
      <w:r>
        <w:rPr>
          <w:rFonts w:ascii="Arial" w:eastAsia="Arial" w:hAnsi="Arial" w:cs="Arial"/>
          <w:color w:val="000000"/>
          <w:sz w:val="24"/>
          <w:szCs w:val="24"/>
        </w:rPr>
        <w:t xml:space="preserve"> La decisión necesita un criterio que determine si el grado de corroboración alcanzado es suficiente, y por ello el autor afirma que las pruebas subdeterminan la decisión probatoria. La decisión ya no está gobernada solo por la epistemología, sino por reglas jurídicas de tres tipos, que son las cargas de la prueba, las presunciones y los estándares de prueba. El resultado de la valoración no implica por sí solo nada respecto de la decisión.</w:t>
      </w:r>
      <w:r>
        <w:rPr>
          <w:rFonts w:ascii="Arial" w:eastAsia="Arial" w:hAnsi="Arial" w:cs="Arial"/>
          <w:color w:val="000000"/>
          <w:sz w:val="24"/>
          <w:szCs w:val="24"/>
          <w:vertAlign w:val="superscript"/>
        </w:rPr>
        <w:footnoteReference w:id="98"/>
      </w:r>
      <w:r>
        <w:rPr>
          <w:rFonts w:ascii="Arial" w:eastAsia="Arial" w:hAnsi="Arial" w:cs="Arial"/>
          <w:color w:val="000000"/>
          <w:sz w:val="24"/>
          <w:szCs w:val="24"/>
        </w:rPr>
        <w:t xml:space="preserve"> Ni siquiera la hipótesis más confirmada debe darse siempre por probada. La respuesta depende del estándar aplicable a cada tipo de decisión. Valoración y estándar no compiten entre sí, sino que se suceden en el razonamiento del juzgador.</w:t>
      </w:r>
    </w:p>
    <w:p>
      <w:pPr>
        <w:spacing w:before="0" w:after="0" w:line="360" w:lineRule="auto"/>
        <w:ind w:firstLine="709"/>
        <w:jc w:val="both"/>
      </w:pPr>
      <w:r>
        <w:rPr>
          <w:rFonts w:ascii="Arial" w:eastAsia="Arial" w:hAnsi="Arial" w:cs="Arial"/>
          <w:color w:val="000000"/>
          <w:sz w:val="24"/>
          <w:szCs w:val="24"/>
        </w:rPr>
        <w:t xml:space="preserve">La sucesión entre valoración y estándar responde a dos preguntas distintas. La valoración responde a la pregunta por el grado de apoyo empírico de cada hipótesis, y el estándar responde a la pregunta por la suficiencia de ese apoyo para decidir. Ferrer recuerda que Tuzet ha mostrado la confusión habitual entre criterios de valoración y estándares de prueba.</w:t>
      </w:r>
      <w:r>
        <w:rPr>
          <w:rFonts w:ascii="Arial" w:eastAsia="Arial" w:hAnsi="Arial" w:cs="Arial"/>
          <w:color w:val="000000"/>
          <w:sz w:val="24"/>
          <w:szCs w:val="24"/>
          <w:vertAlign w:val="superscript"/>
        </w:rPr>
        <w:footnoteReference w:id="99"/>
      </w:r>
      <w:r>
        <w:rPr>
          <w:rFonts w:ascii="Arial" w:eastAsia="Arial" w:hAnsi="Arial" w:cs="Arial"/>
          <w:color w:val="000000"/>
          <w:sz w:val="24"/>
          <w:szCs w:val="24"/>
        </w:rPr>
        <w:t xml:space="preserve"> Esa confusión aparece incluso en la jurisprudencia del Tribunal Europeo de Derechos Humanos, que ha tratado repetidamente el más allá de toda duda razonable como criterio de valoración. En el ámbito penal mexicano, un tribunal colegiado ha trazado correctamente la separación.</w:t>
      </w:r>
      <w:r>
        <w:rPr>
          <w:rFonts w:ascii="Arial" w:eastAsia="Arial" w:hAnsi="Arial" w:cs="Arial"/>
          <w:color w:val="000000"/>
          <w:sz w:val="24"/>
          <w:szCs w:val="24"/>
          <w:vertAlign w:val="superscript"/>
        </w:rPr>
        <w:footnoteReference w:id="100"/>
      </w:r>
      <w:r>
        <w:rPr>
          <w:rFonts w:ascii="Arial" w:eastAsia="Arial" w:hAnsi="Arial" w:cs="Arial"/>
          <w:color w:val="000000"/>
          <w:sz w:val="24"/>
          <w:szCs w:val="24"/>
        </w:rPr>
        <w:t xml:space="preserve"> El tribunal sostuvo que el ejercicio inferencial es válido, pero que su resultado debe satisfacer el umbral de la duda razonable. La inferencia y el umbral quedan de ese modo en planos distintos. La ubicación del estándar en el momento de la decisión plantea la cuestión de quién fija su nivel.</w:t>
      </w:r>
    </w:p>
    <w:p>
      <w:pPr>
        <w:spacing w:before="0" w:after="0" w:line="360" w:lineRule="auto"/>
        <w:ind w:firstLine="709"/>
        <w:jc w:val="both"/>
      </w:pPr>
      <w:r>
        <w:rPr>
          <w:rFonts w:ascii="Arial" w:eastAsia="Arial" w:hAnsi="Arial" w:cs="Arial"/>
          <w:color w:val="000000"/>
          <w:sz w:val="24"/>
          <w:szCs w:val="24"/>
        </w:rPr>
        <w:t xml:space="preserve">La epistemología jurídica contemporánea sostiene que la epistemología no fija el umbral de suficiencia. Carmen Vázquez formula esa tesis con precisión.</w:t>
      </w:r>
      <w:r>
        <w:rPr>
          <w:rFonts w:ascii="Arial" w:eastAsia="Arial" w:hAnsi="Arial" w:cs="Arial"/>
          <w:color w:val="000000"/>
          <w:sz w:val="24"/>
          <w:szCs w:val="24"/>
          <w:vertAlign w:val="superscript"/>
        </w:rPr>
        <w:footnoteReference w:id="101"/>
      </w:r>
      <w:r>
        <w:rPr>
          <w:rFonts w:ascii="Arial" w:eastAsia="Arial" w:hAnsi="Arial" w:cs="Arial"/>
          <w:color w:val="000000"/>
          <w:sz w:val="24"/>
          <w:szCs w:val="24"/>
        </w:rPr>
        <w:t xml:space="preserve"> El estándar de prueba presupone una decisión de política pública sobre el beneficio de la duda que se concede a cada parte. Esa decisión determina la distribución de errores que se busca en el proceso. A la epistemología solo le corresponde la construcción del estándar y no la determinación del grado mínimo exigible. La epistemología puede decir el cómo, pero no el cuánto. La misma autora exige que las partes conozcan previamente ese grado mínimo de exigencia. Con mayor precisión, la autora sostiene que ese grado debería estar establecido en la legislación, porque solo una regla previa y general permite a las partes ajustar su conducta procesal al umbral exigido.</w:t>
      </w:r>
    </w:p>
    <w:p>
      <w:pPr>
        <w:spacing w:before="0" w:after="0" w:line="360" w:lineRule="auto"/>
        <w:ind w:firstLine="709"/>
        <w:jc w:val="both"/>
      </w:pPr>
      <w:r>
        <w:rPr>
          <w:rFonts w:ascii="Arial" w:eastAsia="Arial" w:hAnsi="Arial" w:cs="Arial"/>
          <w:color w:val="000000"/>
          <w:sz w:val="24"/>
          <w:szCs w:val="24"/>
        </w:rPr>
        <w:t xml:space="preserve">Ferrer Beltrán sostiene en la misma línea que la decisión sobre el umbral no es en absoluto epistemológica. El autor retoma a Stein para afirmar que se trata de una decisión política.</w:t>
      </w:r>
      <w:r>
        <w:rPr>
          <w:rFonts w:ascii="Arial" w:eastAsia="Arial" w:hAnsi="Arial" w:cs="Arial"/>
          <w:color w:val="000000"/>
          <w:sz w:val="24"/>
          <w:szCs w:val="24"/>
          <w:vertAlign w:val="superscript"/>
        </w:rPr>
        <w:footnoteReference w:id="102"/>
      </w:r>
      <w:r>
        <w:rPr>
          <w:rFonts w:ascii="Arial" w:eastAsia="Arial" w:hAnsi="Arial" w:cs="Arial"/>
          <w:color w:val="000000"/>
          <w:sz w:val="24"/>
          <w:szCs w:val="24"/>
        </w:rPr>
        <w:t xml:space="preserve"> La epistemología puede ayudar a formular correctamente el estándar elegido, pero no dice nada sobre cuál es el nivel adecuado. Ferrer añade una observación comparativa ilustrativa. La farmacología exige estándares más elevados que la historia por el costo del error y no por razones epistemológicas. La única particularidad del derecho es que dispone de mecanismos institucionales para adoptar esa decisión. Por ello el autor concluye que el debido proceso exige que el legislador determine el umbral para cada tipo de casos.</w:t>
      </w:r>
      <w:r>
        <w:rPr>
          <w:rFonts w:ascii="Arial" w:eastAsia="Arial" w:hAnsi="Arial" w:cs="Arial"/>
          <w:color w:val="000000"/>
          <w:sz w:val="24"/>
          <w:szCs w:val="24"/>
          <w:vertAlign w:val="superscript"/>
        </w:rPr>
        <w:footnoteReference w:id="103"/>
      </w:r>
      <w:r>
        <w:rPr>
          <w:rFonts w:ascii="Arial" w:eastAsia="Arial" w:hAnsi="Arial" w:cs="Arial"/>
          <w:color w:val="000000"/>
          <w:sz w:val="24"/>
          <w:szCs w:val="24"/>
        </w:rPr>
        <w:t xml:space="preserve"> El debido proceso no impone un umbral determinado, sino la existencia de uno, y esa exigencia se explica por la función de distribuir el riesgo del error.</w:t>
      </w:r>
    </w:p>
    <w:p>
      <w:pPr>
        <w:spacing w:before="0" w:after="0" w:line="360" w:lineRule="auto"/>
        <w:ind w:firstLine="709"/>
        <w:jc w:val="both"/>
      </w:pPr>
      <w:r>
        <w:rPr>
          <w:rFonts w:ascii="Arial" w:eastAsia="Arial" w:hAnsi="Arial" w:cs="Arial"/>
          <w:color w:val="000000"/>
          <w:sz w:val="24"/>
          <w:szCs w:val="24"/>
        </w:rPr>
        <w:t xml:space="preserve">La naturaleza normativa del estándar se explica por su función de distribuir el riesgo del error. Toda decisión sobre hechos se adopta en condiciones de incertidumbre. Ferrer distingue dos errores materiales posibles.</w:t>
      </w:r>
      <w:r>
        <w:rPr>
          <w:rFonts w:ascii="Arial" w:eastAsia="Arial" w:hAnsi="Arial" w:cs="Arial"/>
          <w:color w:val="000000"/>
          <w:sz w:val="24"/>
          <w:szCs w:val="24"/>
          <w:vertAlign w:val="superscript"/>
        </w:rPr>
        <w:footnoteReference w:id="104"/>
      </w:r>
      <w:r>
        <w:rPr>
          <w:rFonts w:ascii="Arial" w:eastAsia="Arial" w:hAnsi="Arial" w:cs="Arial"/>
          <w:color w:val="000000"/>
          <w:sz w:val="24"/>
          <w:szCs w:val="24"/>
        </w:rPr>
        <w:t xml:space="preserve"> El falso positivo ocurre cuando se declara probada una hipótesis falsa, y el falso negativo ocurre cuando se declara no probada una hipótesis verdadera. Ambos errores pueden producirse aunque el razonamiento del juez sea correcto a la luz de las pruebas disponibles. Laudan denomina doctrina de distribución del error al conjunto de figuras que protegen al acusado.</w:t>
      </w:r>
      <w:r>
        <w:rPr>
          <w:rFonts w:ascii="Arial" w:eastAsia="Arial" w:hAnsi="Arial" w:cs="Arial"/>
          <w:color w:val="000000"/>
          <w:sz w:val="24"/>
          <w:szCs w:val="24"/>
          <w:vertAlign w:val="superscript"/>
        </w:rPr>
        <w:footnoteReference w:id="105"/>
      </w:r>
      <w:r>
        <w:rPr>
          <w:rFonts w:ascii="Arial" w:eastAsia="Arial" w:hAnsi="Arial" w:cs="Arial"/>
          <w:color w:val="000000"/>
          <w:sz w:val="24"/>
          <w:szCs w:val="24"/>
        </w:rPr>
        <w:t xml:space="preserve"> Entre esas figuras incluye el estándar de prueba, la presunción de inocencia, el beneficio de la duda y la carga de la prueba. Según este autor, ninguna de esas figuras está diseñada para reducir errores, sino para distribuirlos entre las partes.</w:t>
      </w:r>
    </w:p>
    <w:p>
      <w:pPr>
        <w:spacing w:before="0" w:after="0" w:line="360" w:lineRule="auto"/>
        <w:ind w:firstLine="709"/>
        <w:jc w:val="both"/>
      </w:pPr>
      <w:r>
        <w:rPr>
          <w:rFonts w:ascii="Arial" w:eastAsia="Arial" w:hAnsi="Arial" w:cs="Arial"/>
          <w:color w:val="000000"/>
          <w:sz w:val="24"/>
          <w:szCs w:val="24"/>
        </w:rPr>
        <w:t xml:space="preserve">La relación entre estándar y errores suele malentenderse. Ferrer identifica tres equívocos frecuentes.</w:t>
      </w:r>
      <w:r>
        <w:rPr>
          <w:rFonts w:ascii="Arial" w:eastAsia="Arial" w:hAnsi="Arial" w:cs="Arial"/>
          <w:color w:val="000000"/>
          <w:sz w:val="24"/>
          <w:szCs w:val="24"/>
          <w:vertAlign w:val="superscript"/>
        </w:rPr>
        <w:footnoteReference w:id="106"/>
      </w:r>
      <w:r>
        <w:rPr>
          <w:rFonts w:ascii="Arial" w:eastAsia="Arial" w:hAnsi="Arial" w:cs="Arial"/>
          <w:color w:val="000000"/>
          <w:sz w:val="24"/>
          <w:szCs w:val="24"/>
        </w:rPr>
        <w:t xml:space="preserve"> El primer equívoco sostiene que un estándar más exigente reduce el número total de errores, cuando en realidad elevar el umbral disminuye las condenas falsas, pero puede aumentar en mayor medida las absoluciones falsas. El segundo equívoco sostiene que la preponderancia de la prueba minimiza siempre los errores, aunque esa relación es contingente y depende de factores como el tipo de casos y la desigualdad entre las partes. El tercer equívoco sostiene que elevar el estándar es la mejor manera de reducir condenas falsas. Ferrer distingue dos estrategias distintas frente a ese equívoco.</w:t>
      </w:r>
      <w:r>
        <w:rPr>
          <w:rFonts w:ascii="Arial" w:eastAsia="Arial" w:hAnsi="Arial" w:cs="Arial"/>
          <w:color w:val="000000"/>
          <w:sz w:val="24"/>
          <w:szCs w:val="24"/>
          <w:vertAlign w:val="superscript"/>
        </w:rPr>
        <w:footnoteReference w:id="107"/>
      </w:r>
      <w:r>
        <w:rPr>
          <w:rFonts w:ascii="Arial" w:eastAsia="Arial" w:hAnsi="Arial" w:cs="Arial"/>
          <w:color w:val="000000"/>
          <w:sz w:val="24"/>
          <w:szCs w:val="24"/>
        </w:rPr>
        <w:t xml:space="preserve"> La reducción de errores depende de enriquecer el acervo probatorio. La distribución de errores obedece a preferencias morales o políticas y corresponde al estándar.</w:t>
      </w:r>
    </w:p>
    <w:p>
      <w:pPr>
        <w:spacing w:before="0" w:after="0" w:line="360" w:lineRule="auto"/>
        <w:ind w:firstLine="709"/>
        <w:jc w:val="both"/>
      </w:pPr>
      <w:r>
        <w:rPr>
          <w:rFonts w:ascii="Arial" w:eastAsia="Arial" w:hAnsi="Arial" w:cs="Arial"/>
          <w:color w:val="000000"/>
          <w:sz w:val="24"/>
          <w:szCs w:val="24"/>
        </w:rPr>
        <w:t xml:space="preserve">La distribución de errores podría confiarse, en apariencia, a la filosofía moral. Laudan rechaza esa posibilidad.</w:t>
      </w:r>
      <w:r>
        <w:rPr>
          <w:rFonts w:ascii="Arial" w:eastAsia="Arial" w:hAnsi="Arial" w:cs="Arial"/>
          <w:color w:val="000000"/>
          <w:sz w:val="24"/>
          <w:szCs w:val="24"/>
          <w:vertAlign w:val="superscript"/>
        </w:rPr>
        <w:footnoteReference w:id="108"/>
      </w:r>
      <w:r>
        <w:rPr>
          <w:rFonts w:ascii="Arial" w:eastAsia="Arial" w:hAnsi="Arial" w:cs="Arial"/>
          <w:color w:val="000000"/>
          <w:sz w:val="24"/>
          <w:szCs w:val="24"/>
        </w:rPr>
        <w:t xml:space="preserve"> Las teorías deontológicas pueden afirmar que una condena falsa es peor que una absolución falsa, pero no pueden determinar cuánto peor es. Laudan ilustra el problema con la llamada ratio de Blackstone, que expresa cuántos culpables absueltos se consideran preferibles a un inocente condenado. Maimónides proponía una proporción de mil a uno, Franklin de cien a uno, Hale de cinco a uno y Voltaire de dos a uno. Esas estimaciones difieren en un factor de quinientos, y ninguna fue defendida con argumentos, sino presentada como evidente.</w:t>
      </w:r>
      <w:r>
        <w:rPr>
          <w:rFonts w:ascii="Arial" w:eastAsia="Arial" w:hAnsi="Arial" w:cs="Arial"/>
          <w:color w:val="000000"/>
          <w:sz w:val="24"/>
          <w:szCs w:val="24"/>
          <w:vertAlign w:val="superscript"/>
        </w:rPr>
        <w:footnoteReference w:id="109"/>
      </w:r>
      <w:r>
        <w:rPr>
          <w:rFonts w:ascii="Arial" w:eastAsia="Arial" w:hAnsi="Arial" w:cs="Arial"/>
          <w:color w:val="000000"/>
          <w:sz w:val="24"/>
          <w:szCs w:val="24"/>
        </w:rPr>
        <w:t xml:space="preserve"> En consecuencia, la fijación del umbral requiere una decisión institucional explícita y no una intuición moral de cada juzgador. Esa decisión institucional cumple, junto con la distribución del error, otras funciones que conviene precisar.</w:t>
      </w:r>
    </w:p>
    <w:p>
      <w:pPr>
        <w:spacing w:before="0" w:after="0" w:line="360" w:lineRule="auto"/>
        <w:ind w:firstLine="709"/>
        <w:jc w:val="both"/>
      </w:pPr>
      <w:r>
        <w:rPr>
          <w:rFonts w:ascii="Arial" w:eastAsia="Arial" w:hAnsi="Arial" w:cs="Arial"/>
          <w:color w:val="000000"/>
          <w:sz w:val="24"/>
          <w:szCs w:val="24"/>
        </w:rPr>
        <w:t xml:space="preserve">Los estándares de prueba no se reducen a distribuir el riesgo del error. Ferrer Beltrán les atribuye tres funciones.</w:t>
      </w:r>
      <w:r>
        <w:rPr>
          <w:rFonts w:ascii="Arial" w:eastAsia="Arial" w:hAnsi="Arial" w:cs="Arial"/>
          <w:color w:val="000000"/>
          <w:sz w:val="24"/>
          <w:szCs w:val="24"/>
          <w:vertAlign w:val="superscript"/>
        </w:rPr>
        <w:footnoteReference w:id="110"/>
      </w:r>
      <w:r>
        <w:rPr>
          <w:rFonts w:ascii="Arial" w:eastAsia="Arial" w:hAnsi="Arial" w:cs="Arial"/>
          <w:color w:val="000000"/>
          <w:sz w:val="24"/>
          <w:szCs w:val="24"/>
        </w:rPr>
        <w:t xml:space="preserve"> La primera función consiste en aportar los criterios de justificación de la decisión sobre la suficiencia probatoria, y la segunda consiste en servir de garantía para las partes. La tercera función consiste en distribuir el riesgo del error. Las dos primeras funciones se cumplen por la sola existencia de un estándar bien formulado.</w:t>
      </w:r>
      <w:r>
        <w:rPr>
          <w:rFonts w:ascii="Arial" w:eastAsia="Arial" w:hAnsi="Arial" w:cs="Arial"/>
          <w:color w:val="000000"/>
          <w:sz w:val="24"/>
          <w:szCs w:val="24"/>
          <w:vertAlign w:val="superscript"/>
        </w:rPr>
        <w:footnoteReference w:id="111"/>
      </w:r>
      <w:r>
        <w:rPr>
          <w:rFonts w:ascii="Arial" w:eastAsia="Arial" w:hAnsi="Arial" w:cs="Arial"/>
          <w:color w:val="000000"/>
          <w:sz w:val="24"/>
          <w:szCs w:val="24"/>
        </w:rPr>
        <w:t xml:space="preserve"> La tercera función depende del nivel concreto de exigencia que el legislador fije. El autor critica que la doctrina anglosajona se haya concentrado casi solo en la tercera función. Ese énfasis oscurece que disponer de estándares es parte sustancial del debido proceso, con independencia del nivel de exigencia que el legislador decida adoptar para cada tipo de decisión.</w:t>
      </w:r>
    </w:p>
    <w:p>
      <w:pPr>
        <w:spacing w:before="0" w:after="0" w:line="360" w:lineRule="auto"/>
        <w:ind w:firstLine="709"/>
        <w:jc w:val="both"/>
      </w:pPr>
      <w:r>
        <w:rPr>
          <w:rFonts w:ascii="Arial" w:eastAsia="Arial" w:hAnsi="Arial" w:cs="Arial"/>
          <w:color w:val="000000"/>
          <w:sz w:val="24"/>
          <w:szCs w:val="24"/>
        </w:rPr>
        <w:t xml:space="preserve">Ferrer retoma a Gascón Abellán para explicar la función justificativa de los estándares. Los estándares cumplen una función heurística y una función justificativa.</w:t>
      </w:r>
      <w:r>
        <w:rPr>
          <w:rFonts w:ascii="Arial" w:eastAsia="Arial" w:hAnsi="Arial" w:cs="Arial"/>
          <w:color w:val="000000"/>
          <w:sz w:val="24"/>
          <w:szCs w:val="24"/>
          <w:vertAlign w:val="superscript"/>
        </w:rPr>
        <w:footnoteReference w:id="112"/>
      </w:r>
      <w:r>
        <w:rPr>
          <w:rFonts w:ascii="Arial" w:eastAsia="Arial" w:hAnsi="Arial" w:cs="Arial"/>
          <w:color w:val="000000"/>
          <w:sz w:val="24"/>
          <w:szCs w:val="24"/>
        </w:rPr>
        <w:t xml:space="preserve"> La función heurística orienta al juez sobre los criterios relevantes al valorar. La función justificativa provee el umbral a partir del cual una hipótesis puede considerarse probada. Sin esos criterios la obligación de motivar resulta de imposible cumplimiento, porque el juez no podría justificar que una hipótesis supera o no el umbral exigido. La función de garantía permite a las partes decidir su estrategia probatoria y controlar la decisión mediante los recursos.</w:t>
      </w:r>
      <w:r>
        <w:rPr>
          <w:rFonts w:ascii="Arial" w:eastAsia="Arial" w:hAnsi="Arial" w:cs="Arial"/>
          <w:color w:val="000000"/>
          <w:sz w:val="24"/>
          <w:szCs w:val="24"/>
          <w:vertAlign w:val="superscript"/>
        </w:rPr>
        <w:footnoteReference w:id="113"/>
      </w:r>
      <w:r>
        <w:rPr>
          <w:rFonts w:ascii="Arial" w:eastAsia="Arial" w:hAnsi="Arial" w:cs="Arial"/>
          <w:color w:val="000000"/>
          <w:sz w:val="24"/>
          <w:szCs w:val="24"/>
        </w:rPr>
        <w:t xml:space="preserve"> En consecuencia, la indeterminación del umbral vacía de contenido el derecho al recurso en materia de hechos. Estas funciones no han impedido que un sector de la doctrina cuestione la legitimidad misma de los estándares.</w:t>
      </w:r>
    </w:p>
    <w:p>
      <w:pPr>
        <w:spacing w:before="0" w:after="0" w:line="360" w:lineRule="auto"/>
        <w:ind w:firstLine="709"/>
        <w:jc w:val="both"/>
      </w:pPr>
      <w:r>
        <w:rPr>
          <w:rFonts w:ascii="Arial" w:eastAsia="Arial" w:hAnsi="Arial" w:cs="Arial"/>
          <w:color w:val="000000"/>
          <w:sz w:val="24"/>
          <w:szCs w:val="24"/>
        </w:rPr>
        <w:t xml:space="preserve">Un argumento recurrente contra los estándares de prueba los asimila al antiguo sistema de prueba tasada. Nieva Fenoll sostiene esa tesis de manera explícita.</w:t>
      </w:r>
      <w:r>
        <w:rPr>
          <w:rFonts w:ascii="Arial" w:eastAsia="Arial" w:hAnsi="Arial" w:cs="Arial"/>
          <w:color w:val="000000"/>
          <w:sz w:val="24"/>
          <w:szCs w:val="24"/>
          <w:vertAlign w:val="superscript"/>
        </w:rPr>
        <w:footnoteReference w:id="114"/>
      </w:r>
      <w:r>
        <w:rPr>
          <w:rFonts w:ascii="Arial" w:eastAsia="Arial" w:hAnsi="Arial" w:cs="Arial"/>
          <w:color w:val="000000"/>
          <w:sz w:val="24"/>
          <w:szCs w:val="24"/>
        </w:rPr>
        <w:t xml:space="preserve"> Para este autor, la carga de la prueba y los estándares provienen del antiguo sistema de valoración legal. En un sistema de libre valoración los estándares serían simples remedos de la </w:t>
      </w:r>
      <w:r>
        <w:rPr>
          <w:rFonts w:ascii="Arial" w:eastAsia="Arial" w:hAnsi="Arial" w:cs="Arial"/>
          <w:i/>
          <w:iCs/>
          <w:color w:val="000000"/>
          <w:sz w:val="24"/>
          <w:szCs w:val="24"/>
        </w:rPr>
        <w:t xml:space="preserve">probatio plena</w:t>
      </w:r>
      <w:r>
        <w:rPr>
          <w:rFonts w:ascii="Arial" w:eastAsia="Arial" w:hAnsi="Arial" w:cs="Arial"/>
          <w:color w:val="000000"/>
          <w:sz w:val="24"/>
          <w:szCs w:val="24"/>
        </w:rPr>
        <w:t xml:space="preserve"> y la </w:t>
      </w:r>
      <w:r>
        <w:rPr>
          <w:rFonts w:ascii="Arial" w:eastAsia="Arial" w:hAnsi="Arial" w:cs="Arial"/>
          <w:i/>
          <w:iCs/>
          <w:color w:val="000000"/>
          <w:sz w:val="24"/>
          <w:szCs w:val="24"/>
        </w:rPr>
        <w:t xml:space="preserve">semiplena probatio</w:t>
      </w:r>
      <w:r>
        <w:rPr>
          <w:rFonts w:ascii="Arial" w:eastAsia="Arial" w:hAnsi="Arial" w:cs="Arial"/>
          <w:color w:val="000000"/>
          <w:sz w:val="24"/>
          <w:szCs w:val="24"/>
        </w:rPr>
        <w:t xml:space="preserve">, y resultarían imposibles de objetivar. El autor añade que la preponderancia de la prueba no ayuda al juez, pues solo describe su labor cotidiana.</w:t>
      </w:r>
      <w:r>
        <w:rPr>
          <w:rFonts w:ascii="Arial" w:eastAsia="Arial" w:hAnsi="Arial" w:cs="Arial"/>
          <w:color w:val="000000"/>
          <w:sz w:val="24"/>
          <w:szCs w:val="24"/>
          <w:vertAlign w:val="superscript"/>
        </w:rPr>
        <w:footnoteReference w:id="115"/>
      </w:r>
      <w:r>
        <w:rPr>
          <w:rFonts w:ascii="Arial" w:eastAsia="Arial" w:hAnsi="Arial" w:cs="Arial"/>
          <w:color w:val="000000"/>
          <w:sz w:val="24"/>
          <w:szCs w:val="24"/>
        </w:rPr>
        <w:t xml:space="preserve"> Nieva Fenoll advierte que los estándares se pensaron sobre todo para jurados que no motivan.</w:t>
      </w:r>
      <w:r>
        <w:rPr>
          <w:rFonts w:ascii="Arial" w:eastAsia="Arial" w:hAnsi="Arial" w:cs="Arial"/>
          <w:color w:val="000000"/>
          <w:sz w:val="24"/>
          <w:szCs w:val="24"/>
          <w:vertAlign w:val="superscript"/>
        </w:rPr>
        <w:footnoteReference w:id="116"/>
      </w:r>
      <w:r>
        <w:rPr>
          <w:rFonts w:ascii="Arial" w:eastAsia="Arial" w:hAnsi="Arial" w:cs="Arial"/>
          <w:color w:val="000000"/>
          <w:sz w:val="24"/>
          <w:szCs w:val="24"/>
        </w:rPr>
        <w:t xml:space="preserve"> Esta posición merece una consideración detenida porque cuestiona la premisa central de esta investigación. La respuesta a esa objeción exige separar el origen histórico de una institución de su necesidad conceptual.</w:t>
      </w:r>
    </w:p>
    <w:p>
      <w:pPr>
        <w:spacing w:before="0" w:after="0" w:line="360" w:lineRule="auto"/>
        <w:ind w:firstLine="709"/>
        <w:jc w:val="both"/>
      </w:pPr>
      <w:r>
        <w:rPr>
          <w:rFonts w:ascii="Arial" w:eastAsia="Arial" w:hAnsi="Arial" w:cs="Arial"/>
          <w:color w:val="000000"/>
          <w:sz w:val="24"/>
          <w:szCs w:val="24"/>
        </w:rPr>
        <w:t xml:space="preserve">Ferrer Beltrán ofrece una réplica conceptual a la objeción de Nieva Fenoll. El origen histórico de una institución nada dice acerca de su necesidad conceptual.</w:t>
      </w:r>
      <w:r>
        <w:rPr>
          <w:rFonts w:ascii="Arial" w:eastAsia="Arial" w:hAnsi="Arial" w:cs="Arial"/>
          <w:color w:val="000000"/>
          <w:sz w:val="24"/>
          <w:szCs w:val="24"/>
          <w:vertAlign w:val="superscript"/>
        </w:rPr>
        <w:footnoteReference w:id="117"/>
      </w:r>
      <w:r>
        <w:rPr>
          <w:rFonts w:ascii="Arial" w:eastAsia="Arial" w:hAnsi="Arial" w:cs="Arial"/>
          <w:color w:val="000000"/>
          <w:sz w:val="24"/>
          <w:szCs w:val="24"/>
        </w:rPr>
        <w:t xml:space="preserve"> Si no es posible alcanzar certezas racionales, es imprescindible determinar qué grado de probabilidad basta, y esa labor no puede realizarla la valoración, que solo mide el grado de corroboración. La prueba tasada y los estándares son modos de regulación incompatibles.</w:t>
      </w:r>
      <w:r>
        <w:rPr>
          <w:rFonts w:ascii="Arial" w:eastAsia="Arial" w:hAnsi="Arial" w:cs="Arial"/>
          <w:color w:val="000000"/>
          <w:sz w:val="24"/>
          <w:szCs w:val="24"/>
          <w:vertAlign w:val="superscript"/>
        </w:rPr>
        <w:footnoteReference w:id="118"/>
      </w:r>
      <w:r>
        <w:rPr>
          <w:rFonts w:ascii="Arial" w:eastAsia="Arial" w:hAnsi="Arial" w:cs="Arial"/>
          <w:color w:val="000000"/>
          <w:sz w:val="24"/>
          <w:szCs w:val="24"/>
        </w:rPr>
        <w:t xml:space="preserve"> La prueba tasada impone un resultado probatorio a partir de la presencia de ciertos medios y evita todo razonamiento del juez. El estándar presupone ese razonamiento. Vázquez coincide en que el estándar no fija de antemano el valor de pruebas concretas, sino que opera sobre el conjunto para la decisión final.</w:t>
      </w:r>
      <w:r>
        <w:rPr>
          <w:rFonts w:ascii="Arial" w:eastAsia="Arial" w:hAnsi="Arial" w:cs="Arial"/>
          <w:color w:val="000000"/>
          <w:sz w:val="24"/>
          <w:szCs w:val="24"/>
          <w:vertAlign w:val="superscript"/>
        </w:rPr>
        <w:footnoteReference w:id="119"/>
      </w:r>
      <w:r>
        <w:rPr>
          <w:rFonts w:ascii="Arial" w:eastAsia="Arial" w:hAnsi="Arial" w:cs="Arial"/>
          <w:color w:val="000000"/>
          <w:sz w:val="24"/>
          <w:szCs w:val="24"/>
        </w:rPr>
        <w:t xml:space="preserve"> Por tanto, el estándar completa la libre valoración sin restaurar la prueba legal.</w:t>
      </w:r>
    </w:p>
    <w:p>
      <w:pPr>
        <w:spacing w:before="0" w:after="0" w:line="360" w:lineRule="auto"/>
        <w:ind w:firstLine="709"/>
        <w:jc w:val="both"/>
      </w:pPr>
      <w:r>
        <w:rPr>
          <w:rFonts w:ascii="Arial" w:eastAsia="Arial" w:hAnsi="Arial" w:cs="Arial"/>
          <w:color w:val="000000"/>
          <w:sz w:val="24"/>
          <w:szCs w:val="24"/>
        </w:rPr>
        <w:t xml:space="preserve">Ferrer retoma una analogía de Anderson, Schum y Twining para ilustrar esa complementariedad. Los profesores valoran libremente la calidad de cada examen.</w:t>
      </w:r>
      <w:r>
        <w:rPr>
          <w:rFonts w:ascii="Arial" w:eastAsia="Arial" w:hAnsi="Arial" w:cs="Arial"/>
          <w:color w:val="000000"/>
          <w:sz w:val="24"/>
          <w:szCs w:val="24"/>
          <w:vertAlign w:val="superscript"/>
        </w:rPr>
        <w:footnoteReference w:id="120"/>
      </w:r>
      <w:r>
        <w:rPr>
          <w:rFonts w:ascii="Arial" w:eastAsia="Arial" w:hAnsi="Arial" w:cs="Arial"/>
          <w:color w:val="000000"/>
          <w:sz w:val="24"/>
          <w:szCs w:val="24"/>
        </w:rPr>
        <w:t xml:space="preserve"> La calificación mínima para aprobar está fijada de antemano y es igual para todos. Si cada profesor pudiera fijar la nota mínima, los estudiantes quedarían en total inseguridad jurídica, y nadie sostiene que esa regla general afecte la libre valoración de los exámenes. Del mismo modo, los estándares son a la decisión probatoria lo que la nota mínima es a la evaluación. La valoración sigue siendo tarea del juez en el caso concreto, mientras que el umbral expresa una política pública previa. Esta analogía resume la distinción entre valorar y decidir. La misma distinción debe trazarse frente a otras reglas de decisión que suelen ocupar el lugar del estándar.</w:t>
      </w:r>
    </w:p>
    <w:p>
      <w:pPr>
        <w:spacing w:before="0" w:after="0" w:line="360" w:lineRule="auto"/>
        <w:ind w:firstLine="709"/>
        <w:jc w:val="both"/>
      </w:pPr>
      <w:r>
        <w:rPr>
          <w:rFonts w:ascii="Arial" w:eastAsia="Arial" w:hAnsi="Arial" w:cs="Arial"/>
          <w:color w:val="000000"/>
          <w:sz w:val="24"/>
          <w:szCs w:val="24"/>
        </w:rPr>
        <w:t xml:space="preserve">La carga de la prueba suele invocarse como si resolviera la suficiencia probatoria. En materia electoral, el artículo 15, párrafo 2, de la </w:t>
      </w:r>
      <w:r>
        <w:rPr>
          <w:rFonts w:ascii="Arial" w:eastAsia="Arial" w:hAnsi="Arial" w:cs="Arial"/>
          <w:i/>
          <w:iCs/>
          <w:color w:val="000000"/>
          <w:sz w:val="24"/>
          <w:szCs w:val="24"/>
        </w:rPr>
        <w:t xml:space="preserve">Ley General de Medios</w:t>
      </w:r>
      <w:r>
        <w:rPr>
          <w:rFonts w:ascii="Arial" w:eastAsia="Arial" w:hAnsi="Arial" w:cs="Arial"/>
          <w:color w:val="000000"/>
          <w:sz w:val="24"/>
          <w:szCs w:val="24"/>
        </w:rPr>
        <w:t xml:space="preserve"> establece que el que afirma está obligado a probar.</w:t>
      </w:r>
      <w:r>
        <w:rPr>
          <w:rFonts w:ascii="Arial" w:eastAsia="Arial" w:hAnsi="Arial" w:cs="Arial"/>
          <w:color w:val="000000"/>
          <w:sz w:val="24"/>
          <w:szCs w:val="24"/>
          <w:vertAlign w:val="superscript"/>
        </w:rPr>
        <w:footnoteReference w:id="121"/>
      </w:r>
      <w:r>
        <w:rPr>
          <w:rFonts w:ascii="Arial" w:eastAsia="Arial" w:hAnsi="Arial" w:cs="Arial"/>
          <w:color w:val="000000"/>
          <w:sz w:val="24"/>
          <w:szCs w:val="24"/>
        </w:rPr>
        <w:t xml:space="preserve"> La misma disposición obliga a probar al que niega cuando su negación envuelve la afirmación expresa de un hecho. Esta regla indica quién debe aportar la prueba y quién soporta las consecuencias de su falta. Sin embargo, la regla no indica cuándo la prueba aportada es suficiente para tener por demostrado el hecho afirmado. Ferrer Beltrán explica que la carga de la prueba determina quién pierde si no hay prueba suficiente de ninguna hipótesis.</w:t>
      </w:r>
      <w:r>
        <w:rPr>
          <w:rFonts w:ascii="Arial" w:eastAsia="Arial" w:hAnsi="Arial" w:cs="Arial"/>
          <w:color w:val="000000"/>
          <w:sz w:val="24"/>
          <w:szCs w:val="24"/>
          <w:vertAlign w:val="superscript"/>
        </w:rPr>
        <w:footnoteReference w:id="122"/>
      </w:r>
      <w:r>
        <w:rPr>
          <w:rFonts w:ascii="Arial" w:eastAsia="Arial" w:hAnsi="Arial" w:cs="Arial"/>
          <w:color w:val="000000"/>
          <w:sz w:val="24"/>
          <w:szCs w:val="24"/>
        </w:rPr>
        <w:t xml:space="preserve"> La aplicación de la carga exige conocer previamente cuándo hay prueba suficiente. En consecuencia, la carga presupone el estándar y no puede sustituirlo.</w:t>
      </w:r>
    </w:p>
    <w:p>
      <w:pPr>
        <w:spacing w:before="0" w:after="0" w:line="360" w:lineRule="auto"/>
        <w:ind w:firstLine="709"/>
        <w:jc w:val="both"/>
      </w:pPr>
      <w:r>
        <w:rPr>
          <w:rFonts w:ascii="Arial" w:eastAsia="Arial" w:hAnsi="Arial" w:cs="Arial"/>
          <w:color w:val="000000"/>
          <w:sz w:val="24"/>
          <w:szCs w:val="24"/>
        </w:rPr>
        <w:t xml:space="preserve">La carga y el estándar se relacionan en la distribución del riesgo del error. Ferrer advierte que el riesgo de error nunca es del todo simétrico por efecto de la carga de la prueba.</w:t>
      </w:r>
      <w:r>
        <w:rPr>
          <w:rFonts w:ascii="Arial" w:eastAsia="Arial" w:hAnsi="Arial" w:cs="Arial"/>
          <w:color w:val="000000"/>
          <w:sz w:val="24"/>
          <w:szCs w:val="24"/>
          <w:vertAlign w:val="superscript"/>
        </w:rPr>
        <w:footnoteReference w:id="123"/>
      </w:r>
      <w:r>
        <w:rPr>
          <w:rFonts w:ascii="Arial" w:eastAsia="Arial" w:hAnsi="Arial" w:cs="Arial"/>
          <w:color w:val="000000"/>
          <w:sz w:val="24"/>
          <w:szCs w:val="24"/>
        </w:rPr>
        <w:t xml:space="preserve"> Si ninguna hipótesis alcanza el umbral, el caso se resuelve a favor de una de las partes. La parte que tiene la carga soporta por ello un mayor riesgo de error. Laudan incluye la carga de la prueba entre los mecanismos de distribución del error.</w:t>
      </w:r>
      <w:r>
        <w:rPr>
          <w:rFonts w:ascii="Arial" w:eastAsia="Arial" w:hAnsi="Arial" w:cs="Arial"/>
          <w:color w:val="000000"/>
          <w:sz w:val="24"/>
          <w:szCs w:val="24"/>
          <w:vertAlign w:val="superscript"/>
        </w:rPr>
        <w:footnoteReference w:id="124"/>
      </w:r>
      <w:r>
        <w:rPr>
          <w:rFonts w:ascii="Arial" w:eastAsia="Arial" w:hAnsi="Arial" w:cs="Arial"/>
          <w:color w:val="000000"/>
          <w:sz w:val="24"/>
          <w:szCs w:val="24"/>
        </w:rPr>
        <w:t xml:space="preserve"> Sin embargo, la carga actúa como regla de clausura, mientras que el estándar actúa como umbral. La carga opera cuando ninguna parte alcanzó la suficiencia. El estándar define qué significa alcanzar la suficiencia, y esa definición previa es la condición para que la regla de clausura pueda aplicarse de manera racional y previsible en cada proceso.</w:t>
      </w:r>
    </w:p>
    <w:p>
      <w:pPr>
        <w:spacing w:before="0" w:after="0" w:line="360" w:lineRule="auto"/>
        <w:ind w:firstLine="709"/>
        <w:jc w:val="both"/>
      </w:pPr>
      <w:r>
        <w:rPr>
          <w:rFonts w:ascii="Arial" w:eastAsia="Arial" w:hAnsi="Arial" w:cs="Arial"/>
          <w:color w:val="000000"/>
          <w:sz w:val="24"/>
          <w:szCs w:val="24"/>
        </w:rPr>
        <w:t xml:space="preserve">Nieva Fenoll sostiene una tesis más radical sobre la carga objetiva. En opinión de este autor, el concepto de carga objetiva termina identificándose con la valoración de la prueba.</w:t>
      </w:r>
      <w:r>
        <w:rPr>
          <w:rFonts w:ascii="Arial" w:eastAsia="Arial" w:hAnsi="Arial" w:cs="Arial"/>
          <w:color w:val="000000"/>
          <w:sz w:val="24"/>
          <w:szCs w:val="24"/>
          <w:vertAlign w:val="superscript"/>
        </w:rPr>
        <w:footnoteReference w:id="125"/>
      </w:r>
      <w:r>
        <w:rPr>
          <w:rFonts w:ascii="Arial" w:eastAsia="Arial" w:hAnsi="Arial" w:cs="Arial"/>
          <w:color w:val="000000"/>
          <w:sz w:val="24"/>
          <w:szCs w:val="24"/>
        </w:rPr>
        <w:t xml:space="preserve"> Bajo la carga objetiva se describiría en realidad el nivel de convicción del juez. Por ello el concepto de carga objetiva resultaría redundante frente a la valoración. Esta posición confirma desde un ángulo distinto que la carga no puede entenderse sin un criterio de suficiencia que la preceda. Donde Nieva ve redundancia, Ferrer ve una dependencia lógica de la carga respecto del estándar. La segunda lectura resulta más útil para esta investigación, porque permite distinguir la regla que asigna el riesgo de la regla que mide la suficiencia. La práctica jurisdiccional electoral muestra con claridad los efectos de confundir ambas reglas.</w:t>
      </w:r>
    </w:p>
    <w:p>
      <w:pPr>
        <w:spacing w:before="0" w:after="0" w:line="360" w:lineRule="auto"/>
        <w:ind w:firstLine="709"/>
        <w:jc w:val="both"/>
      </w:pPr>
      <w:r>
        <w:rPr>
          <w:rFonts w:ascii="Arial" w:eastAsia="Arial" w:hAnsi="Arial" w:cs="Arial"/>
          <w:color w:val="000000"/>
          <w:sz w:val="24"/>
          <w:szCs w:val="24"/>
        </w:rPr>
        <w:t xml:space="preserve">La confusión entre carga y estándar aparece en la práctica electoral. En el SUP-REC-1388/2018, la Sala Superior invocó la presunción de determinancia para diferencias menores al cinco por ciento y, como la diferencia entre el primero y el segundo lugar era de 11.11 por ciento, atribuyó la carga de acreditar la determinancia a quien pretendía la nulidad.</w:t>
      </w:r>
      <w:r>
        <w:rPr>
          <w:rFonts w:ascii="Arial" w:eastAsia="Arial" w:hAnsi="Arial" w:cs="Arial"/>
          <w:color w:val="000000"/>
          <w:sz w:val="24"/>
          <w:szCs w:val="24"/>
          <w:vertAlign w:val="superscript"/>
        </w:rPr>
        <w:footnoteReference w:id="126"/>
      </w:r>
      <w:r>
        <w:rPr>
          <w:rFonts w:ascii="Arial" w:eastAsia="Arial" w:hAnsi="Arial" w:cs="Arial"/>
          <w:color w:val="000000"/>
          <w:sz w:val="24"/>
          <w:szCs w:val="24"/>
        </w:rPr>
        <w:t xml:space="preserve"> Esa presunción es una regla de carga, pues exige prueba en contrario para desvirtuarla. La misma sentencia afirmó que el estándar probatorio para analizar la determinancia en casos de violencia política debía ser mínimo.</w:t>
      </w:r>
      <w:r>
        <w:rPr>
          <w:rFonts w:ascii="Arial" w:eastAsia="Arial" w:hAnsi="Arial" w:cs="Arial"/>
          <w:color w:val="000000"/>
          <w:sz w:val="24"/>
          <w:szCs w:val="24"/>
          <w:vertAlign w:val="superscript"/>
        </w:rPr>
        <w:footnoteReference w:id="127"/>
      </w:r>
      <w:r>
        <w:rPr>
          <w:rFonts w:ascii="Arial" w:eastAsia="Arial" w:hAnsi="Arial" w:cs="Arial"/>
          <w:color w:val="000000"/>
          <w:sz w:val="24"/>
          <w:szCs w:val="24"/>
        </w:rPr>
        <w:t xml:space="preserve"> Sin embargo, la Sala concluyó que no había forma de conocer la trascendencia de los hechos y que debía regir la presunción de validez.</w:t>
      </w:r>
      <w:r>
        <w:rPr>
          <w:rFonts w:ascii="Arial" w:eastAsia="Arial" w:hAnsi="Arial" w:cs="Arial"/>
          <w:color w:val="000000"/>
          <w:sz w:val="24"/>
          <w:szCs w:val="24"/>
          <w:vertAlign w:val="superscript"/>
        </w:rPr>
        <w:footnoteReference w:id="128"/>
      </w:r>
      <w:r>
        <w:rPr>
          <w:rFonts w:ascii="Arial" w:eastAsia="Arial" w:hAnsi="Arial" w:cs="Arial"/>
          <w:color w:val="000000"/>
          <w:sz w:val="24"/>
          <w:szCs w:val="24"/>
        </w:rPr>
        <w:t xml:space="preserve"> En su voto razonado, el magistrado Reyes Rodríguez Mondragón sostuvo que exigir al denunciante la carga de acreditar la trascendencia fijaba un estándar prácticamente imposible.</w:t>
      </w:r>
      <w:r>
        <w:rPr>
          <w:rFonts w:ascii="Arial" w:eastAsia="Arial" w:hAnsi="Arial" w:cs="Arial"/>
          <w:color w:val="000000"/>
          <w:sz w:val="24"/>
          <w:szCs w:val="24"/>
          <w:vertAlign w:val="superscript"/>
        </w:rPr>
        <w:footnoteReference w:id="129"/>
      </w:r>
      <w:r>
        <w:rPr>
          <w:rFonts w:ascii="Arial" w:eastAsia="Arial" w:hAnsi="Arial" w:cs="Arial"/>
          <w:color w:val="000000"/>
          <w:sz w:val="24"/>
          <w:szCs w:val="24"/>
        </w:rPr>
        <w:t xml:space="preserve"> El voto identifica un problema real, pero lo describe con categorías intercambiables. Carga y estándar aparecen como una sola exigencia.</w:t>
      </w:r>
    </w:p>
    <w:p>
      <w:pPr>
        <w:spacing w:before="0" w:after="0" w:line="360" w:lineRule="auto"/>
        <w:ind w:firstLine="709"/>
        <w:jc w:val="both"/>
      </w:pPr>
      <w:r>
        <w:rPr>
          <w:rFonts w:ascii="Arial" w:eastAsia="Arial" w:hAnsi="Arial" w:cs="Arial"/>
          <w:color w:val="000000"/>
          <w:sz w:val="24"/>
          <w:szCs w:val="24"/>
        </w:rPr>
        <w:t xml:space="preserve">Una confusión semejante afecta a la sana crítica. La sana crítica constituye una fórmula de valoración y no un criterio de suficiencia. Su propio contenido demuestra esa naturaleza. El artículo 16, párrafo 1, de la </w:t>
      </w:r>
      <w:r>
        <w:rPr>
          <w:rFonts w:ascii="Arial" w:eastAsia="Arial" w:hAnsi="Arial" w:cs="Arial"/>
          <w:i/>
          <w:iCs/>
          <w:color w:val="000000"/>
          <w:sz w:val="24"/>
          <w:szCs w:val="24"/>
        </w:rPr>
        <w:t xml:space="preserve">Ley General de Medios</w:t>
      </w:r>
      <w:r>
        <w:rPr>
          <w:rFonts w:ascii="Arial" w:eastAsia="Arial" w:hAnsi="Arial" w:cs="Arial"/>
          <w:color w:val="000000"/>
          <w:sz w:val="24"/>
          <w:szCs w:val="24"/>
        </w:rPr>
        <w:t xml:space="preserve"> enuncia la sana crítica junto a las reglas de la lógica y de la experiencia. El </w:t>
      </w:r>
      <w:r>
        <w:rPr>
          <w:rFonts w:ascii="Arial" w:eastAsia="Arial" w:hAnsi="Arial" w:cs="Arial"/>
          <w:i/>
          <w:iCs/>
          <w:color w:val="000000"/>
          <w:sz w:val="24"/>
          <w:szCs w:val="24"/>
        </w:rPr>
        <w:t xml:space="preserve">Código Nacional de Procedimientos Penales</w:t>
      </w:r>
      <w:r>
        <w:rPr>
          <w:rFonts w:ascii="Arial" w:eastAsia="Arial" w:hAnsi="Arial" w:cs="Arial"/>
          <w:color w:val="000000"/>
          <w:sz w:val="24"/>
          <w:szCs w:val="24"/>
        </w:rPr>
        <w:t xml:space="preserve"> utiliza una fórmula análoga, pues su artículo 259 ordena valorar las pruebas de manera libre y lógica.</w:t>
      </w:r>
      <w:r>
        <w:rPr>
          <w:rFonts w:ascii="Arial" w:eastAsia="Arial" w:hAnsi="Arial" w:cs="Arial"/>
          <w:color w:val="000000"/>
          <w:sz w:val="24"/>
          <w:szCs w:val="24"/>
          <w:vertAlign w:val="superscript"/>
        </w:rPr>
        <w:footnoteReference w:id="130"/>
      </w:r>
      <w:r>
        <w:rPr>
          <w:rFonts w:ascii="Arial" w:eastAsia="Arial" w:hAnsi="Arial" w:cs="Arial"/>
          <w:color w:val="000000"/>
          <w:sz w:val="24"/>
          <w:szCs w:val="24"/>
        </w:rPr>
        <w:t xml:space="preserve"> El artículo 265 de ese código exige justificar el valor otorgado a cada prueba con base en una apreciación conjunta, integral y armónica. Ninguna de estas disposiciones indica cuánta corroboración basta para decidir. Todas describen cómo debe razonar el juzgador y dejan sin respuesta la pregunta por el umbral que debe alcanzar el resultado de ese razonamiento.</w:t>
      </w:r>
    </w:p>
    <w:p>
      <w:pPr>
        <w:spacing w:before="0" w:after="0" w:line="360" w:lineRule="auto"/>
        <w:ind w:firstLine="709"/>
        <w:jc w:val="both"/>
      </w:pPr>
      <w:r>
        <w:rPr>
          <w:rFonts w:ascii="Arial" w:eastAsia="Arial" w:hAnsi="Arial" w:cs="Arial"/>
          <w:color w:val="000000"/>
          <w:sz w:val="24"/>
          <w:szCs w:val="24"/>
        </w:rPr>
        <w:t xml:space="preserve">La sana crítica funciona como una exigencia de racionalidad en el segundo momento de la actividad probatoria. González Lagier advierte que las referencias legales a la lógica, a la sana crítica y a la experiencia son sumamente vagas.</w:t>
      </w:r>
      <w:r>
        <w:rPr>
          <w:rFonts w:ascii="Arial" w:eastAsia="Arial" w:hAnsi="Arial" w:cs="Arial"/>
          <w:color w:val="000000"/>
          <w:sz w:val="24"/>
          <w:szCs w:val="24"/>
          <w:vertAlign w:val="superscript"/>
        </w:rPr>
        <w:footnoteReference w:id="131"/>
      </w:r>
      <w:r>
        <w:rPr>
          <w:rFonts w:ascii="Arial" w:eastAsia="Arial" w:hAnsi="Arial" w:cs="Arial"/>
          <w:color w:val="000000"/>
          <w:sz w:val="24"/>
          <w:szCs w:val="24"/>
        </w:rPr>
        <w:t xml:space="preserve"> Por ello el autor propone concretarlas mediante criterios de solidez inferencial. Esos criterios permiten evaluar la fiabilidad de los datos, la fundamentación de las máximas y la eliminación de hipótesis rivales. Sin embargo, incluso una aplicación impecable de esos criterios solo arroja un grado de confirmación. La sana crítica prohíbe saltos ilógicos, prejuicios y generalizaciones apresuradas, pero no dice si tres indicios concordantes bastan para anular una elección. La respuesta a esa pregunta pertenece al estándar de prueba. La diferencia funcional entre ambas figuras puede formularse con mayor precisión a partir de estas afirmaciones.</w:t>
      </w:r>
    </w:p>
    <w:p>
      <w:pPr>
        <w:spacing w:before="0" w:after="0" w:line="360" w:lineRule="auto"/>
        <w:ind w:firstLine="709"/>
        <w:jc w:val="both"/>
      </w:pPr>
      <w:r>
        <w:rPr>
          <w:rFonts w:ascii="Arial" w:eastAsia="Arial" w:hAnsi="Arial" w:cs="Arial"/>
          <w:color w:val="000000"/>
          <w:sz w:val="24"/>
          <w:szCs w:val="24"/>
        </w:rPr>
        <w:t xml:space="preserve">La diferencia funcional entre sana crítica y estándar puede formularse con claridad. La sana crítica rige el procedimiento intelectivo que el juzgador sigue al examinar las pruebas. El estándar rige la suficiencia del resultado de ese procedimiento. La primera figura es un método de razonamiento y la segunda es una regla de decisión. Ferrer Beltrán expresa esa diferencia al señalar que el estándar presupone el razonamiento probatorio del juez.</w:t>
      </w:r>
      <w:r>
        <w:rPr>
          <w:rFonts w:ascii="Arial" w:eastAsia="Arial" w:hAnsi="Arial" w:cs="Arial"/>
          <w:color w:val="000000"/>
          <w:sz w:val="24"/>
          <w:szCs w:val="24"/>
          <w:vertAlign w:val="superscript"/>
        </w:rPr>
        <w:footnoteReference w:id="132"/>
      </w:r>
      <w:r>
        <w:rPr>
          <w:rFonts w:ascii="Arial" w:eastAsia="Arial" w:hAnsi="Arial" w:cs="Arial"/>
          <w:color w:val="000000"/>
          <w:sz w:val="24"/>
          <w:szCs w:val="24"/>
        </w:rPr>
        <w:t xml:space="preserve"> El juzgador valora primero la prueba y determina el grado de corroboración de cada hipótesis, y solo después procede aplicar el estándar para decidir si ese grado basta. Por consiguiente, la afirmación de que un tribunal valora conforme a la sana crítica nada informa sobre el umbral aplicable. Esta conclusión enfrenta una objeción que pretende derivar el estándar de preponderancia directamente de la valoración racional.</w:t>
      </w:r>
    </w:p>
    <w:p>
      <w:pPr>
        <w:spacing w:before="0" w:after="0" w:line="360" w:lineRule="auto"/>
        <w:ind w:firstLine="709"/>
        <w:jc w:val="both"/>
      </w:pPr>
      <w:r>
        <w:rPr>
          <w:rFonts w:ascii="Arial" w:eastAsia="Arial" w:hAnsi="Arial" w:cs="Arial"/>
          <w:color w:val="000000"/>
          <w:sz w:val="24"/>
          <w:szCs w:val="24"/>
        </w:rPr>
        <w:t xml:space="preserve">Esa objeción sostiene que la preponderancia de la prueba se deriva directamente de la valoración racional. Bayón sostuvo, según la reconstrucción de Ferrer, que un sistema indiferente a la distribución del error podría tener por probada la hipótesis más confirmada.</w:t>
      </w:r>
      <w:r>
        <w:rPr>
          <w:rFonts w:ascii="Arial" w:eastAsia="Arial" w:hAnsi="Arial" w:cs="Arial"/>
          <w:color w:val="000000"/>
          <w:sz w:val="24"/>
          <w:szCs w:val="24"/>
          <w:vertAlign w:val="superscript"/>
        </w:rPr>
        <w:footnoteReference w:id="133"/>
      </w:r>
      <w:r>
        <w:rPr>
          <w:rFonts w:ascii="Arial" w:eastAsia="Arial" w:hAnsi="Arial" w:cs="Arial"/>
          <w:color w:val="000000"/>
          <w:sz w:val="24"/>
          <w:szCs w:val="24"/>
        </w:rPr>
        <w:t xml:space="preserve"> Ferrer rechaza el argumento por dos razones. La primera razón es que tener por probada la hipótesis más confirmada ya supone un estándar por defecto. La segunda razón es que la preponderancia tampoco es un criterio unívoco, porque debe precisarse qué hipótesis se comparan y si se exige un mínimo de peso probatorio. Ninguna de esas preguntas puede responderse con criterios de valoración. En síntesis, incluso el estándar más modesto es una regla jurídica distinta del método. Esa regla jurídica tampoco puede reducirse a la convicción del juzgador, que la práctica invoca con frecuencia como criterio de suficiencia.</w:t>
      </w:r>
    </w:p>
    <w:p>
      <w:pPr>
        <w:spacing w:before="0" w:after="0" w:line="360" w:lineRule="auto"/>
        <w:ind w:firstLine="709"/>
        <w:jc w:val="both"/>
      </w:pPr>
      <w:r>
        <w:rPr>
          <w:rFonts w:ascii="Arial" w:eastAsia="Arial" w:hAnsi="Arial" w:cs="Arial"/>
          <w:color w:val="000000"/>
          <w:sz w:val="24"/>
          <w:szCs w:val="24"/>
        </w:rPr>
        <w:t xml:space="preserve">La apelación a la convicción del juzgador como criterio de suficiencia es la manifestación más visible de la confusión examinada. Ferrer Beltrán ofrece tres razones independientes para rechazar ese criterio.</w:t>
      </w:r>
      <w:r>
        <w:rPr>
          <w:rFonts w:ascii="Arial" w:eastAsia="Arial" w:hAnsi="Arial" w:cs="Arial"/>
          <w:color w:val="000000"/>
          <w:sz w:val="24"/>
          <w:szCs w:val="24"/>
          <w:vertAlign w:val="superscript"/>
        </w:rPr>
        <w:footnoteReference w:id="134"/>
      </w:r>
      <w:r>
        <w:rPr>
          <w:rFonts w:ascii="Arial" w:eastAsia="Arial" w:hAnsi="Arial" w:cs="Arial"/>
          <w:color w:val="000000"/>
          <w:sz w:val="24"/>
          <w:szCs w:val="24"/>
        </w:rPr>
        <w:t xml:space="preserve"> La primera razón es que los juzgadores deciden con frecuencia en contra de sus propias creencias. Un juez puede creer que el acusado cometió el hecho y, aun así, considerar insuficiente la prueba disponible para condenarlo. La segunda razón es que tener una creencia no posee capacidad justificativa alguna frente a las partes. La tercera razón es que las creencias son involuntarias, y si no se decide creer, tampoco puede justificarse el acto de creer. En consecuencia, un criterio basado en la creencia hace imposible la justificación de la decisión. Esa imposibilidad tiene una consecuencia constitucional que Ferrer desarrolla con detalle.</w:t>
      </w:r>
    </w:p>
    <w:p>
      <w:pPr>
        <w:spacing w:before="0" w:after="0" w:line="360" w:lineRule="auto"/>
        <w:ind w:firstLine="709"/>
        <w:jc w:val="both"/>
      </w:pPr>
      <w:r>
        <w:rPr>
          <w:rFonts w:ascii="Arial" w:eastAsia="Arial" w:hAnsi="Arial" w:cs="Arial"/>
          <w:color w:val="000000"/>
          <w:sz w:val="24"/>
          <w:szCs w:val="24"/>
        </w:rPr>
        <w:t xml:space="preserve">Ferrer extrae una consecuencia constitucional de la imposibilidad de justificar una creencia. Si el estándar consiste en que el juzgador crea que el hecho ocurrió, no tiene sentido exigirle una justificación.</w:t>
      </w:r>
      <w:r>
        <w:rPr>
          <w:rFonts w:ascii="Arial" w:eastAsia="Arial" w:hAnsi="Arial" w:cs="Arial"/>
          <w:color w:val="000000"/>
          <w:sz w:val="24"/>
          <w:szCs w:val="24"/>
          <w:vertAlign w:val="superscript"/>
        </w:rPr>
        <w:footnoteReference w:id="135"/>
      </w:r>
      <w:r>
        <w:rPr>
          <w:rFonts w:ascii="Arial" w:eastAsia="Arial" w:hAnsi="Arial" w:cs="Arial"/>
          <w:color w:val="000000"/>
          <w:sz w:val="24"/>
          <w:szCs w:val="24"/>
        </w:rPr>
        <w:t xml:space="preserve"> Por ello la concepción subjetivista de la prueba nunca ha requerido la motivación de las decisiones probatorias. Esa concepción es incompatible con el derecho al debido proceso, que incluye el deber de motivar.</w:t>
      </w:r>
      <w:r>
        <w:rPr>
          <w:rFonts w:ascii="Arial" w:eastAsia="Arial" w:hAnsi="Arial" w:cs="Arial"/>
          <w:color w:val="000000"/>
          <w:sz w:val="24"/>
          <w:szCs w:val="24"/>
          <w:vertAlign w:val="superscript"/>
        </w:rPr>
        <w:footnoteReference w:id="136"/>
      </w:r>
      <w:r>
        <w:rPr>
          <w:rFonts w:ascii="Arial" w:eastAsia="Arial" w:hAnsi="Arial" w:cs="Arial"/>
          <w:color w:val="000000"/>
          <w:sz w:val="24"/>
          <w:szCs w:val="24"/>
        </w:rPr>
        <w:t xml:space="preserve"> El respeto a ese derecho exige estándares formulados con criterios intersubjetivamente controlables, referidos a la capacidad justificativa de las pruebas sobre las hipótesis. En el derecho mexicano, el artículo 16 constitucional exige que todo acto de molestia se funde y motive.</w:t>
      </w:r>
      <w:r>
        <w:rPr>
          <w:rFonts w:ascii="Arial" w:eastAsia="Arial" w:hAnsi="Arial" w:cs="Arial"/>
          <w:color w:val="000000"/>
          <w:sz w:val="24"/>
          <w:szCs w:val="24"/>
          <w:vertAlign w:val="superscript"/>
        </w:rPr>
        <w:footnoteReference w:id="137"/>
      </w:r>
      <w:r>
        <w:rPr>
          <w:rFonts w:ascii="Arial" w:eastAsia="Arial" w:hAnsi="Arial" w:cs="Arial"/>
          <w:color w:val="000000"/>
          <w:sz w:val="24"/>
          <w:szCs w:val="24"/>
        </w:rPr>
        <w:t xml:space="preserve"> Esa exigencia resulta inalcanzable si la suficiencia de la prueba depende de un estado psicológico del juzgador. La tradición angloamericana ofrece una crítica paralela que confirma esta conclusión.</w:t>
      </w:r>
    </w:p>
    <w:p>
      <w:pPr>
        <w:spacing w:before="0" w:after="0" w:line="360" w:lineRule="auto"/>
        <w:ind w:firstLine="709"/>
        <w:jc w:val="both"/>
      </w:pPr>
      <w:r>
        <w:rPr>
          <w:rFonts w:ascii="Arial" w:eastAsia="Arial" w:hAnsi="Arial" w:cs="Arial"/>
          <w:color w:val="000000"/>
          <w:sz w:val="24"/>
          <w:szCs w:val="24"/>
        </w:rPr>
        <w:t xml:space="preserve">Laudan formula una crítica paralela desde la tradición angloamericana. El autor observa que casi todas las glosas del más allá de toda duda razonable se definen por el estado mental del jurado.</w:t>
      </w:r>
      <w:r>
        <w:rPr>
          <w:rFonts w:ascii="Arial" w:eastAsia="Arial" w:hAnsi="Arial" w:cs="Arial"/>
          <w:color w:val="000000"/>
          <w:sz w:val="24"/>
          <w:szCs w:val="24"/>
          <w:vertAlign w:val="superscript"/>
        </w:rPr>
        <w:footnoteReference w:id="138"/>
      </w:r>
      <w:r>
        <w:rPr>
          <w:rFonts w:ascii="Arial" w:eastAsia="Arial" w:hAnsi="Arial" w:cs="Arial"/>
          <w:color w:val="000000"/>
          <w:sz w:val="24"/>
          <w:szCs w:val="24"/>
        </w:rPr>
        <w:t xml:space="preserve"> Firme convicción, certeza moral o conciencia satisfecha son las fórmulas habituales. Laudan compara esa práctica con la de un matemático que diera por demostrado un teorema porque lo cree sin vacilar.</w:t>
      </w:r>
      <w:r>
        <w:rPr>
          <w:rFonts w:ascii="Arial" w:eastAsia="Arial" w:hAnsi="Arial" w:cs="Arial"/>
          <w:color w:val="000000"/>
          <w:sz w:val="24"/>
          <w:szCs w:val="24"/>
          <w:vertAlign w:val="superscript"/>
        </w:rPr>
        <w:footnoteReference w:id="139"/>
      </w:r>
      <w:r>
        <w:rPr>
          <w:rFonts w:ascii="Arial" w:eastAsia="Arial" w:hAnsi="Arial" w:cs="Arial"/>
          <w:color w:val="000000"/>
          <w:sz w:val="24"/>
          <w:szCs w:val="24"/>
        </w:rPr>
        <w:t xml:space="preserve"> Lo que establece un teorema es la solidez de la prueba y no la confianza de su descubridor. Por ello el autor sostiene que la pregunta relevante no es si los jurados están convencidos, sino si la prueba debería convencer por el nivel de apoyo que ofrece a la hipótesis.</w:t>
      </w:r>
      <w:r>
        <w:rPr>
          <w:rFonts w:ascii="Arial" w:eastAsia="Arial" w:hAnsi="Arial" w:cs="Arial"/>
          <w:color w:val="000000"/>
          <w:sz w:val="24"/>
          <w:szCs w:val="24"/>
          <w:vertAlign w:val="superscript"/>
        </w:rPr>
        <w:footnoteReference w:id="140"/>
      </w:r>
      <w:r>
        <w:rPr>
          <w:rFonts w:ascii="Arial" w:eastAsia="Arial" w:hAnsi="Arial" w:cs="Arial"/>
          <w:color w:val="000000"/>
          <w:sz w:val="24"/>
          <w:szCs w:val="24"/>
        </w:rPr>
        <w:t xml:space="preserve"> Esa pregunta versa sobre una relación entre enunciados y no sobre un estado psicológico. La relación entre enunciados obliga a revisar el orden lógico que presupone el modelo subjetivo.</w:t>
      </w:r>
    </w:p>
    <w:p>
      <w:pPr>
        <w:spacing w:before="0" w:after="0" w:line="360" w:lineRule="auto"/>
        <w:ind w:firstLine="709"/>
        <w:jc w:val="both"/>
      </w:pPr>
      <w:r>
        <w:rPr>
          <w:rFonts w:ascii="Arial" w:eastAsia="Arial" w:hAnsi="Arial" w:cs="Arial"/>
          <w:color w:val="000000"/>
          <w:sz w:val="24"/>
          <w:szCs w:val="24"/>
        </w:rPr>
        <w:t xml:space="preserve">Laudan invierte el orden lógico que presupone el modelo subjetivo. En la ciencia, la confianza racional en una hipótesis sigue a su prueba.</w:t>
      </w:r>
      <w:r>
        <w:rPr>
          <w:rFonts w:ascii="Arial" w:eastAsia="Arial" w:hAnsi="Arial" w:cs="Arial"/>
          <w:color w:val="000000"/>
          <w:sz w:val="24"/>
          <w:szCs w:val="24"/>
          <w:vertAlign w:val="superscript"/>
        </w:rPr>
        <w:footnoteReference w:id="141"/>
      </w:r>
      <w:r>
        <w:rPr>
          <w:rFonts w:ascii="Arial" w:eastAsia="Arial" w:hAnsi="Arial" w:cs="Arial"/>
          <w:color w:val="000000"/>
          <w:sz w:val="24"/>
          <w:szCs w:val="24"/>
        </w:rPr>
        <w:t xml:space="preserve"> En el derecho penal la confianza precede, certifica e incluso constituye la prueba. Un estándar genuino no depende de la confianza subjetiva, sino que indica si esa confianza está justificada. Laudan califica el modelo vigente como un pretexto para condenar o absolver, más que como un estándar.</w:t>
      </w:r>
      <w:r>
        <w:rPr>
          <w:rFonts w:ascii="Arial" w:eastAsia="Arial" w:hAnsi="Arial" w:cs="Arial"/>
          <w:color w:val="000000"/>
          <w:sz w:val="24"/>
          <w:szCs w:val="24"/>
          <w:vertAlign w:val="superscript"/>
        </w:rPr>
        <w:footnoteReference w:id="142"/>
      </w:r>
      <w:r>
        <w:rPr>
          <w:rFonts w:ascii="Arial" w:eastAsia="Arial" w:hAnsi="Arial" w:cs="Arial"/>
          <w:color w:val="000000"/>
          <w:sz w:val="24"/>
          <w:szCs w:val="24"/>
        </w:rPr>
        <w:t xml:space="preserve"> A modo de ejemplo, el autor propone fórmulas que atienden a las propiedades del caso, y una de ellas exige prueba inculpatoria difícil de explicar si el acusado fuera inocente y la ausencia de prueba exculpatoria difícil de explicar si fuera culpable.</w:t>
      </w:r>
      <w:r>
        <w:rPr>
          <w:rFonts w:ascii="Arial" w:eastAsia="Arial" w:hAnsi="Arial" w:cs="Arial"/>
          <w:color w:val="000000"/>
          <w:sz w:val="24"/>
          <w:szCs w:val="24"/>
          <w:vertAlign w:val="superscript"/>
        </w:rPr>
        <w:footnoteReference w:id="143"/>
      </w:r>
      <w:r>
        <w:rPr>
          <w:rFonts w:ascii="Arial" w:eastAsia="Arial" w:hAnsi="Arial" w:cs="Arial"/>
          <w:color w:val="000000"/>
          <w:sz w:val="24"/>
          <w:szCs w:val="24"/>
        </w:rPr>
        <w:t xml:space="preserve"> Laudan no suscribe esas fórmulas, pero las utiliza para mostrar que un estándar objetivo es posible. La epistemología continental llega a una conclusión semejante por una vía distinta.</w:t>
      </w:r>
    </w:p>
    <w:p>
      <w:pPr>
        <w:spacing w:before="0" w:after="0" w:line="360" w:lineRule="auto"/>
        <w:ind w:firstLine="709"/>
        <w:jc w:val="both"/>
      </w:pPr>
      <w:r>
        <w:rPr>
          <w:rFonts w:ascii="Arial" w:eastAsia="Arial" w:hAnsi="Arial" w:cs="Arial"/>
          <w:color w:val="000000"/>
          <w:sz w:val="24"/>
          <w:szCs w:val="24"/>
        </w:rPr>
        <w:t xml:space="preserve">La crítica al modelo subjetivo se refuerza desde la epistemología de González Lagier. La doctrina de la íntima convicción solo sería defendible si descansara en una teoría del conocimiento adecuada.</w:t>
      </w:r>
      <w:r>
        <w:rPr>
          <w:rFonts w:ascii="Arial" w:eastAsia="Arial" w:hAnsi="Arial" w:cs="Arial"/>
          <w:color w:val="000000"/>
          <w:sz w:val="24"/>
          <w:szCs w:val="24"/>
          <w:vertAlign w:val="superscript"/>
        </w:rPr>
        <w:footnoteReference w:id="144"/>
      </w:r>
      <w:r>
        <w:rPr>
          <w:rFonts w:ascii="Arial" w:eastAsia="Arial" w:hAnsi="Arial" w:cs="Arial"/>
          <w:color w:val="000000"/>
          <w:sz w:val="24"/>
          <w:szCs w:val="24"/>
        </w:rPr>
        <w:t xml:space="preserve"> Esa teoría sostendría que el método más fiable consiste en que el sujeto quede convencido, sea cual sea su razonamiento, y admitiría consecuencias asombrosas como un conocimiento fiable contrario al principio de no contradicción. El autor descarta las tres justificaciones posibles de esa tesis. Los hechos no impactan directamente en la conciencia del juez. Los criterios de racionalidad para controlar el razonamiento sí existen. El juez no razona de manera distinta que el historiador o el científico una vez examinadas las pruebas. Taruffo, citado por Ferrer, resume la objeción al señalar que la intensidad del convencimiento no garantiza la verdad de su objeto.</w:t>
      </w:r>
      <w:r>
        <w:rPr>
          <w:rFonts w:ascii="Arial" w:eastAsia="Arial" w:hAnsi="Arial" w:cs="Arial"/>
          <w:color w:val="000000"/>
          <w:sz w:val="24"/>
          <w:szCs w:val="24"/>
          <w:vertAlign w:val="superscript"/>
        </w:rPr>
        <w:footnoteReference w:id="145"/>
      </w:r>
    </w:p>
    <w:p>
      <w:pPr>
        <w:spacing w:before="0" w:after="0" w:line="360" w:lineRule="auto"/>
        <w:ind w:firstLine="709"/>
        <w:jc w:val="both"/>
      </w:pPr>
      <w:r>
        <w:rPr>
          <w:rFonts w:ascii="Arial" w:eastAsia="Arial" w:hAnsi="Arial" w:cs="Arial"/>
          <w:color w:val="000000"/>
          <w:sz w:val="24"/>
          <w:szCs w:val="24"/>
        </w:rPr>
        <w:t xml:space="preserve">Las críticas anteriores permiten examinar la recepción de la distinción en el derecho mexicano. El derecho mexicano incorporó el lenguaje del estándar de prueba sin abandonar la referencia a la convicción. La Constitución federal ordena, en su artículo 20, apartado A, fracción VIII, que el juez solo condene cuando exista convicción de la culpabilidad del procesado.</w:t>
      </w:r>
      <w:r>
        <w:rPr>
          <w:rFonts w:ascii="Arial" w:eastAsia="Arial" w:hAnsi="Arial" w:cs="Arial"/>
          <w:color w:val="000000"/>
          <w:sz w:val="24"/>
          <w:szCs w:val="24"/>
          <w:vertAlign w:val="superscript"/>
        </w:rPr>
        <w:footnoteReference w:id="146"/>
      </w:r>
      <w:r>
        <w:rPr>
          <w:rFonts w:ascii="Arial" w:eastAsia="Arial" w:hAnsi="Arial" w:cs="Arial"/>
          <w:color w:val="000000"/>
          <w:sz w:val="24"/>
          <w:szCs w:val="24"/>
        </w:rPr>
        <w:t xml:space="preserve"> El apartado B, fracción I, del mismo artículo reconoce el derecho a que se presuma la inocencia mientras no se declare la responsabilidad mediante sentencia. El </w:t>
      </w:r>
      <w:r>
        <w:rPr>
          <w:rFonts w:ascii="Arial" w:eastAsia="Arial" w:hAnsi="Arial" w:cs="Arial"/>
          <w:i/>
          <w:iCs/>
          <w:color w:val="000000"/>
          <w:sz w:val="24"/>
          <w:szCs w:val="24"/>
        </w:rPr>
        <w:t xml:space="preserve">Código Nacional de Procedimientos Penales</w:t>
      </w:r>
      <w:r>
        <w:rPr>
          <w:rFonts w:ascii="Arial" w:eastAsia="Arial" w:hAnsi="Arial" w:cs="Arial"/>
          <w:color w:val="000000"/>
          <w:sz w:val="24"/>
          <w:szCs w:val="24"/>
        </w:rPr>
        <w:t xml:space="preserve"> reproduce esa combinación en dos preceptos, y su artículo 359 permite condenar solo si se llega a la convicción de la culpabilidad más allá de toda duda razonable.</w:t>
      </w:r>
      <w:r>
        <w:rPr>
          <w:rFonts w:ascii="Arial" w:eastAsia="Arial" w:hAnsi="Arial" w:cs="Arial"/>
          <w:color w:val="000000"/>
          <w:sz w:val="24"/>
          <w:szCs w:val="24"/>
          <w:vertAlign w:val="superscript"/>
        </w:rPr>
        <w:footnoteReference w:id="147"/>
      </w:r>
      <w:r>
        <w:rPr>
          <w:rFonts w:ascii="Arial" w:eastAsia="Arial" w:hAnsi="Arial" w:cs="Arial"/>
          <w:color w:val="000000"/>
          <w:sz w:val="24"/>
          <w:szCs w:val="24"/>
        </w:rPr>
        <w:t xml:space="preserve"> Esta doble referencia a la convicción y a la duda merece un examen cuidadoso. La transcripción del segundo precepto permite apreciar su estructura. El artículo 402 del código dispone lo siguiente en su tercer párrafo.</w:t>
      </w:r>
    </w:p>
    <w:p w14:paraId="6942FD44" w14:textId="77777777" w:rsidR="00657C4E" w:rsidRPr="00657C4E" w:rsidRDefault="00657C4E" w:rsidP="00657C4E">
      <w:pPr>
        <w:spacing w:before="0" w:after="0" w:line="360" w:lineRule="auto"/>
        <w:ind w:left="709" w:firstLine="0"/>
        <w:jc w:val="both"/>
      </w:pPr>
      <w:r>
        <w:rPr>
          <w:rFonts w:ascii="Arial" w:eastAsia="Arial" w:hAnsi="Arial" w:cs="Arial"/>
          <w:color w:val="000000"/>
          <w:sz w:val="22"/>
          <w:szCs w:val="22"/>
        </w:rPr>
        <w:t>Nadie podrá ser condenado, sino cuando el Tribunal que lo juzgue adquiera la convicción más allá de toda duda razonable, de que el acusado es responsable de la comisión del hecho por el que siguió el juicio. La duda siempre favorece al acusado.</w:t>
      </w:r>
    </w:p>
    <w:p>
      <w:pPr>
        <w:spacing w:before="0" w:after="0" w:line="360" w:lineRule="auto"/>
        <w:ind w:firstLine="709"/>
        <w:jc w:val="both"/>
      </w:pPr>
      <w:r>
        <w:rPr>
          <w:rFonts w:ascii="Arial" w:eastAsia="Arial" w:hAnsi="Arial" w:cs="Arial"/>
          <w:color w:val="000000"/>
          <w:sz w:val="24"/>
          <w:szCs w:val="24"/>
        </w:rPr>
        <w:t xml:space="preserve">La lectura de ambos preceptos revela una tensión interna. El legislador adoptó la fórmula angloamericana de la duda razonable, pero la subordinó a la convicción del tribunal. Ferrer Beltrán incluye expresamente el artículo 20 constitucional y el artículo 402 del código nacional entre los ejemplos de estándares subjetivos.</w:t>
      </w:r>
      <w:r>
        <w:rPr>
          <w:rFonts w:ascii="Arial" w:eastAsia="Arial" w:hAnsi="Arial" w:cs="Arial"/>
          <w:color w:val="000000"/>
          <w:sz w:val="24"/>
          <w:szCs w:val="24"/>
          <w:vertAlign w:val="superscript"/>
        </w:rPr>
        <w:footnoteReference w:id="148"/>
      </w:r>
      <w:r>
        <w:rPr>
          <w:rFonts w:ascii="Arial" w:eastAsia="Arial" w:hAnsi="Arial" w:cs="Arial"/>
          <w:color w:val="000000"/>
          <w:sz w:val="24"/>
          <w:szCs w:val="24"/>
        </w:rPr>
        <w:t xml:space="preserve"> Nieva Fenoll cita por su parte el artículo 359 como muestra de la difusión del estándar en América Latina.</w:t>
      </w:r>
      <w:r>
        <w:rPr>
          <w:rFonts w:ascii="Arial" w:eastAsia="Arial" w:hAnsi="Arial" w:cs="Arial"/>
          <w:color w:val="000000"/>
          <w:sz w:val="24"/>
          <w:szCs w:val="24"/>
          <w:vertAlign w:val="superscript"/>
        </w:rPr>
        <w:footnoteReference w:id="149"/>
      </w:r>
      <w:r>
        <w:rPr>
          <w:rFonts w:ascii="Arial" w:eastAsia="Arial" w:hAnsi="Arial" w:cs="Arial"/>
          <w:color w:val="000000"/>
          <w:sz w:val="24"/>
          <w:szCs w:val="24"/>
        </w:rPr>
        <w:t xml:space="preserve"> Esos preceptos exigen al mismo tiempo una motivación que permita reproducir el razonamiento, y esa exigencia apunta a una concepción racional de la prueba. Sin embargo, el umbral sigue definido por un estado mental. Por tanto, el derecho penal mexicano ocupa una posición intermedia e inestable entre la concepción racional y la concepción subjetiva de la prueba. La doctrina nacional reciente refleja esa misma posición intermedia.</w:t>
      </w:r>
    </w:p>
    <w:p>
      <w:pPr>
        <w:spacing w:before="0" w:after="0" w:line="360" w:lineRule="auto"/>
        <w:ind w:firstLine="709"/>
        <w:jc w:val="both"/>
      </w:pPr>
      <w:r>
        <w:rPr>
          <w:rFonts w:ascii="Arial" w:eastAsia="Arial" w:hAnsi="Arial" w:cs="Arial"/>
          <w:color w:val="000000"/>
          <w:sz w:val="24"/>
          <w:szCs w:val="24"/>
        </w:rPr>
        <w:t xml:space="preserve">La doctrina nacional reciente refleja la ambivalencia del derecho penal mexicano. Martínez-Garza reporta que la Suprema Corte ha sostenido que la duda razonable opera como estándar objetivo de valoración probatoria.</w:t>
      </w:r>
      <w:r>
        <w:rPr>
          <w:rFonts w:ascii="Arial" w:eastAsia="Arial" w:hAnsi="Arial" w:cs="Arial"/>
          <w:color w:val="000000"/>
          <w:sz w:val="24"/>
          <w:szCs w:val="24"/>
          <w:vertAlign w:val="superscript"/>
        </w:rPr>
        <w:footnoteReference w:id="150"/>
      </w:r>
      <w:r>
        <w:rPr>
          <w:rFonts w:ascii="Arial" w:eastAsia="Arial" w:hAnsi="Arial" w:cs="Arial"/>
          <w:color w:val="000000"/>
          <w:sz w:val="24"/>
          <w:szCs w:val="24"/>
        </w:rPr>
        <w:t xml:space="preserve"> Sin embargo, el mismo autor define la duda razonable como una labor intelectual netamente subjetiva del juzgador.</w:t>
      </w:r>
      <w:r>
        <w:rPr>
          <w:rFonts w:ascii="Arial" w:eastAsia="Arial" w:hAnsi="Arial" w:cs="Arial"/>
          <w:color w:val="000000"/>
          <w:sz w:val="24"/>
          <w:szCs w:val="24"/>
          <w:vertAlign w:val="superscript"/>
        </w:rPr>
        <w:footnoteReference w:id="151"/>
      </w:r>
      <w:r>
        <w:rPr>
          <w:rFonts w:ascii="Arial" w:eastAsia="Arial" w:hAnsi="Arial" w:cs="Arial"/>
          <w:color w:val="000000"/>
          <w:sz w:val="24"/>
          <w:szCs w:val="24"/>
        </w:rPr>
        <w:t xml:space="preserve"> El autor enumera a la vez entre sus características una naturaleza objetiva, ajena a las percepciones personales del juez.</w:t>
      </w:r>
      <w:r>
        <w:rPr>
          <w:rFonts w:ascii="Arial" w:eastAsia="Arial" w:hAnsi="Arial" w:cs="Arial"/>
          <w:color w:val="000000"/>
          <w:sz w:val="24"/>
          <w:szCs w:val="24"/>
          <w:vertAlign w:val="superscript"/>
        </w:rPr>
        <w:footnoteReference w:id="152"/>
      </w:r>
      <w:r>
        <w:rPr>
          <w:rFonts w:ascii="Arial" w:eastAsia="Arial" w:hAnsi="Arial" w:cs="Arial"/>
          <w:color w:val="000000"/>
          <w:sz w:val="24"/>
          <w:szCs w:val="24"/>
        </w:rPr>
        <w:t xml:space="preserve"> La coexistencia de ambas caracterizaciones no es un defecto aislado del autor. Esa coexistencia refleja la dificultad de la cultura jurídica mexicana para separar el método del umbral. La expresión estándar objetivo de valoración reproduce la confusión señalada por Tuzet, porque un estándar es una regla de decisión posterior a la valoración. La materia electoral presenta una indeterminación todavía mayor que la materia penal.</w:t>
      </w:r>
    </w:p>
    <w:p>
      <w:pPr>
        <w:spacing w:before="0" w:after="0" w:line="360" w:lineRule="auto"/>
        <w:ind w:firstLine="709"/>
        <w:jc w:val="both"/>
      </w:pPr>
      <w:r>
        <w:rPr>
          <w:rFonts w:ascii="Arial" w:eastAsia="Arial" w:hAnsi="Arial" w:cs="Arial"/>
          <w:color w:val="000000"/>
          <w:sz w:val="24"/>
          <w:szCs w:val="24"/>
        </w:rPr>
        <w:t xml:space="preserve">La situación de la materia electoral es todavía más indeterminada. La Constitución federal ordena que las violaciones graves, dolosas y determinantes que causan la nulidad se acrediten de manera objetiva y material.</w:t>
      </w:r>
      <w:r>
        <w:rPr>
          <w:rFonts w:ascii="Arial" w:eastAsia="Arial" w:hAnsi="Arial" w:cs="Arial"/>
          <w:color w:val="000000"/>
          <w:sz w:val="24"/>
          <w:szCs w:val="24"/>
          <w:vertAlign w:val="superscript"/>
        </w:rPr>
        <w:footnoteReference w:id="153"/>
      </w:r>
      <w:r>
        <w:rPr>
          <w:rFonts w:ascii="Arial" w:eastAsia="Arial" w:hAnsi="Arial" w:cs="Arial"/>
          <w:color w:val="000000"/>
          <w:sz w:val="24"/>
          <w:szCs w:val="24"/>
        </w:rPr>
        <w:t xml:space="preserve"> La misma disposición presume la determinancia cuando la diferencia entre el primero y el segundo lugar es menor al cinco por ciento. La </w:t>
      </w:r>
      <w:r>
        <w:rPr>
          <w:rFonts w:ascii="Arial" w:eastAsia="Arial" w:hAnsi="Arial" w:cs="Arial"/>
          <w:i/>
          <w:iCs/>
          <w:color w:val="000000"/>
          <w:sz w:val="24"/>
          <w:szCs w:val="24"/>
        </w:rPr>
        <w:t xml:space="preserve">Ley General de Medios</w:t>
      </w:r>
      <w:r>
        <w:rPr>
          <w:rFonts w:ascii="Arial" w:eastAsia="Arial" w:hAnsi="Arial" w:cs="Arial"/>
          <w:color w:val="000000"/>
          <w:sz w:val="24"/>
          <w:szCs w:val="24"/>
        </w:rPr>
        <w:t xml:space="preserve"> reitera esa fórmula en su artículo 78 bis.</w:t>
      </w:r>
      <w:r>
        <w:rPr>
          <w:rFonts w:ascii="Arial" w:eastAsia="Arial" w:hAnsi="Arial" w:cs="Arial"/>
          <w:color w:val="000000"/>
          <w:sz w:val="24"/>
          <w:szCs w:val="24"/>
          <w:vertAlign w:val="superscript"/>
        </w:rPr>
        <w:footnoteReference w:id="154"/>
      </w:r>
      <w:r>
        <w:rPr>
          <w:rFonts w:ascii="Arial" w:eastAsia="Arial" w:hAnsi="Arial" w:cs="Arial"/>
          <w:color w:val="000000"/>
          <w:sz w:val="24"/>
          <w:szCs w:val="24"/>
        </w:rPr>
        <w:t xml:space="preserve"> Otros preceptos exigen irregularidades plenamente acreditadas en la causal genérica de nulidad de casilla, en la nulidad de elecciones judiciales y en la de diputaciones y senadurías. La expresión acreditarse de manera objetiva y material excluye, al menos en su letra, un criterio puramente psicológico. No obstante, ninguna de estas fórmulas indica qué grado de corroboración conjunta satisface la plena acreditación. Ese vacío normativo ha trasladado a la jurisprudencia la tarea de fijar la exigencia.</w:t>
      </w:r>
    </w:p>
    <w:p>
      <w:pPr>
        <w:spacing w:before="0" w:after="0" w:line="360" w:lineRule="auto"/>
        <w:ind w:firstLine="709"/>
        <w:jc w:val="both"/>
      </w:pPr>
      <w:r>
        <w:rPr>
          <w:rFonts w:ascii="Arial" w:eastAsia="Arial" w:hAnsi="Arial" w:cs="Arial"/>
          <w:color w:val="000000"/>
          <w:sz w:val="24"/>
          <w:szCs w:val="24"/>
        </w:rPr>
        <w:t xml:space="preserve">La jurisprudencia electoral ha fijado la exigencia probatoria de manera casuística ante ese vacío normativo. La jurisprudencia 44/2024 exige que las violaciones sustanciales estén plenamente acreditadas.</w:t>
      </w:r>
      <w:r>
        <w:rPr>
          <w:rFonts w:ascii="Arial" w:eastAsia="Arial" w:hAnsi="Arial" w:cs="Arial"/>
          <w:color w:val="000000"/>
          <w:sz w:val="24"/>
          <w:szCs w:val="24"/>
          <w:vertAlign w:val="superscript"/>
        </w:rPr>
        <w:footnoteReference w:id="155"/>
      </w:r>
      <w:r>
        <w:rPr>
          <w:rFonts w:ascii="Arial" w:eastAsia="Arial" w:hAnsi="Arial" w:cs="Arial"/>
          <w:color w:val="000000"/>
          <w:sz w:val="24"/>
          <w:szCs w:val="24"/>
        </w:rPr>
        <w:t xml:space="preserve"> En la sentencia SUP-JIN-194/2025, la parte actora solicitó que sus pruebas se valoraran bajo un estándar flexible.</w:t>
      </w:r>
      <w:r>
        <w:rPr>
          <w:rFonts w:ascii="Arial" w:eastAsia="Arial" w:hAnsi="Arial" w:cs="Arial"/>
          <w:color w:val="000000"/>
          <w:sz w:val="24"/>
          <w:szCs w:val="24"/>
          <w:vertAlign w:val="superscript"/>
        </w:rPr>
        <w:footnoteReference w:id="156"/>
      </w:r>
      <w:r>
        <w:rPr>
          <w:rFonts w:ascii="Arial" w:eastAsia="Arial" w:hAnsi="Arial" w:cs="Arial"/>
          <w:color w:val="000000"/>
          <w:sz w:val="24"/>
          <w:szCs w:val="24"/>
        </w:rPr>
        <w:t xml:space="preserve"> La parte actora adujo que era imposible demostrar de manera directa las irregularidades denunciadas en la elección. La Sala Superior respondió que la nulidad es la consecuencia más extrema y lesiva, pues desconoce la voluntad popular.</w:t>
      </w:r>
      <w:r>
        <w:rPr>
          <w:rFonts w:ascii="Arial" w:eastAsia="Arial" w:hAnsi="Arial" w:cs="Arial"/>
          <w:color w:val="000000"/>
          <w:sz w:val="24"/>
          <w:szCs w:val="24"/>
          <w:vertAlign w:val="superscript"/>
        </w:rPr>
        <w:footnoteReference w:id="157"/>
      </w:r>
      <w:r>
        <w:rPr>
          <w:rFonts w:ascii="Arial" w:eastAsia="Arial" w:hAnsi="Arial" w:cs="Arial"/>
          <w:color w:val="000000"/>
          <w:sz w:val="24"/>
          <w:szCs w:val="24"/>
        </w:rPr>
        <w:t xml:space="preserve"> Por ello la Sala exigió la plena acreditación de los hechos. Ese razonamiento es en sustancia una decisión sobre la distribución del riesgo del error, porque la Sala prefirió tolerar una nulidad no declarada antes que anular una elección válida. Esa decisión política, sin embargo, no se explicitó como tal en la sentencia.</w:t>
      </w:r>
    </w:p>
    <w:p>
      <w:pPr>
        <w:spacing w:before="0" w:after="0" w:line="360" w:lineRule="auto"/>
        <w:ind w:firstLine="709"/>
        <w:jc w:val="both"/>
      </w:pPr>
      <w:r>
        <w:rPr>
          <w:rFonts w:ascii="Arial" w:eastAsia="Arial" w:hAnsi="Arial" w:cs="Arial"/>
          <w:color w:val="000000"/>
          <w:sz w:val="24"/>
          <w:szCs w:val="24"/>
        </w:rPr>
        <w:t xml:space="preserve">La decisión política de la Sala Superior quedó implícita. En la misma sentencia, la Sala se refirió a la escuela de libre investigación o libre convencimiento que se desprende de la </w:t>
      </w:r>
      <w:r>
        <w:rPr>
          <w:rFonts w:ascii="Arial" w:eastAsia="Arial" w:hAnsi="Arial" w:cs="Arial"/>
          <w:i/>
          <w:iCs/>
          <w:color w:val="000000"/>
          <w:sz w:val="24"/>
          <w:szCs w:val="24"/>
        </w:rPr>
        <w:t xml:space="preserve">Ley General de Medios</w:t>
      </w:r>
      <w:r>
        <w:rPr>
          <w:rFonts w:ascii="Arial" w:eastAsia="Arial" w:hAnsi="Arial" w:cs="Arial"/>
          <w:color w:val="000000"/>
          <w:sz w:val="24"/>
          <w:szCs w:val="24"/>
        </w:rPr>
        <w:t xml:space="preserve">.</w:t>
      </w:r>
      <w:r>
        <w:rPr>
          <w:rFonts w:ascii="Arial" w:eastAsia="Arial" w:hAnsi="Arial" w:cs="Arial"/>
          <w:color w:val="000000"/>
          <w:sz w:val="24"/>
          <w:szCs w:val="24"/>
          <w:vertAlign w:val="superscript"/>
        </w:rPr>
        <w:footnoteReference w:id="158"/>
      </w:r>
      <w:r>
        <w:rPr>
          <w:rFonts w:ascii="Arial" w:eastAsia="Arial" w:hAnsi="Arial" w:cs="Arial"/>
          <w:color w:val="000000"/>
          <w:sz w:val="24"/>
          <w:szCs w:val="24"/>
        </w:rPr>
        <w:t xml:space="preserve"> Enseguida la Sala afirmó que debía guiarse por reglas lógicas y criterios que permitan una formulación racional y controlable. La sentencia combina de ese modo el vocabulario de la convicción con el de la racionalidad. En el SUP-REC-1388/2018, la Sala había afirmado que el estándar para acreditar la determinancia en casos de violencia política debía ser mínimo.</w:t>
      </w:r>
      <w:r>
        <w:rPr>
          <w:rFonts w:ascii="Arial" w:eastAsia="Arial" w:hAnsi="Arial" w:cs="Arial"/>
          <w:color w:val="000000"/>
          <w:sz w:val="24"/>
          <w:szCs w:val="24"/>
          <w:vertAlign w:val="superscript"/>
        </w:rPr>
        <w:footnoteReference w:id="159"/>
      </w:r>
      <w:r>
        <w:rPr>
          <w:rFonts w:ascii="Arial" w:eastAsia="Arial" w:hAnsi="Arial" w:cs="Arial"/>
          <w:color w:val="000000"/>
          <w:sz w:val="24"/>
          <w:szCs w:val="24"/>
        </w:rPr>
        <w:t xml:space="preserve"> Ambos pronunciamientos pueden ser razonables en su contexto, pero muestran que el nivel de exigencia se determina caso por caso. Ferrer advierte que ese particularismo no es epistémico, sino una decisión político-moral adoptada sin reglas previas.</w:t>
      </w:r>
      <w:r>
        <w:rPr>
          <w:rFonts w:ascii="Arial" w:eastAsia="Arial" w:hAnsi="Arial" w:cs="Arial"/>
          <w:color w:val="000000"/>
          <w:sz w:val="24"/>
          <w:szCs w:val="24"/>
          <w:vertAlign w:val="superscript"/>
        </w:rPr>
        <w:footnoteReference w:id="160"/>
      </w:r>
      <w:r>
        <w:rPr>
          <w:rFonts w:ascii="Arial" w:eastAsia="Arial" w:hAnsi="Arial" w:cs="Arial"/>
          <w:color w:val="000000"/>
          <w:sz w:val="24"/>
          <w:szCs w:val="24"/>
        </w:rPr>
        <w:t xml:space="preserve"> Esa decisión sin reglas previas produce consecuencias prácticas que trascienden el plano teórico.</w:t>
      </w:r>
    </w:p>
    <w:p>
      <w:pPr>
        <w:spacing w:before="0" w:after="0" w:line="360" w:lineRule="auto"/>
        <w:ind w:firstLine="709"/>
        <w:jc w:val="both"/>
      </w:pPr>
      <w:r>
        <w:rPr>
          <w:rFonts w:ascii="Arial" w:eastAsia="Arial" w:hAnsi="Arial" w:cs="Arial"/>
          <w:color w:val="000000"/>
          <w:sz w:val="24"/>
          <w:szCs w:val="24"/>
        </w:rPr>
        <w:t xml:space="preserve">La confusión entre valoración y estándar no es una cuestión meramente teórica. La primera consecuencia de esa confusión es la imprevisibilidad de las decisiones judiciales. Ferrer Beltrán, siguiendo a Nance, advierte que sin estándares predeterminados se afectan la predecibilidad y la seguridad jurídica.</w:t>
      </w:r>
      <w:r>
        <w:rPr>
          <w:rFonts w:ascii="Arial" w:eastAsia="Arial" w:hAnsi="Arial" w:cs="Arial"/>
          <w:color w:val="000000"/>
          <w:sz w:val="24"/>
          <w:szCs w:val="24"/>
          <w:vertAlign w:val="superscript"/>
        </w:rPr>
        <w:footnoteReference w:id="161"/>
      </w:r>
      <w:r>
        <w:rPr>
          <w:rFonts w:ascii="Arial" w:eastAsia="Arial" w:hAnsi="Arial" w:cs="Arial"/>
          <w:color w:val="000000"/>
          <w:sz w:val="24"/>
          <w:szCs w:val="24"/>
        </w:rPr>
        <w:t xml:space="preserve"> El Estado de derecho decae incluso, pues ninguna norma sustantiva ni ninguna carga tendría sentido si la suficiencia quedara a discreción del juzgador. En materia electoral esa imprevisibilidad afecta a partidos, candidaturas y autoridades administrativas. Ninguno de esos actores puede saber de antemano cuánta prueba necesita para sostener una pretensión de nulidad. La misma prueba puede resultar suficiente para un órgano e insuficiente para otro. Ambos órganos pueden afirmar al mismo tiempo que aplicaron la sana crítica, y esa coincidencia verbal oculta la diferencia real entre sus umbrales.</w:t>
      </w:r>
    </w:p>
    <w:p>
      <w:pPr>
        <w:spacing w:before="0" w:after="0" w:line="360" w:lineRule="auto"/>
        <w:ind w:firstLine="709"/>
        <w:jc w:val="both"/>
      </w:pPr>
      <w:r>
        <w:rPr>
          <w:rFonts w:ascii="Arial" w:eastAsia="Arial" w:hAnsi="Arial" w:cs="Arial"/>
          <w:color w:val="000000"/>
          <w:sz w:val="24"/>
          <w:szCs w:val="24"/>
        </w:rPr>
        <w:t xml:space="preserve">La segunda consecuencia de la confusión afecta el control de las decisiones. Ferrer explica que los estándares permiten a las partes argumentar errores en la identificación o en la aplicación del umbral.</w:t>
      </w:r>
      <w:r>
        <w:rPr>
          <w:rFonts w:ascii="Arial" w:eastAsia="Arial" w:hAnsi="Arial" w:cs="Arial"/>
          <w:color w:val="000000"/>
          <w:sz w:val="24"/>
          <w:szCs w:val="24"/>
          <w:vertAlign w:val="superscript"/>
        </w:rPr>
        <w:footnoteReference w:id="162"/>
      </w:r>
      <w:r>
        <w:rPr>
          <w:rFonts w:ascii="Arial" w:eastAsia="Arial" w:hAnsi="Arial" w:cs="Arial"/>
          <w:color w:val="000000"/>
          <w:sz w:val="24"/>
          <w:szCs w:val="24"/>
        </w:rPr>
        <w:t xml:space="preserve"> Sin un umbral conocido ese tipo de alegaciones no es posible. La revisión en segunda instancia se reduce a detectar arbitrariedades evidentes, porque el tribunal revisor no puede verificar si el acervo superaba una exigencia predeterminada. Ferrer recuerda que, bajo la concepción subjetivista, un tribunal superior solo podría afirmar que su creencia es otra y manda más.</w:t>
      </w:r>
      <w:r>
        <w:rPr>
          <w:rFonts w:ascii="Arial" w:eastAsia="Arial" w:hAnsi="Arial" w:cs="Arial"/>
          <w:color w:val="000000"/>
          <w:sz w:val="24"/>
          <w:szCs w:val="24"/>
          <w:vertAlign w:val="superscript"/>
        </w:rPr>
        <w:footnoteReference w:id="163"/>
      </w:r>
      <w:r>
        <w:rPr>
          <w:rFonts w:ascii="Arial" w:eastAsia="Arial" w:hAnsi="Arial" w:cs="Arial"/>
          <w:color w:val="000000"/>
          <w:sz w:val="24"/>
          <w:szCs w:val="24"/>
        </w:rPr>
        <w:t xml:space="preserve"> En el sistema electoral mexicano la Sala Superior revisa a las Salas Regionales y a los tribunales locales, y por ello esta consecuencia es especialmente relevante. La uniformidad de criterios depende de la existencia de reglas de suficiencia comunes. La ausencia de esas reglas repercute en la presunción de validez de los actos electorales.</w:t>
      </w:r>
    </w:p>
    <w:p>
      <w:pPr>
        <w:spacing w:before="0" w:after="0" w:line="360" w:lineRule="auto"/>
        <w:ind w:firstLine="709"/>
        <w:jc w:val="both"/>
      </w:pPr>
      <w:r>
        <w:rPr>
          <w:rFonts w:ascii="Arial" w:eastAsia="Arial" w:hAnsi="Arial" w:cs="Arial"/>
          <w:color w:val="000000"/>
          <w:sz w:val="24"/>
          <w:szCs w:val="24"/>
        </w:rPr>
        <w:t xml:space="preserve">La tercera consecuencia recae sobre la presunción de validez de los actos electorales. La jurisprudencia 9/98 consagra el principio de conservación de los actos públicos válidamente celebrados.</w:t>
      </w:r>
      <w:r>
        <w:rPr>
          <w:rFonts w:ascii="Arial" w:eastAsia="Arial" w:hAnsi="Arial" w:cs="Arial"/>
          <w:color w:val="000000"/>
          <w:sz w:val="24"/>
          <w:szCs w:val="24"/>
          <w:vertAlign w:val="superscript"/>
        </w:rPr>
        <w:footnoteReference w:id="164"/>
      </w:r>
      <w:r>
        <w:rPr>
          <w:rFonts w:ascii="Arial" w:eastAsia="Arial" w:hAnsi="Arial" w:cs="Arial"/>
          <w:color w:val="000000"/>
          <w:sz w:val="24"/>
          <w:szCs w:val="24"/>
        </w:rPr>
        <w:t xml:space="preserve"> Ese principio funciona como una presunción que solo se derrota con prueba suficiente de la irregularidad alegada. Ferrer advierte que toda presunción que admite prueba en contrario presupone un umbral conocido de derrota.</w:t>
      </w:r>
      <w:r>
        <w:rPr>
          <w:rFonts w:ascii="Arial" w:eastAsia="Arial" w:hAnsi="Arial" w:cs="Arial"/>
          <w:color w:val="000000"/>
          <w:sz w:val="24"/>
          <w:szCs w:val="24"/>
          <w:vertAlign w:val="superscript"/>
        </w:rPr>
        <w:footnoteReference w:id="165"/>
      </w:r>
      <w:r>
        <w:rPr>
          <w:rFonts w:ascii="Arial" w:eastAsia="Arial" w:hAnsi="Arial" w:cs="Arial"/>
          <w:color w:val="000000"/>
          <w:sz w:val="24"/>
          <w:szCs w:val="24"/>
        </w:rPr>
        <w:t xml:space="preserve"> Si el umbral no existe, la presunción opera con fuerza variable según el órgano que la aplique. En algunos casos la presunción puede volverse prácticamente inderrotable, y en otros puede ceder ante indicios débiles. En ambos supuestos se afecta la igualdad en la aplicación de la ley entre los justiciables. Estas tres consecuencias justifican la formulación de criterios precisos para diagnosticar si una disposición establece un verdadero estándar de prueba.</w:t>
      </w:r>
    </w:p>
    <w:p>
      <w:pPr>
        <w:spacing w:before="0" w:after="0" w:line="360" w:lineRule="auto"/>
        <w:ind w:firstLine="709"/>
        <w:jc w:val="both"/>
      </w:pPr>
      <w:r>
        <w:rPr>
          <w:rFonts w:ascii="Arial" w:eastAsia="Arial" w:hAnsi="Arial" w:cs="Arial"/>
          <w:color w:val="000000"/>
          <w:sz w:val="24"/>
          <w:szCs w:val="24"/>
        </w:rPr>
        <w:t xml:space="preserve">El análisis precedente permite formular criterios para diagnosticar si una disposición establece un estándar de prueba. El punto de partida son los requisitos metodológicos propuestos por Ferrer Beltrán.</w:t>
      </w:r>
      <w:r>
        <w:rPr>
          <w:rFonts w:ascii="Arial" w:eastAsia="Arial" w:hAnsi="Arial" w:cs="Arial"/>
          <w:color w:val="000000"/>
          <w:sz w:val="24"/>
          <w:szCs w:val="24"/>
          <w:vertAlign w:val="superscript"/>
        </w:rPr>
        <w:footnoteReference w:id="166"/>
      </w:r>
      <w:r>
        <w:rPr>
          <w:rFonts w:ascii="Arial" w:eastAsia="Arial" w:hAnsi="Arial" w:cs="Arial"/>
          <w:color w:val="000000"/>
          <w:sz w:val="24"/>
          <w:szCs w:val="24"/>
        </w:rPr>
        <w:t xml:space="preserve"> Un estándar debe apelar a criterios relativos a la capacidad justificativa del acervo probatorio respecto de las hipótesis. El estándar debe fijar un umbral a partir del cual una hipótesis se considera probada y emplear criterios cualitativos propios de la probabilidad no matemática. Un mismo proceso requiere estándares distintos y progresivos para sus diversas decisiones. El primer requisito excluye toda fórmula que remita a estados mentales del juzgador.</w:t>
      </w:r>
      <w:r>
        <w:rPr>
          <w:rFonts w:ascii="Arial" w:eastAsia="Arial" w:hAnsi="Arial" w:cs="Arial"/>
          <w:color w:val="000000"/>
          <w:sz w:val="24"/>
          <w:szCs w:val="24"/>
          <w:vertAlign w:val="superscript"/>
        </w:rPr>
        <w:footnoteReference w:id="167"/>
      </w:r>
      <w:r>
        <w:rPr>
          <w:rFonts w:ascii="Arial" w:eastAsia="Arial" w:hAnsi="Arial" w:cs="Arial"/>
          <w:color w:val="000000"/>
          <w:sz w:val="24"/>
          <w:szCs w:val="24"/>
        </w:rPr>
        <w:t xml:space="preserve"> Estos requisitos exigen un examen detallado, porque cada uno responde a una función distinta del estándar. Con fines diagnósticos, esos requisitos pueden convertirse desde ahora en preguntas de control aplicables a las disposiciones analizadas.</w:t>
      </w:r>
    </w:p>
    <w:p>
      <w:pPr>
        <w:spacing w:before="0" w:after="0" w:line="360" w:lineRule="auto"/>
        <w:ind w:firstLine="709"/>
        <w:jc w:val="both"/>
      </w:pPr>
      <w:r>
        <w:rPr>
          <w:rFonts w:ascii="Arial" w:eastAsia="Arial" w:hAnsi="Arial" w:cs="Arial"/>
          <w:color w:val="000000"/>
          <w:sz w:val="24"/>
          <w:szCs w:val="24"/>
        </w:rPr>
        <w:t xml:space="preserve">Los requisitos de Ferrer Beltrán pueden convertirse en preguntas de control con fines exclusivamente diagnósticos. La primera pregunta es si la norma describe cómo razonar sobre las pruebas o cuándo decidir sobre los hechos. La segunda pregunta es si el criterio de decisión alude a propiedades del acervo o a estados del juzgador. La tercera pregunta es si la norma indica una relación de corroboración entre hipótesis rivales. La cuarta pregunta es si la norma distingue su exigencia de la regla de carga que opera en caso de insuficiencia. Esas preguntas pueden aplicarse a las disposiciones analizadas, y su resultado es una interpretación propia de esta investigación. Esa interpretación no pretende sustituir el análisis doctrinal, sino ordenarlo. La aplicación de las cuatro preguntas a las normas penales y electorales arroja un resultado consistente.</w:t>
      </w:r>
    </w:p>
    <w:p>
      <w:pPr>
        <w:spacing w:before="0" w:after="0" w:line="360" w:lineRule="auto"/>
        <w:ind w:firstLine="709"/>
        <w:jc w:val="both"/>
      </w:pPr>
      <w:r>
        <w:rPr>
          <w:rFonts w:ascii="Arial" w:eastAsia="Arial" w:hAnsi="Arial" w:cs="Arial"/>
          <w:color w:val="000000"/>
          <w:sz w:val="24"/>
          <w:szCs w:val="24"/>
        </w:rPr>
        <w:t xml:space="preserve">Ninguna de las disposiciones analizadas satisface plenamente las exigencias de un estándar de prueba. Las normas penales adoptan una fórmula de umbral, pero la subordinan a la convicción. Las normas electorales utilizan expresiones como plenamente acreditadas o de manera objetiva y material, que no remiten a un estado mental. Sin embargo, esas normas tampoco precisan el grado de corroboración exigido. El artículo 16 de la Ley General de Medios mezcla método y suficiencia y remite esta última a la convicción. Esta conclusión no descalifica las decisiones concretas de los tribunales, sino que señala un déficit del diseño normativo. De ahí se sigue que el sistema electoral mexicano carece de un estándar de prueba en sentido estricto. Ese déficit del diseño normativo obliga a sintetizar las diferencias entre las figuras examinadas.</w:t>
      </w:r>
    </w:p>
    <w:p>
      <w:pPr>
        <w:spacing w:before="0" w:after="0" w:line="360" w:lineRule="auto"/>
        <w:ind w:firstLine="709"/>
        <w:jc w:val="both"/>
      </w:pPr>
      <w:r>
        <w:rPr>
          <w:rFonts w:ascii="Arial" w:eastAsia="Arial" w:hAnsi="Arial" w:cs="Arial"/>
          <w:color w:val="000000"/>
          <w:sz w:val="24"/>
          <w:szCs w:val="24"/>
        </w:rPr>
        <w:t xml:space="preserve">La valoración de la prueba y el estándar de prueba son figuras distintas en naturaleza, función y momento. La valoración es una operación epistémica que determina el grado de corroboración de cada hipótesis. El estándar es una regla jurídica que fija cuándo ese grado basta para decidir. La sana crítica y la adminiculación pertenecen al plano de la valoración, y el umbral de suficiencia pertenece al plano de la decisión. La carga de la prueba presupone ese umbral y opera cuando no se alcanza. La legislación mexicana, penal y electoral, confunde estos planos o deja vacío el segundo. Esta constatación crítica no agota la tarea teórica de la investigación. La tarea pendiente consiste en precisar los requisitos que un estándar debe satisfacer para cumplir sus funciones de justificación, garantía y distribución del error.</w:t>
      </w:r>
    </w:p>
    <w:p>
      <w:pPr>
        <w:spacing w:before="0" w:after="0" w:line="360" w:lineRule="auto"/>
        <w:jc w:val="left"/>
      </w:pPr>
    </w:p>
    <w:p>
      <w:pPr>
        <w:pStyle w:val="Ttulo2"/>
        <w:keepNext/>
        <w:spacing w:before="0" w:after="0" w:line="360" w:lineRule="auto"/>
        <w:ind w:left="567" w:hanging="284"/>
        <w:jc w:val="left"/>
      </w:pPr>
      <w:bookmarkStart w:id="809" w:name="_Toc9000009"/>
      <w:r>
        <w:rPr>
          <w:rFonts w:ascii="Arial" w:eastAsia="Arial" w:hAnsi="Arial" w:cs="Arial"/>
          <w:color w:val="000000"/>
          <w:sz w:val="24"/>
          <w:szCs w:val="24"/>
        </w:rPr>
        <w:t xml:space="preserve">1.3. </w:t>
      </w:r>
      <w:r>
        <w:rPr>
          <w:rFonts w:ascii="Arial" w:eastAsia="Arial" w:hAnsi="Arial" w:cs="Arial"/>
          <w:i/>
          <w:iCs/>
          <w:color w:val="000000"/>
          <w:sz w:val="24"/>
          <w:szCs w:val="24"/>
        </w:rPr>
        <w:t xml:space="preserve">Los requisitos metodológicos de un estándar de prueba válido</w:t>
      </w:r>
      <w:bookmarkEnd w:id="809"/>
    </w:p>
    <w:p>
      <w:pPr>
        <w:spacing w:before="0" w:after="0" w:line="360" w:lineRule="auto"/>
        <w:jc w:val="left"/>
      </w:pPr>
    </w:p>
    <w:p>
      <w:pPr>
        <w:spacing w:before="0" w:after="0" w:line="360" w:lineRule="auto"/>
        <w:ind w:firstLine="0"/>
        <w:jc w:val="both"/>
      </w:pPr>
      <w:r>
        <w:rPr>
          <w:rFonts w:ascii="Arial" w:eastAsia="Arial" w:hAnsi="Arial" w:cs="Arial"/>
          <w:color w:val="000000"/>
          <w:sz w:val="24"/>
          <w:szCs w:val="24"/>
        </w:rPr>
        <w:t xml:space="preserve">La investigación ha establecido dos premisas sobre la prueba indiciaria. La primera premisa sostiene que la adminiculación explica cómo se construye la inferencia indiciaria, pero no cuánta corroboración basta para decidir. La segunda premisa sostiene que la valoración de la prueba y el estándar de prueba son operaciones distintas, pues la primera asigna grados de corroboración y el segundo fija el grado exigido para tener una hipótesis por probada. La aceptación de ambas premisas plantea una pregunta ulterior de carácter técnico. La simple enunciación de una fórmula de suficiencia por el legislador o por la jurisprudencia no basta para que exista, en sentido propio, un estándar de prueba. Esa fórmula debe reunir ciertas propiedades que le permitan cumplir las funciones que se le asignan. Ferrer Beltrán ha sistematizado esas propiedades bajo la denominación de requisitos metodológicos.</w:t>
      </w:r>
      <w:r>
        <w:rPr>
          <w:rFonts w:ascii="Arial" w:eastAsia="Arial" w:hAnsi="Arial" w:cs="Arial"/>
          <w:color w:val="000000"/>
          <w:sz w:val="24"/>
          <w:szCs w:val="24"/>
          <w:vertAlign w:val="superscript"/>
        </w:rPr>
        <w:footnoteReference w:id="168"/>
      </w:r>
      <w:r>
        <w:rPr>
          <w:rFonts w:ascii="Arial" w:eastAsia="Arial" w:hAnsi="Arial" w:cs="Arial"/>
          <w:color w:val="000000"/>
          <w:sz w:val="24"/>
          <w:szCs w:val="24"/>
        </w:rPr>
        <w:t xml:space="preserve"> Cada uno de esos requisitos, las objeciones que ha recibido y su utilidad para evaluar las reglas electorales de suficiencia merecen un examen detenido.</w:t>
      </w:r>
    </w:p>
    <w:p>
      <w:pPr>
        <w:spacing w:before="0" w:after="0" w:line="360" w:lineRule="auto"/>
        <w:ind w:firstLine="709"/>
        <w:jc w:val="both"/>
      </w:pPr>
      <w:r>
        <w:rPr>
          <w:rFonts w:ascii="Arial" w:eastAsia="Arial" w:hAnsi="Arial" w:cs="Arial"/>
          <w:color w:val="000000"/>
          <w:sz w:val="24"/>
          <w:szCs w:val="24"/>
        </w:rPr>
        <w:t xml:space="preserve">La hipótesis que orienta ese examen sostiene que los requisitos metodológicos operan como condiciones de validez del estándar. Por ello los requisitos funcionan como parámetro para diagnosticar las deficiencias del artículo 16 de la </w:t>
      </w:r>
      <w:r>
        <w:rPr>
          <w:rFonts w:ascii="Arial" w:eastAsia="Arial" w:hAnsi="Arial" w:cs="Arial"/>
          <w:i/>
          <w:iCs/>
          <w:color w:val="000000"/>
          <w:sz w:val="24"/>
          <w:szCs w:val="24"/>
        </w:rPr>
        <w:t xml:space="preserve">Ley General del Sistema de Medios de Impugnación en Materia Electoral</w:t>
      </w:r>
      <w:r>
        <w:rPr>
          <w:rFonts w:ascii="Arial" w:eastAsia="Arial" w:hAnsi="Arial" w:cs="Arial"/>
          <w:color w:val="000000"/>
          <w:sz w:val="24"/>
          <w:szCs w:val="24"/>
        </w:rPr>
        <w:t xml:space="preserve">. La exposición precisa primero la noción de requisito metodológico. El análisis se detiene después en cada uno de los cuatro requisitos que la doctrina propone. Ese análisis conduce a la función distributiva del estándar, a las razones para fijar el umbral y a algunos ejemplos de estándares válidos. Las objeciones más relevantes reciben una respuesta específica en cada caso. En consecuencia, los requisitos pueden aplicarse con seguridad a la prueba indiciaria en materia electoral. Esa aplicación exige aclarar desde el inicio qué significa calificar estos requisitos como metodológicos y en qué se distinguen de las decisiones políticas sobre el nivel de exigencia.</w:t>
      </w:r>
    </w:p>
    <w:p>
      <w:pPr>
        <w:spacing w:before="0" w:after="0" w:line="360" w:lineRule="auto"/>
        <w:ind w:firstLine="709"/>
        <w:jc w:val="both"/>
      </w:pPr>
      <w:r>
        <w:rPr>
          <w:rFonts w:ascii="Arial" w:eastAsia="Arial" w:hAnsi="Arial" w:cs="Arial"/>
          <w:color w:val="000000"/>
          <w:sz w:val="24"/>
          <w:szCs w:val="24"/>
        </w:rPr>
        <w:t xml:space="preserve">Los requisitos metodológicos no son exigencias sobre el contenido político del estándar. El contenido político es el nivel concreto de exigencia que decida el legislador. Los requisitos metodológicos son condiciones formales que cualquier regla de suficiencia debe satisfacer, sea cual fuere el umbral elegido. Ferrer Beltrán sostiene que una regla solo puede denominarse con propiedad estándar de prueba si cumple tres requisitos, a los que añade un cuarto relativo a la relación entre los diversos estándares de un mismo proceso.</w:t>
      </w:r>
      <w:r>
        <w:rPr>
          <w:rFonts w:ascii="Arial" w:eastAsia="Arial" w:hAnsi="Arial" w:cs="Arial"/>
          <w:color w:val="000000"/>
          <w:sz w:val="24"/>
          <w:szCs w:val="24"/>
          <w:vertAlign w:val="superscript"/>
        </w:rPr>
        <w:footnoteReference w:id="169"/>
      </w:r>
      <w:r>
        <w:rPr>
          <w:rFonts w:ascii="Arial" w:eastAsia="Arial" w:hAnsi="Arial" w:cs="Arial"/>
          <w:color w:val="000000"/>
          <w:sz w:val="24"/>
          <w:szCs w:val="24"/>
        </w:rPr>
        <w:t xml:space="preserve"> Los tres primeros requisitos son la apelación a la capacidad justificativa del acervo, la aptitud para fijar un umbral de suficiencia y el uso de criterios cualitativos de probabilidad no matemática. El cuarto requisito exige que los estándares aplicables a las diversas decisiones de un procedimiento guarden una progresión ascendente. El autor presupone que el estándar es una regla general y abstracta, y no una decisión caso por caso.</w:t>
      </w:r>
      <w:r>
        <w:rPr>
          <w:rFonts w:ascii="Arial" w:eastAsia="Arial" w:hAnsi="Arial" w:cs="Arial"/>
          <w:color w:val="000000"/>
          <w:sz w:val="24"/>
          <w:szCs w:val="24"/>
          <w:vertAlign w:val="superscript"/>
        </w:rPr>
        <w:footnoteReference w:id="170"/>
      </w:r>
      <w:r>
        <w:rPr>
          <w:rFonts w:ascii="Arial" w:eastAsia="Arial" w:hAnsi="Arial" w:cs="Arial"/>
          <w:color w:val="000000"/>
          <w:sz w:val="24"/>
          <w:szCs w:val="24"/>
        </w:rPr>
        <w:t xml:space="preserve"> Esa presuposición sostiene la distinción entre lo metodológico y lo político.</w:t>
      </w:r>
    </w:p>
    <w:p>
      <w:pPr>
        <w:spacing w:before="0" w:after="0" w:line="360" w:lineRule="auto"/>
        <w:ind w:firstLine="709"/>
        <w:jc w:val="both"/>
      </w:pPr>
      <w:r>
        <w:rPr>
          <w:rFonts w:ascii="Arial" w:eastAsia="Arial" w:hAnsi="Arial" w:cs="Arial"/>
          <w:color w:val="000000"/>
          <w:sz w:val="24"/>
          <w:szCs w:val="24"/>
        </w:rPr>
        <w:t xml:space="preserve">La distinción entre lo metodológico y lo político orienta todo el análisis posterior. Esa distinción permite afirmar que una fórmula puede ser defectuosa por su estructura aun cuando el nivel de exigencia que pretende expresar resulte razonable. El primer requisito exige que el estándar remita a criterios relativos a la capacidad justificativa del acervo probatorio respecto de las hipótesis en conflicto. Ese requisito excluye cualquier formulación que remita a estados mentales o psicológicos del juzgador.</w:t>
      </w:r>
      <w:r>
        <w:rPr>
          <w:rFonts w:ascii="Arial" w:eastAsia="Arial" w:hAnsi="Arial" w:cs="Arial"/>
          <w:color w:val="000000"/>
          <w:sz w:val="24"/>
          <w:szCs w:val="24"/>
          <w:vertAlign w:val="superscript"/>
        </w:rPr>
        <w:footnoteReference w:id="171"/>
      </w:r>
      <w:r>
        <w:rPr>
          <w:rFonts w:ascii="Arial" w:eastAsia="Arial" w:hAnsi="Arial" w:cs="Arial"/>
          <w:color w:val="000000"/>
          <w:sz w:val="24"/>
          <w:szCs w:val="24"/>
        </w:rPr>
        <w:t xml:space="preserve"> Ferrer Beltrán documenta que numerosas legislaciones incumplen esta exigencia básica al emplear fórmulas como la íntima convicción o la convicción del tribunal.</w:t>
      </w:r>
      <w:r>
        <w:rPr>
          <w:rFonts w:ascii="Arial" w:eastAsia="Arial" w:hAnsi="Arial" w:cs="Arial"/>
          <w:color w:val="000000"/>
          <w:sz w:val="24"/>
          <w:szCs w:val="24"/>
          <w:vertAlign w:val="superscript"/>
        </w:rPr>
        <w:footnoteReference w:id="172"/>
      </w:r>
      <w:r>
        <w:rPr>
          <w:rFonts w:ascii="Arial" w:eastAsia="Arial" w:hAnsi="Arial" w:cs="Arial"/>
          <w:color w:val="000000"/>
          <w:sz w:val="24"/>
          <w:szCs w:val="24"/>
        </w:rPr>
        <w:t xml:space="preserve"> Entre los ejemplos que el autor examina figuran el artículo 20, apartado A, fracción VIII, de la Constitución mexicana y el artículo 402 del </w:t>
      </w:r>
      <w:r>
        <w:rPr>
          <w:rFonts w:ascii="Arial" w:eastAsia="Arial" w:hAnsi="Arial" w:cs="Arial"/>
          <w:i/>
          <w:iCs/>
          <w:color w:val="000000"/>
          <w:sz w:val="24"/>
          <w:szCs w:val="24"/>
        </w:rPr>
        <w:t xml:space="preserve">Código Nacional de Procedimientos Penales</w:t>
      </w:r>
      <w:r>
        <w:rPr>
          <w:rFonts w:ascii="Arial" w:eastAsia="Arial" w:hAnsi="Arial" w:cs="Arial"/>
          <w:color w:val="000000"/>
          <w:sz w:val="24"/>
          <w:szCs w:val="24"/>
        </w:rPr>
        <w:t xml:space="preserve">. La primera disposición condiciona la condena a la convicción de culpabilidad del procesado.</w:t>
      </w:r>
      <w:r>
        <w:rPr>
          <w:rFonts w:ascii="Arial" w:eastAsia="Arial" w:hAnsi="Arial" w:cs="Arial"/>
          <w:color w:val="000000"/>
          <w:sz w:val="24"/>
          <w:szCs w:val="24"/>
          <w:vertAlign w:val="superscript"/>
        </w:rPr>
        <w:footnoteReference w:id="173"/>
      </w:r>
      <w:r>
        <w:rPr>
          <w:rFonts w:ascii="Arial" w:eastAsia="Arial" w:hAnsi="Arial" w:cs="Arial"/>
          <w:color w:val="000000"/>
          <w:sz w:val="24"/>
          <w:szCs w:val="24"/>
        </w:rPr>
        <w:t xml:space="preserve"> La segunda disposición combina la convicción del tribunal con la fórmula de la duda razonable.</w:t>
      </w:r>
      <w:r>
        <w:rPr>
          <w:rFonts w:ascii="Arial" w:eastAsia="Arial" w:hAnsi="Arial" w:cs="Arial"/>
          <w:color w:val="000000"/>
          <w:sz w:val="24"/>
          <w:szCs w:val="24"/>
          <w:vertAlign w:val="superscript"/>
        </w:rPr>
        <w:footnoteReference w:id="174"/>
      </w:r>
    </w:p>
    <w:p>
      <w:pPr>
        <w:spacing w:before="0" w:after="0" w:line="360" w:lineRule="auto"/>
        <w:ind w:firstLine="709"/>
        <w:jc w:val="both"/>
      </w:pPr>
      <w:r>
        <w:rPr>
          <w:rFonts w:ascii="Arial" w:eastAsia="Arial" w:hAnsi="Arial" w:cs="Arial"/>
          <w:color w:val="000000"/>
          <w:sz w:val="24"/>
          <w:szCs w:val="24"/>
        </w:rPr>
        <w:t xml:space="preserve">El problema de esas disposiciones es estructural. Una regla que depende del estado mental del decisor no puede ser controlada intersubjetivamente. La convicción no es observable ni susceptible de revisión por un tribunal de alzada. En consecuencia, una fórmula de ese tipo no ofrece un criterio de justificación ni una garantía para las partes. La razón epistemológica del primer requisito es igualmente clara. Ferrer Beltrán afirma que del convencimiento psicológico del juzgador respecto de una proposición no se infiere nada acerca de su verdad ni acerca del grado de corroboración que las pruebas le aportan.</w:t>
      </w:r>
      <w:r>
        <w:rPr>
          <w:rFonts w:ascii="Arial" w:eastAsia="Arial" w:hAnsi="Arial" w:cs="Arial"/>
          <w:color w:val="000000"/>
          <w:sz w:val="24"/>
          <w:szCs w:val="24"/>
          <w:vertAlign w:val="superscript"/>
        </w:rPr>
        <w:footnoteReference w:id="175"/>
      </w:r>
      <w:r>
        <w:rPr>
          <w:rFonts w:ascii="Arial" w:eastAsia="Arial" w:hAnsi="Arial" w:cs="Arial"/>
          <w:color w:val="000000"/>
          <w:sz w:val="24"/>
          <w:szCs w:val="24"/>
        </w:rPr>
        <w:t xml:space="preserve"> Ninguna evidencia indica que un mayor grado de convicción se asocie causalmente con una mayor probabilidad de acierto. Siguiendo a Laudan, el autor sostiene que lo relevante no es si el juzgador cree en la hipótesis, sino si sería racional creerla a la luz de las pruebas disponibles.</w:t>
      </w:r>
      <w:r>
        <w:rPr>
          <w:rFonts w:ascii="Arial" w:eastAsia="Arial" w:hAnsi="Arial" w:cs="Arial"/>
          <w:color w:val="000000"/>
          <w:sz w:val="24"/>
          <w:szCs w:val="24"/>
          <w:vertAlign w:val="superscript"/>
        </w:rPr>
        <w:footnoteReference w:id="176"/>
      </w:r>
    </w:p>
    <w:p>
      <w:pPr>
        <w:spacing w:before="0" w:after="0" w:line="360" w:lineRule="auto"/>
        <w:ind w:firstLine="709"/>
        <w:jc w:val="both"/>
      </w:pPr>
      <w:r>
        <w:rPr>
          <w:rFonts w:ascii="Arial" w:eastAsia="Arial" w:hAnsi="Arial" w:cs="Arial"/>
          <w:color w:val="000000"/>
          <w:sz w:val="24"/>
          <w:szCs w:val="24"/>
        </w:rPr>
        <w:t xml:space="preserve">Laudan había formulado la misma exigencia en términos semejantes. El autor señaló que un estándar de prueba debe expresarse en términos del apoyo objetivo que las pruebas prestan a la hipótesis, con independencia de las creencias del jurado.</w:t>
      </w:r>
      <w:r>
        <w:rPr>
          <w:rFonts w:ascii="Arial" w:eastAsia="Arial" w:hAnsi="Arial" w:cs="Arial"/>
          <w:color w:val="000000"/>
          <w:sz w:val="24"/>
          <w:szCs w:val="24"/>
          <w:vertAlign w:val="superscript"/>
        </w:rPr>
        <w:footnoteReference w:id="177"/>
      </w:r>
      <w:r>
        <w:rPr>
          <w:rFonts w:ascii="Arial" w:eastAsia="Arial" w:hAnsi="Arial" w:cs="Arial"/>
          <w:color w:val="000000"/>
          <w:sz w:val="24"/>
          <w:szCs w:val="24"/>
        </w:rPr>
        <w:t xml:space="preserve"> Por tanto, el requisito desplaza el objeto del estándar desde la mente del decisor hacia la relación inferencial entre pruebas e hipótesis. Ese desplazamiento es coherente con la concepción racional de la prueba que sostiene esta investigación. El desplazamiento es coherente con la exigencia constitucional de motivación, pues solo puede motivarse aquello que es susceptible de expresarse en razones públicas. La convicción puede describirse, pero no justificarse por sí misma. La relación inferencial entre pruebas e hipótesis sí admite una justificación pública y un control externo. La jurisprudencia mexicana ofrece un antecedente relevante que se orienta en esa misma dirección.</w:t>
      </w:r>
    </w:p>
    <w:p>
      <w:pPr>
        <w:spacing w:before="0" w:after="0" w:line="360" w:lineRule="auto"/>
        <w:ind w:firstLine="709"/>
        <w:jc w:val="both"/>
      </w:pPr>
      <w:r>
        <w:rPr>
          <w:rFonts w:ascii="Arial" w:eastAsia="Arial" w:hAnsi="Arial" w:cs="Arial"/>
          <w:color w:val="000000"/>
          <w:sz w:val="24"/>
          <w:szCs w:val="24"/>
        </w:rPr>
        <w:t xml:space="preserve">Ferrer Beltrán destaca un criterio de la Primera Sala de la Suprema Corte. Esa Sala consideró incompatible con la presunción de inocencia una concepción persuasiva o psicologista del estándar de la duda razonable.</w:t>
      </w:r>
      <w:r>
        <w:rPr>
          <w:rFonts w:ascii="Arial" w:eastAsia="Arial" w:hAnsi="Arial" w:cs="Arial"/>
          <w:color w:val="000000"/>
          <w:sz w:val="24"/>
          <w:szCs w:val="24"/>
          <w:vertAlign w:val="superscript"/>
        </w:rPr>
        <w:footnoteReference w:id="178"/>
      </w:r>
      <w:r>
        <w:rPr>
          <w:rFonts w:ascii="Arial" w:eastAsia="Arial" w:hAnsi="Arial" w:cs="Arial"/>
          <w:color w:val="000000"/>
          <w:sz w:val="24"/>
          <w:szCs w:val="24"/>
        </w:rPr>
        <w:t xml:space="preserve"> Según esa línea, la duda que activa el principio conforme al cual la duda favorece al acusado no debe entenderse como la falta de convicción del juzgador. Esa duda debe entenderse como una propiedad del acervo probatorio que puede identificarse y controlarse. Este criterio confirma que la jurisdicción constitucional ha recibido el primer requisito. Sin embargo, la recepción es parcial, porque los textos legales siguen empleando el vocabulario de la convicción. El contencioso electoral reproduce ese defecto con especial nitidez, pues el artículo 16, párrafo 3, de la ley de medios condiciona la plena eficacia de las pruebas no documentales públicas a que los elementos del expediente generen convicción.</w:t>
      </w:r>
      <w:r>
        <w:rPr>
          <w:rFonts w:ascii="Arial" w:eastAsia="Arial" w:hAnsi="Arial" w:cs="Arial"/>
          <w:color w:val="000000"/>
          <w:sz w:val="24"/>
          <w:szCs w:val="24"/>
          <w:vertAlign w:val="superscript"/>
        </w:rPr>
        <w:footnoteReference w:id="179"/>
      </w:r>
      <w:r>
        <w:rPr>
          <w:rFonts w:ascii="Arial" w:eastAsia="Arial" w:hAnsi="Arial" w:cs="Arial"/>
          <w:color w:val="000000"/>
          <w:sz w:val="24"/>
          <w:szCs w:val="24"/>
        </w:rPr>
        <w:t xml:space="preserve"> Esa fórmula, que comprende las presuncionales, incumple el primer requisito en su letra.</w:t>
      </w:r>
    </w:p>
    <w:p>
      <w:pPr>
        <w:spacing w:before="0" w:after="0" w:line="360" w:lineRule="auto"/>
        <w:ind w:firstLine="709"/>
        <w:jc w:val="both"/>
      </w:pPr>
      <w:r>
        <w:rPr>
          <w:rFonts w:ascii="Arial" w:eastAsia="Arial" w:hAnsi="Arial" w:cs="Arial"/>
          <w:color w:val="000000"/>
          <w:sz w:val="24"/>
          <w:szCs w:val="24"/>
        </w:rPr>
        <w:t xml:space="preserve">El segundo requisito exige que el estándar sea capaz de determinar un umbral a partir del cual una hipótesis se considerará probada. Este requisito es distinto de una simple exigencia de claridad conceptual en la redacción de la norma. El requisito exige la existencia de un umbral de suficiencia, y la precisión solo interesa como condición para que ese umbral sea identificable. Ferrer Beltrán precisa que no satisfacen este requisito las remisiones a la sana crítica, a la inducción o al respeto de las leyes de la lógica y de la ciencia.</w:t>
      </w:r>
      <w:r>
        <w:rPr>
          <w:rFonts w:ascii="Arial" w:eastAsia="Arial" w:hAnsi="Arial" w:cs="Arial"/>
          <w:color w:val="000000"/>
          <w:sz w:val="24"/>
          <w:szCs w:val="24"/>
          <w:vertAlign w:val="superscript"/>
        </w:rPr>
        <w:footnoteReference w:id="180"/>
      </w:r>
      <w:r>
        <w:rPr>
          <w:rFonts w:ascii="Arial" w:eastAsia="Arial" w:hAnsi="Arial" w:cs="Arial"/>
          <w:color w:val="000000"/>
          <w:sz w:val="24"/>
          <w:szCs w:val="24"/>
        </w:rPr>
        <w:t xml:space="preserve"> La razón es que el razonamiento probatorio es siempre inductivo y debe respetar la lógica en todas las etapas del procedimiento. Las exigencias probatorias para abrir juicio, adoptar una medida cautelar o dictar sentencia son y deben ser distintas. De ahí que no baste con afirmar que una decisión debe estar inductivamente justificada. El legislador debe determinar el umbral a partir del cual esa decisión se entenderá justificada.</w:t>
      </w:r>
    </w:p>
    <w:p>
      <w:pPr>
        <w:spacing w:before="0" w:after="0" w:line="360" w:lineRule="auto"/>
        <w:ind w:firstLine="709"/>
        <w:jc w:val="both"/>
      </w:pPr>
      <w:r>
        <w:rPr>
          <w:rFonts w:ascii="Arial" w:eastAsia="Arial" w:hAnsi="Arial" w:cs="Arial"/>
          <w:color w:val="000000"/>
          <w:sz w:val="24"/>
          <w:szCs w:val="24"/>
        </w:rPr>
        <w:t xml:space="preserve">La sana crítica es, en el mejor de los casos, un método de valoración y no un umbral probatorio.</w:t>
      </w:r>
      <w:r>
        <w:rPr>
          <w:rFonts w:ascii="Arial" w:eastAsia="Arial" w:hAnsi="Arial" w:cs="Arial"/>
          <w:color w:val="000000"/>
          <w:sz w:val="24"/>
          <w:szCs w:val="24"/>
          <w:vertAlign w:val="superscript"/>
        </w:rPr>
        <w:footnoteReference w:id="181"/>
      </w:r>
      <w:r>
        <w:rPr>
          <w:rFonts w:ascii="Arial" w:eastAsia="Arial" w:hAnsi="Arial" w:cs="Arial"/>
          <w:color w:val="000000"/>
          <w:sz w:val="24"/>
          <w:szCs w:val="24"/>
        </w:rPr>
        <w:t xml:space="preserve"> Esta observación conecta con la conclusión alcanzada sobre el artículo 16, párrafo 1, de la ley de medios, que remite a la lógica, a la sana crítica y a la experiencia. El segundo requisito reconoce, con todo, un límite ineliminable. La única manera de formular un umbral totalmente preciso sería mediante valores numéricos propios de la probabilidad matemática, lo que vulneraría el tercer requisito.</w:t>
      </w:r>
      <w:r>
        <w:rPr>
          <w:rFonts w:ascii="Arial" w:eastAsia="Arial" w:hAnsi="Arial" w:cs="Arial"/>
          <w:color w:val="000000"/>
          <w:sz w:val="24"/>
          <w:szCs w:val="24"/>
          <w:vertAlign w:val="superscript"/>
        </w:rPr>
        <w:footnoteReference w:id="182"/>
      </w:r>
      <w:r>
        <w:rPr>
          <w:rFonts w:ascii="Arial" w:eastAsia="Arial" w:hAnsi="Arial" w:cs="Arial"/>
          <w:color w:val="000000"/>
          <w:sz w:val="24"/>
          <w:szCs w:val="24"/>
        </w:rPr>
        <w:t xml:space="preserve"> Por ello todo estándar conservará un residuo de vaguedad inherente al lenguaje ordinario. Ferrer Beltrán matiza su exigencia en el sentido de que el estándar debe indicar un umbral lo más preciso posible y minimizar su vaguedad. En términos comparativos, un estándar será mejor que otro cuanto mayor sea el ámbito de casos claros que permita identificar. La gravedad del problema de la vaguedad se aprecia en la práctica de los tribunales angloamericanos.</w:t>
      </w:r>
    </w:p>
    <w:p>
      <w:pPr>
        <w:spacing w:before="0" w:after="0" w:line="360" w:lineRule="auto"/>
        <w:ind w:firstLine="709"/>
        <w:jc w:val="both"/>
      </w:pPr>
      <w:r>
        <w:rPr>
          <w:rFonts w:ascii="Arial" w:eastAsia="Arial" w:hAnsi="Arial" w:cs="Arial"/>
          <w:color w:val="000000"/>
          <w:sz w:val="24"/>
          <w:szCs w:val="24"/>
        </w:rPr>
        <w:t xml:space="preserve">Ferrer Beltrán ilustra la gravedad del problema con una opinión emitida en la Cámara de los Lores. Según esa opinión, la elección entre dos estándares distintos era, en gran medida, una cuestión de palabras.</w:t>
      </w:r>
      <w:r>
        <w:rPr>
          <w:rFonts w:ascii="Arial" w:eastAsia="Arial" w:hAnsi="Arial" w:cs="Arial"/>
          <w:color w:val="000000"/>
          <w:sz w:val="24"/>
          <w:szCs w:val="24"/>
          <w:vertAlign w:val="superscript"/>
        </w:rPr>
        <w:footnoteReference w:id="183"/>
      </w:r>
      <w:r>
        <w:rPr>
          <w:rFonts w:ascii="Arial" w:eastAsia="Arial" w:hAnsi="Arial" w:cs="Arial"/>
          <w:color w:val="000000"/>
          <w:sz w:val="24"/>
          <w:szCs w:val="24"/>
        </w:rPr>
        <w:t xml:space="preserve"> Los estudios empíricos muestran interpretaciones muy dispares de las fórmulas vigentes. Los jueces federales estadounidenses sitúan la exigencia del más allá de toda duda razonable entre el 75 y el 95 por ciento.</w:t>
      </w:r>
      <w:r>
        <w:rPr>
          <w:rFonts w:ascii="Arial" w:eastAsia="Arial" w:hAnsi="Arial" w:cs="Arial"/>
          <w:color w:val="000000"/>
          <w:sz w:val="24"/>
          <w:szCs w:val="24"/>
          <w:vertAlign w:val="superscript"/>
        </w:rPr>
        <w:footnoteReference w:id="184"/>
      </w:r>
      <w:r>
        <w:rPr>
          <w:rFonts w:ascii="Arial" w:eastAsia="Arial" w:hAnsi="Arial" w:cs="Arial"/>
          <w:color w:val="000000"/>
          <w:sz w:val="24"/>
          <w:szCs w:val="24"/>
        </w:rPr>
        <w:t xml:space="preserve"> Con Laudan, el autor concluye que esa fórmula no merece propiamente el nombre de estándar de prueba.</w:t>
      </w:r>
      <w:r>
        <w:rPr>
          <w:rFonts w:ascii="Arial" w:eastAsia="Arial" w:hAnsi="Arial" w:cs="Arial"/>
          <w:color w:val="000000"/>
          <w:sz w:val="24"/>
          <w:szCs w:val="24"/>
          <w:vertAlign w:val="superscript"/>
        </w:rPr>
        <w:footnoteReference w:id="185"/>
      </w:r>
      <w:r>
        <w:rPr>
          <w:rFonts w:ascii="Arial" w:eastAsia="Arial" w:hAnsi="Arial" w:cs="Arial"/>
          <w:color w:val="000000"/>
          <w:sz w:val="24"/>
          <w:szCs w:val="24"/>
        </w:rPr>
        <w:t xml:space="preserve"> En suma, la vaguedad extrema equivale funcionalmente a la ausencia de umbral. Una fórmula que admite lecturas tan distantes no orienta al juez ni permite a las partes prever el resultado de su actividad probatoria. Esta conclusión explica que el segundo requisito haya recibido las objeciones más elaboradas de la doctrina contemporánea.</w:t>
      </w:r>
    </w:p>
    <w:p>
      <w:pPr>
        <w:spacing w:before="0" w:after="0" w:line="360" w:lineRule="auto"/>
        <w:ind w:firstLine="709"/>
        <w:jc w:val="both"/>
      </w:pPr>
      <w:r>
        <w:rPr>
          <w:rFonts w:ascii="Arial" w:eastAsia="Arial" w:hAnsi="Arial" w:cs="Arial"/>
          <w:color w:val="000000"/>
          <w:sz w:val="24"/>
          <w:szCs w:val="24"/>
        </w:rPr>
        <w:t xml:space="preserve">El segundo requisito ha recibido objeciones. Bayón, González Lagier y Dei Vecchi han sostenido, con matices, que los criterios epistémicos de valoración son graduales y no cuantificables, de modo que cualquier estándar que remita a ellos será inevitablemente vago.</w:t>
      </w:r>
      <w:r>
        <w:rPr>
          <w:rFonts w:ascii="Arial" w:eastAsia="Arial" w:hAnsi="Arial" w:cs="Arial"/>
          <w:color w:val="000000"/>
          <w:sz w:val="24"/>
          <w:szCs w:val="24"/>
          <w:vertAlign w:val="superscript"/>
        </w:rPr>
        <w:footnoteReference w:id="186"/>
      </w:r>
      <w:r>
        <w:rPr>
          <w:rFonts w:ascii="Arial" w:eastAsia="Arial" w:hAnsi="Arial" w:cs="Arial"/>
          <w:color w:val="000000"/>
          <w:sz w:val="24"/>
          <w:szCs w:val="24"/>
        </w:rPr>
        <w:t xml:space="preserve"> González Lagier enumeró una docena de criterios de solidez inferencial y observó que ninguno de ellos permite fijar un punto de corte preciso.</w:t>
      </w:r>
      <w:r>
        <w:rPr>
          <w:rFonts w:ascii="Arial" w:eastAsia="Arial" w:hAnsi="Arial" w:cs="Arial"/>
          <w:color w:val="000000"/>
          <w:sz w:val="24"/>
          <w:szCs w:val="24"/>
          <w:vertAlign w:val="superscript"/>
        </w:rPr>
        <w:footnoteReference w:id="187"/>
      </w:r>
      <w:r>
        <w:rPr>
          <w:rFonts w:ascii="Arial" w:eastAsia="Arial" w:hAnsi="Arial" w:cs="Arial"/>
          <w:color w:val="000000"/>
          <w:sz w:val="24"/>
          <w:szCs w:val="24"/>
        </w:rPr>
        <w:t xml:space="preserve"> La respuesta de Ferrer Beltrán desplaza la formulación del estándar desde los criterios de valoración hacia los resultados probatorios mínimos. Esos resultados varían de un estándar a otro. Un estándar puede exigir que se hayan refutado todas las hipótesis compatibles con la inocencia, que se haya refutado solo la hipótesis sostenida por la defensa o que esta se refute únicamente si la defensa aportó alguna prueba a su favor.</w:t>
      </w:r>
      <w:r>
        <w:rPr>
          <w:rFonts w:ascii="Arial" w:eastAsia="Arial" w:hAnsi="Arial" w:cs="Arial"/>
          <w:color w:val="000000"/>
          <w:sz w:val="24"/>
          <w:szCs w:val="24"/>
          <w:vertAlign w:val="superscript"/>
        </w:rPr>
        <w:footnoteReference w:id="188"/>
      </w:r>
      <w:r>
        <w:rPr>
          <w:rFonts w:ascii="Arial" w:eastAsia="Arial" w:hAnsi="Arial" w:cs="Arial"/>
          <w:color w:val="000000"/>
          <w:sz w:val="24"/>
          <w:szCs w:val="24"/>
        </w:rPr>
        <w:t xml:space="preserve"> Cada resultado presupone la aplicación del conjunto de criterios epistémicos, pero identifica el resultado mínimo requerido. Esta respuesta enfrenta, sin embargo, la objeción del regreso al infinito.</w:t>
      </w:r>
    </w:p>
    <w:p>
      <w:pPr>
        <w:spacing w:before="0" w:after="0" w:line="360" w:lineRule="auto"/>
        <w:ind w:firstLine="709"/>
        <w:jc w:val="both"/>
      </w:pPr>
      <w:r>
        <w:rPr>
          <w:rFonts w:ascii="Arial" w:eastAsia="Arial" w:hAnsi="Arial" w:cs="Arial"/>
          <w:color w:val="000000"/>
          <w:sz w:val="24"/>
          <w:szCs w:val="24"/>
        </w:rPr>
        <w:t xml:space="preserve">La objeción del regreso al infinito sostiene que cada criterio requeriría a su vez un estándar. Ferrer Beltrán responde a esa objeción con dos argumentos. El primer argumento apela al problema general de la inducción, que afecta por igual a todo conocimiento empírico. El segundo argumento apela a la división del trabajo cognitivo entre quien formula el estándar y quien lo aplica.</w:t>
      </w:r>
      <w:r>
        <w:rPr>
          <w:rFonts w:ascii="Arial" w:eastAsia="Arial" w:hAnsi="Arial" w:cs="Arial"/>
          <w:color w:val="000000"/>
          <w:sz w:val="24"/>
          <w:szCs w:val="24"/>
          <w:vertAlign w:val="superscript"/>
        </w:rPr>
        <w:footnoteReference w:id="189"/>
      </w:r>
      <w:r>
        <w:rPr>
          <w:rFonts w:ascii="Arial" w:eastAsia="Arial" w:hAnsi="Arial" w:cs="Arial"/>
          <w:color w:val="000000"/>
          <w:sz w:val="24"/>
          <w:szCs w:val="24"/>
        </w:rPr>
        <w:t xml:space="preserve"> El propio González Lagier terminó por admitir que los estándares tienen, al menos, un contenido mínimamente informativo.</w:t>
      </w:r>
      <w:r>
        <w:rPr>
          <w:rFonts w:ascii="Arial" w:eastAsia="Arial" w:hAnsi="Arial" w:cs="Arial"/>
          <w:color w:val="000000"/>
          <w:sz w:val="24"/>
          <w:szCs w:val="24"/>
          <w:vertAlign w:val="superscript"/>
        </w:rPr>
        <w:footnoteReference w:id="190"/>
      </w:r>
      <w:r>
        <w:rPr>
          <w:rFonts w:ascii="Arial" w:eastAsia="Arial" w:hAnsi="Arial" w:cs="Arial"/>
          <w:color w:val="000000"/>
          <w:sz w:val="24"/>
          <w:szCs w:val="24"/>
        </w:rPr>
        <w:t xml:space="preserve"> Ferrer Beltrán concluye que, sin razones que apelen a los resultados exigidos por el estándar, no es posible justificar las decisiones sobre los hechos.</w:t>
      </w:r>
      <w:r>
        <w:rPr>
          <w:rFonts w:ascii="Arial" w:eastAsia="Arial" w:hAnsi="Arial" w:cs="Arial"/>
          <w:color w:val="000000"/>
          <w:sz w:val="24"/>
          <w:szCs w:val="24"/>
          <w:vertAlign w:val="superscript"/>
        </w:rPr>
        <w:footnoteReference w:id="191"/>
      </w:r>
      <w:r>
        <w:rPr>
          <w:rFonts w:ascii="Arial" w:eastAsia="Arial" w:hAnsi="Arial" w:cs="Arial"/>
          <w:color w:val="000000"/>
          <w:sz w:val="24"/>
          <w:szCs w:val="24"/>
        </w:rPr>
        <w:t xml:space="preserve"> En consecuencia, la vaguedad residual no invalida la exigencia de un umbral, sino que obliga a formularlo con referencia a resultados probatorios verificables. Una segunda línea de objeción renuncia a esa formulación general y defiende estándares que el juzgador ajuste a cada caso.</w:t>
      </w:r>
    </w:p>
    <w:p>
      <w:pPr>
        <w:spacing w:before="0" w:after="0" w:line="360" w:lineRule="auto"/>
        <w:ind w:firstLine="709"/>
        <w:jc w:val="both"/>
      </w:pPr>
      <w:r>
        <w:rPr>
          <w:rFonts w:ascii="Arial" w:eastAsia="Arial" w:hAnsi="Arial" w:cs="Arial"/>
          <w:color w:val="000000"/>
          <w:sz w:val="24"/>
          <w:szCs w:val="24"/>
        </w:rPr>
        <w:t xml:space="preserve">La segunda línea de objeción defiende la conveniencia de estándares flexibles. Ferrer Beltrán examina esta posición a partir del debate entre particularismo y universalismo en la teoría de las decisiones.</w:t>
      </w:r>
      <w:r>
        <w:rPr>
          <w:rFonts w:ascii="Arial" w:eastAsia="Arial" w:hAnsi="Arial" w:cs="Arial"/>
          <w:color w:val="000000"/>
          <w:sz w:val="24"/>
          <w:szCs w:val="24"/>
          <w:vertAlign w:val="superscript"/>
        </w:rPr>
        <w:footnoteReference w:id="192"/>
      </w:r>
      <w:r>
        <w:rPr>
          <w:rFonts w:ascii="Arial" w:eastAsia="Arial" w:hAnsi="Arial" w:cs="Arial"/>
          <w:color w:val="000000"/>
          <w:sz w:val="24"/>
          <w:szCs w:val="24"/>
        </w:rPr>
        <w:t xml:space="preserve"> El autor reconoce que el particularismo permite atender a las peculiaridades del caso. Sin embargo, el particularismo sacrifica la previsibilidad, la igualdad y el control de las decisiones. El autor propone que el legislador adopte una razón subyacente según la cual, cuanto mayor sea el daño que la decisión probatoria pueda causar, menor debe ser el riesgo de error que soporte la parte potencialmente dañada.</w:t>
      </w:r>
      <w:r>
        <w:rPr>
          <w:rFonts w:ascii="Arial" w:eastAsia="Arial" w:hAnsi="Arial" w:cs="Arial"/>
          <w:color w:val="000000"/>
          <w:sz w:val="24"/>
          <w:szCs w:val="24"/>
          <w:vertAlign w:val="superscript"/>
        </w:rPr>
        <w:footnoteReference w:id="193"/>
      </w:r>
      <w:r>
        <w:rPr>
          <w:rFonts w:ascii="Arial" w:eastAsia="Arial" w:hAnsi="Arial" w:cs="Arial"/>
          <w:color w:val="000000"/>
          <w:sz w:val="24"/>
          <w:szCs w:val="24"/>
        </w:rPr>
        <w:t xml:space="preserve"> A partir de esa razón, el legislador puede especificar tipos de casos semejantes y formular para ellos estándares determinados. La razón subyacente conserva la sensibilidad a la gravedad del daño sin renunciar a la generalidad de la regla. Esta propuesta tiene una consecuencia normativa relevante para la tesis que sostiene esta investigación.</w:t>
      </w:r>
    </w:p>
    <w:p>
      <w:pPr>
        <w:spacing w:before="0" w:after="0" w:line="360" w:lineRule="auto"/>
        <w:ind w:firstLine="709"/>
        <w:jc w:val="both"/>
      </w:pPr>
      <w:r>
        <w:rPr>
          <w:rFonts w:ascii="Arial" w:eastAsia="Arial" w:hAnsi="Arial" w:cs="Arial"/>
          <w:color w:val="000000"/>
          <w:sz w:val="24"/>
          <w:szCs w:val="24"/>
        </w:rPr>
        <w:t xml:space="preserve">La consecuencia normativa de la propuesta de Ferrer Beltrán se refiere a los derechos procesales de las partes. La ausencia de estándares legalmente previstos vulnera tanto el derecho al debido proceso como el derecho a la prueba.</w:t>
      </w:r>
      <w:r>
        <w:rPr>
          <w:rFonts w:ascii="Arial" w:eastAsia="Arial" w:hAnsi="Arial" w:cs="Arial"/>
          <w:color w:val="000000"/>
          <w:sz w:val="24"/>
          <w:szCs w:val="24"/>
          <w:vertAlign w:val="superscript"/>
        </w:rPr>
        <w:footnoteReference w:id="194"/>
      </w:r>
      <w:r>
        <w:rPr>
          <w:rFonts w:ascii="Arial" w:eastAsia="Arial" w:hAnsi="Arial" w:cs="Arial"/>
          <w:color w:val="000000"/>
          <w:sz w:val="24"/>
          <w:szCs w:val="24"/>
        </w:rPr>
        <w:t xml:space="preserve"> El autor invoca en apoyo de esta tesis la doctrina de la Corte Suprema estadounidense en </w:t>
      </w:r>
      <w:r>
        <w:rPr>
          <w:rFonts w:ascii="Arial" w:eastAsia="Arial" w:hAnsi="Arial" w:cs="Arial"/>
          <w:i/>
          <w:iCs/>
          <w:color w:val="000000"/>
          <w:sz w:val="24"/>
          <w:szCs w:val="24"/>
        </w:rPr>
        <w:t xml:space="preserve">Santosky v. Kramer</w:t>
      </w:r>
      <w:r>
        <w:rPr>
          <w:rFonts w:ascii="Arial" w:eastAsia="Arial" w:hAnsi="Arial" w:cs="Arial"/>
          <w:color w:val="000000"/>
          <w:sz w:val="24"/>
          <w:szCs w:val="24"/>
        </w:rPr>
        <w:t xml:space="preserve">. Según esa doctrina, el estándar debe fijarse anticipadamente porque los litigantes necesitan saber desde el inicio cómo se distribuye el riesgo de error.</w:t>
      </w:r>
      <w:r>
        <w:rPr>
          <w:rFonts w:ascii="Arial" w:eastAsia="Arial" w:hAnsi="Arial" w:cs="Arial"/>
          <w:color w:val="000000"/>
          <w:sz w:val="24"/>
          <w:szCs w:val="24"/>
          <w:vertAlign w:val="superscript"/>
        </w:rPr>
        <w:footnoteReference w:id="195"/>
      </w:r>
      <w:r>
        <w:rPr>
          <w:rFonts w:ascii="Arial" w:eastAsia="Arial" w:hAnsi="Arial" w:cs="Arial"/>
          <w:color w:val="000000"/>
          <w:sz w:val="24"/>
          <w:szCs w:val="24"/>
        </w:rPr>
        <w:t xml:space="preserve"> Un litigante que desconoce el umbral no puede decidir qué pruebas ofrecer ni valorar la conveniencia de litigar, y por ello la fijación anticipada del estándar es una condición de la defensa eficaz y no una mera preferencia técnica. Este argumento será central para evaluar la determinación casuística de la suficiencia en materia electoral. La fijación anticipada del umbral exige, a su vez, un lenguaje adecuado para expresarlo.</w:t>
      </w:r>
    </w:p>
    <w:p>
      <w:pPr>
        <w:spacing w:before="0" w:after="0" w:line="360" w:lineRule="auto"/>
        <w:ind w:firstLine="709"/>
        <w:jc w:val="both"/>
      </w:pPr>
      <w:r>
        <w:rPr>
          <w:rFonts w:ascii="Arial" w:eastAsia="Arial" w:hAnsi="Arial" w:cs="Arial"/>
          <w:color w:val="000000"/>
          <w:sz w:val="24"/>
          <w:szCs w:val="24"/>
        </w:rPr>
        <w:t xml:space="preserve">El tercer requisito exige que el estándar utilice criterios cualitativos, propios de la probabilidad no matemática.</w:t>
      </w:r>
      <w:r>
        <w:rPr>
          <w:rFonts w:ascii="Arial" w:eastAsia="Arial" w:hAnsi="Arial" w:cs="Arial"/>
          <w:color w:val="000000"/>
          <w:sz w:val="24"/>
          <w:szCs w:val="24"/>
          <w:vertAlign w:val="superscript"/>
        </w:rPr>
        <w:footnoteReference w:id="196"/>
      </w:r>
      <w:r>
        <w:rPr>
          <w:rFonts w:ascii="Arial" w:eastAsia="Arial" w:hAnsi="Arial" w:cs="Arial"/>
          <w:color w:val="000000"/>
          <w:sz w:val="24"/>
          <w:szCs w:val="24"/>
        </w:rPr>
        <w:t xml:space="preserve"> Ferrer Beltrán advierte que el estándar debe adecuarse al sistema de valoración con el que opera y no puede expresarse en un lenguaje ajeno a los criterios con que se valoran las pruebas.</w:t>
      </w:r>
      <w:r>
        <w:rPr>
          <w:rFonts w:ascii="Arial" w:eastAsia="Arial" w:hAnsi="Arial" w:cs="Arial"/>
          <w:color w:val="000000"/>
          <w:sz w:val="24"/>
          <w:szCs w:val="24"/>
          <w:vertAlign w:val="superscript"/>
        </w:rPr>
        <w:footnoteReference w:id="197"/>
      </w:r>
      <w:r>
        <w:rPr>
          <w:rFonts w:ascii="Arial" w:eastAsia="Arial" w:hAnsi="Arial" w:cs="Arial"/>
          <w:color w:val="000000"/>
          <w:sz w:val="24"/>
          <w:szCs w:val="24"/>
        </w:rPr>
        <w:t xml:space="preserve"> La tentación de cuantificar el umbral es comprensible. Un umbral numérico parecería resolver la vaguedad. El autor examina, sin embargo, los ejemplos clásicos que muestran los inconvenientes de la estadística aplicada a casos individuales. En el caso de los autobuses azules, la única prueba es que el ochenta por ciento de los autobuses azules de la zona pertenecían a la compañía demandada. En el ejemplo del colado en un espectáculo, formulado por L. J. Cohen, la única prueba es que se vendieron 499 entradas y asistieron mil personas, de modo que 501 entraron sin pagar.</w:t>
      </w:r>
      <w:r>
        <w:rPr>
          <w:rFonts w:ascii="Arial" w:eastAsia="Arial" w:hAnsi="Arial" w:cs="Arial"/>
          <w:color w:val="000000"/>
          <w:sz w:val="24"/>
          <w:szCs w:val="24"/>
          <w:vertAlign w:val="superscript"/>
        </w:rPr>
        <w:footnoteReference w:id="198"/>
      </w:r>
      <w:r>
        <w:rPr>
          <w:rFonts w:ascii="Arial" w:eastAsia="Arial" w:hAnsi="Arial" w:cs="Arial"/>
          <w:color w:val="000000"/>
          <w:sz w:val="24"/>
          <w:szCs w:val="24"/>
        </w:rPr>
        <w:t xml:space="preserve"> Ambos ejemplos preguntan si una frecuencia estadística basta para condenar a un individuo.</w:t>
      </w:r>
    </w:p>
    <w:p>
      <w:pPr>
        <w:spacing w:before="0" w:after="0" w:line="360" w:lineRule="auto"/>
        <w:ind w:firstLine="709"/>
        <w:jc w:val="both"/>
      </w:pPr>
      <w:r>
        <w:rPr>
          <w:rFonts w:ascii="Arial" w:eastAsia="Arial" w:hAnsi="Arial" w:cs="Arial"/>
          <w:color w:val="000000"/>
          <w:sz w:val="24"/>
          <w:szCs w:val="24"/>
        </w:rPr>
        <w:t xml:space="preserve">Allen ha defendido que condenar en los casos de los autobuses y del espectáculo minimizaría los errores en el conjunto de las decisiones. Esa defensa atiende al número total de aciertos y no a la justificación de cada decisión individual. Ferrer Beltrán replica que la justificación de una decisión sobre los hechos tiene una cara material y otra procedimental.</w:t>
      </w:r>
      <w:r>
        <w:rPr>
          <w:rFonts w:ascii="Arial" w:eastAsia="Arial" w:hAnsi="Arial" w:cs="Arial"/>
          <w:color w:val="000000"/>
          <w:sz w:val="24"/>
          <w:szCs w:val="24"/>
          <w:vertAlign w:val="superscript"/>
        </w:rPr>
        <w:footnoteReference w:id="199"/>
      </w:r>
      <w:r>
        <w:rPr>
          <w:rFonts w:ascii="Arial" w:eastAsia="Arial" w:hAnsi="Arial" w:cs="Arial"/>
          <w:color w:val="000000"/>
          <w:sz w:val="24"/>
          <w:szCs w:val="24"/>
        </w:rPr>
        <w:t xml:space="preserve"> Al derecho no le interesa el acierto por casualidad. Una decisión no está justificada si declara probada la hipótesis verdadera sin disponer de corroboración suficiente respecto del caso concreto. En consecuencia, la frecuencia estadística no sustituye la corroboración individual de la hipótesis. La decisión judicial debe apoyarse en pruebas que se refieran al caso y no solo a la clase de casos en la que se inscribe. A esa objeción se suma el llamado problema de la clase de referencia, que afecta a toda frecuencia estadística.</w:t>
      </w:r>
    </w:p>
    <w:p>
      <w:pPr>
        <w:spacing w:before="0" w:after="0" w:line="360" w:lineRule="auto"/>
        <w:ind w:firstLine="709"/>
        <w:jc w:val="both"/>
      </w:pPr>
      <w:r>
        <w:rPr>
          <w:rFonts w:ascii="Arial" w:eastAsia="Arial" w:hAnsi="Arial" w:cs="Arial"/>
          <w:color w:val="000000"/>
          <w:sz w:val="24"/>
          <w:szCs w:val="24"/>
        </w:rPr>
        <w:t xml:space="preserve">Toda frecuencia estadística se predica de una clase de sucesos. Un mismo caso individual puede adscribirse a múltiples clases con frecuencias distintas.</w:t>
      </w:r>
      <w:r>
        <w:rPr>
          <w:rFonts w:ascii="Arial" w:eastAsia="Arial" w:hAnsi="Arial" w:cs="Arial"/>
          <w:color w:val="000000"/>
          <w:sz w:val="24"/>
          <w:szCs w:val="24"/>
          <w:vertAlign w:val="superscript"/>
        </w:rPr>
        <w:footnoteReference w:id="200"/>
      </w:r>
      <w:r>
        <w:rPr>
          <w:rFonts w:ascii="Arial" w:eastAsia="Arial" w:hAnsi="Arial" w:cs="Arial"/>
          <w:color w:val="000000"/>
          <w:sz w:val="24"/>
          <w:szCs w:val="24"/>
        </w:rPr>
        <w:t xml:space="preserve"> La elección de la clase no está determinada por los datos, de modo que la probabilidad resultante depende de una decisión previa no justificada epistémicamente. Por ello la probabilidad estadística no dice nada, por sí sola, sobre la ocurrencia de un evento individual. Susan Haack llega a una conclusión convergente desde la epistemología. La autora sostiene que los estándares de prueba se entienden mejor como grados en que las pruebas deben avalar la conclusión, y que esos grados de aval no pueden identificarse con probabilidades matemáticas.</w:t>
      </w:r>
      <w:r>
        <w:rPr>
          <w:rFonts w:ascii="Arial" w:eastAsia="Arial" w:hAnsi="Arial" w:cs="Arial"/>
          <w:color w:val="000000"/>
          <w:sz w:val="24"/>
          <w:szCs w:val="24"/>
          <w:vertAlign w:val="superscript"/>
        </w:rPr>
        <w:footnoteReference w:id="201"/>
      </w:r>
      <w:r>
        <w:rPr>
          <w:rFonts w:ascii="Arial" w:eastAsia="Arial" w:hAnsi="Arial" w:cs="Arial"/>
          <w:color w:val="000000"/>
          <w:sz w:val="24"/>
          <w:szCs w:val="24"/>
        </w:rPr>
        <w:t xml:space="preserve"> De esa tesis se sigue, en su criterio, que el probabilismo jurídico es erróneo, entendido como la identificación de los grados de prueba con las probabilidades del cálculo matemático. La autora precisa que los usos epistemológico y estadístico del término probable son relevantemente diferentes.</w:t>
      </w:r>
      <w:r>
        <w:rPr>
          <w:rFonts w:ascii="Arial" w:eastAsia="Arial" w:hAnsi="Arial" w:cs="Arial"/>
          <w:color w:val="000000"/>
          <w:sz w:val="24"/>
          <w:szCs w:val="24"/>
          <w:vertAlign w:val="superscript"/>
        </w:rPr>
        <w:footnoteReference w:id="202"/>
      </w:r>
    </w:p>
    <w:p>
      <w:pPr>
        <w:spacing w:before="0" w:after="0" w:line="360" w:lineRule="auto"/>
        <w:ind w:firstLine="709"/>
        <w:jc w:val="both"/>
      </w:pPr>
      <w:r>
        <w:rPr>
          <w:rFonts w:ascii="Arial" w:eastAsia="Arial" w:hAnsi="Arial" w:cs="Arial"/>
          <w:color w:val="000000"/>
          <w:sz w:val="24"/>
          <w:szCs w:val="24"/>
        </w:rPr>
        <w:t xml:space="preserve">La diferencia entre el uso epistemológico y el uso estadístico de lo probable explica por qué la cuantificación del umbral desplaza el problema sin resolverlo. Ferrer Beltrán adopta como alternativa la probabilidad inductiva de tipo baconiano desarrollada por L. J. Cohen. Esta probabilidad es ordinal y no numérica, y permite afirmar que una hipótesis está más corroborada que otra sin asignarle un valor métrico.</w:t>
      </w:r>
      <w:r>
        <w:rPr>
          <w:rFonts w:ascii="Arial" w:eastAsia="Arial" w:hAnsi="Arial" w:cs="Arial"/>
          <w:color w:val="000000"/>
          <w:sz w:val="24"/>
          <w:szCs w:val="24"/>
          <w:vertAlign w:val="superscript"/>
        </w:rPr>
        <w:footnoteReference w:id="203"/>
      </w:r>
      <w:r>
        <w:rPr>
          <w:rFonts w:ascii="Arial" w:eastAsia="Arial" w:hAnsi="Arial" w:cs="Arial"/>
          <w:color w:val="000000"/>
          <w:sz w:val="24"/>
          <w:szCs w:val="24"/>
        </w:rPr>
        <w:t xml:space="preserve"> En ella no rigen los principios de complementariedad para la negación ni de multiplicación para la conjunción. La razón es que la probabilidad baconiana no mide una frecuencia relativa ni la fuerza de una creencia, sino la fiabilidad de la inferencia. La consecuencia más relevante se refiere a la conjunción de hipótesis. En el cálculo matemático, la probabilidad de la conjunción de sucesos independientes es el producto de sus probabilidades y, por tanto, menor que cada una de ellas. La probabilidad baconiana trata la conjunción de un modo distinto y más adecuado para la prueba judicial.</w:t>
      </w:r>
    </w:p>
    <w:p>
      <w:pPr>
        <w:spacing w:before="0" w:after="0" w:line="360" w:lineRule="auto"/>
        <w:ind w:firstLine="709"/>
        <w:jc w:val="both"/>
      </w:pPr>
      <w:r>
        <w:rPr>
          <w:rFonts w:ascii="Arial" w:eastAsia="Arial" w:hAnsi="Arial" w:cs="Arial"/>
          <w:color w:val="000000"/>
          <w:sz w:val="24"/>
          <w:szCs w:val="24"/>
        </w:rPr>
        <w:t xml:space="preserve">En la probabilidad baconiana, el apoyo inductivo de la conjunción de dos hipótesis equivale al de aquella que tenga menor apoyo.</w:t>
      </w:r>
      <w:r>
        <w:rPr>
          <w:rFonts w:ascii="Arial" w:eastAsia="Arial" w:hAnsi="Arial" w:cs="Arial"/>
          <w:color w:val="000000"/>
          <w:sz w:val="24"/>
          <w:szCs w:val="24"/>
          <w:vertAlign w:val="superscript"/>
        </w:rPr>
        <w:footnoteReference w:id="204"/>
      </w:r>
      <w:r>
        <w:rPr>
          <w:rFonts w:ascii="Arial" w:eastAsia="Arial" w:hAnsi="Arial" w:cs="Arial"/>
          <w:color w:val="000000"/>
          <w:sz w:val="24"/>
          <w:szCs w:val="24"/>
        </w:rPr>
        <w:t xml:space="preserve"> Ferrer Beltrán ilustra esa regla con el delito de estafa. En ese delito deben probarse el engaño y el menoscabo patrimonial. La probabilidad de que se hayan dado ambos elementos es igual a la del elemento menos corroborado. Esta regla evita la paradoja según la cual tres elementos probados cada uno con una probabilidad de 0.7 arrojarían una probabilidad conjunta de apenas 0.343. Haack ofrece un ejemplo equivalente y advierte que tres elementos independientes establecidos cada uno con una probabilidad de 0.51 tendrían una probabilidad conjunta de apenas 0.13.</w:t>
      </w:r>
      <w:r>
        <w:rPr>
          <w:rFonts w:ascii="Arial" w:eastAsia="Arial" w:hAnsi="Arial" w:cs="Arial"/>
          <w:color w:val="000000"/>
          <w:sz w:val="24"/>
          <w:szCs w:val="24"/>
          <w:vertAlign w:val="superscript"/>
        </w:rPr>
        <w:footnoteReference w:id="205"/>
      </w:r>
      <w:r>
        <w:rPr>
          <w:rFonts w:ascii="Arial" w:eastAsia="Arial" w:hAnsi="Arial" w:cs="Arial"/>
          <w:color w:val="000000"/>
          <w:sz w:val="24"/>
          <w:szCs w:val="24"/>
        </w:rPr>
        <w:t xml:space="preserve"> Ese resultado haría casi imposible probar cualquier hecho complejo. Haack lleva el argumento un paso más allá que Cohen y admite que la conjunción puede tener un aval superior al de sus componentes.</w:t>
      </w:r>
    </w:p>
    <w:p>
      <w:pPr>
        <w:spacing w:before="0" w:after="0" w:line="360" w:lineRule="auto"/>
        <w:ind w:firstLine="709"/>
        <w:jc w:val="both"/>
      </w:pPr>
      <w:r>
        <w:rPr>
          <w:rFonts w:ascii="Arial" w:eastAsia="Arial" w:hAnsi="Arial" w:cs="Arial"/>
          <w:color w:val="000000"/>
          <w:sz w:val="24"/>
          <w:szCs w:val="24"/>
        </w:rPr>
        <w:t xml:space="preserve">Haack sostiene que el grado de aval de una conjunción puede ser más alto que el de sus componentes. Las pruebas se entrelazan, según la autora, como las pistas y las entradas de un crucigrama.</w:t>
      </w:r>
      <w:r>
        <w:rPr>
          <w:rFonts w:ascii="Arial" w:eastAsia="Arial" w:hAnsi="Arial" w:cs="Arial"/>
          <w:color w:val="000000"/>
          <w:sz w:val="24"/>
          <w:szCs w:val="24"/>
          <w:vertAlign w:val="superscript"/>
        </w:rPr>
        <w:footnoteReference w:id="206"/>
      </w:r>
      <w:r>
        <w:rPr>
          <w:rFonts w:ascii="Arial" w:eastAsia="Arial" w:hAnsi="Arial" w:cs="Arial"/>
          <w:color w:val="000000"/>
          <w:sz w:val="24"/>
          <w:szCs w:val="24"/>
        </w:rPr>
        <w:t xml:space="preserve"> Esta tesis no coincide exactamente con la regla de Cohen, pues admite que la combinación de pruebas incremente el aval de la conclusión. La propia autora matiza que esa combinación no siempre es más fuerte que sus componentes, sino que a veces lo es.</w:t>
      </w:r>
      <w:r>
        <w:rPr>
          <w:rFonts w:ascii="Arial" w:eastAsia="Arial" w:hAnsi="Arial" w:cs="Arial"/>
          <w:color w:val="000000"/>
          <w:sz w:val="24"/>
          <w:szCs w:val="24"/>
          <w:vertAlign w:val="superscript"/>
        </w:rPr>
        <w:footnoteReference w:id="207"/>
      </w:r>
      <w:r>
        <w:rPr>
          <w:rFonts w:ascii="Arial" w:eastAsia="Arial" w:hAnsi="Arial" w:cs="Arial"/>
          <w:color w:val="000000"/>
          <w:sz w:val="24"/>
          <w:szCs w:val="24"/>
        </w:rPr>
        <w:t xml:space="preserve"> La divergencia importa para la prueba indiciaria, cuya fuerza depende precisamente de la convergencia de indicios independientes. Ambas posiciones coinciden, con todo, en rechazar la regla multiplicativa como modelo de la prueba judicial y en formular el estándar mediante relaciones cualitativas de apoyo. Para el propósito de esta investigación basta retener que el tercer requisito excluye los umbrales numéricos y exige criterios compatibles con la convergencia de pruebas. La probabilidad inductiva requiere, sin embargo, un método que permita medirla.</w:t>
      </w:r>
    </w:p>
    <w:p>
      <w:pPr>
        <w:spacing w:before="0" w:after="0" w:line="360" w:lineRule="auto"/>
        <w:ind w:firstLine="709"/>
        <w:jc w:val="both"/>
      </w:pPr>
      <w:r>
        <w:rPr>
          <w:rFonts w:ascii="Arial" w:eastAsia="Arial" w:hAnsi="Arial" w:cs="Arial"/>
          <w:color w:val="000000"/>
          <w:sz w:val="24"/>
          <w:szCs w:val="24"/>
        </w:rPr>
        <w:t xml:space="preserve">Ferrer Beltrán articula la probabilidad inductiva con el método de la inducción eliminativa. El autor ilustra ese método con la investigación de Semmelweis sobre la fiebre puerperal, en la que las hipótesis rivales fueron descartadas mediante predicciones contrastables.</w:t>
      </w:r>
      <w:r>
        <w:rPr>
          <w:rFonts w:ascii="Arial" w:eastAsia="Arial" w:hAnsi="Arial" w:cs="Arial"/>
          <w:color w:val="000000"/>
          <w:sz w:val="24"/>
          <w:szCs w:val="24"/>
          <w:vertAlign w:val="superscript"/>
        </w:rPr>
        <w:footnoteReference w:id="208"/>
      </w:r>
      <w:r>
        <w:rPr>
          <w:rFonts w:ascii="Arial" w:eastAsia="Arial" w:hAnsi="Arial" w:cs="Arial"/>
          <w:color w:val="000000"/>
          <w:sz w:val="24"/>
          <w:szCs w:val="24"/>
        </w:rPr>
        <w:t xml:space="preserve"> La estructura del razonamiento consiste en derivar de la hipótesis, junto con supuestos auxiliares y condiciones iniciales, una predicción cuya verificación o falsación permite evaluarla. Cuantos más pasos de este tipo se hayan dado y más hipótesis rivales hayan sido eliminadas, mayor será la corroboración de la hipótesis sobreviviente.</w:t>
      </w:r>
      <w:r>
        <w:rPr>
          <w:rFonts w:ascii="Arial" w:eastAsia="Arial" w:hAnsi="Arial" w:cs="Arial"/>
          <w:color w:val="000000"/>
          <w:sz w:val="24"/>
          <w:szCs w:val="24"/>
          <w:vertAlign w:val="superscript"/>
        </w:rPr>
        <w:footnoteReference w:id="209"/>
      </w:r>
      <w:r>
        <w:rPr>
          <w:rFonts w:ascii="Arial" w:eastAsia="Arial" w:hAnsi="Arial" w:cs="Arial"/>
          <w:color w:val="000000"/>
          <w:sz w:val="24"/>
          <w:szCs w:val="24"/>
        </w:rPr>
        <w:t xml:space="preserve"> El grado de corroboración así obtenido constituye la probabilidad inductiva de la hipótesis. Por consiguiente, el estándar de prueba debe indicar en qué escalón de esa escala de soporte inductivo puede considerarse probada una hipótesis en un tipo de proceso determinado. La escala de soporte inductivo guarda una afinidad estrecha con la estructura de la prueba indiciaria. Esa afinidad se advierte en la tipología de indicios construida a partir de las hipótesis alternativas.</w:t>
      </w:r>
    </w:p>
    <w:p>
      <w:pPr>
        <w:spacing w:before="0" w:after="0" w:line="360" w:lineRule="auto"/>
        <w:ind w:firstLine="709"/>
        <w:jc w:val="both"/>
      </w:pPr>
      <w:r>
        <w:rPr>
          <w:rFonts w:ascii="Arial" w:eastAsia="Arial" w:hAnsi="Arial" w:cs="Arial"/>
          <w:color w:val="000000"/>
          <w:sz w:val="24"/>
          <w:szCs w:val="24"/>
        </w:rPr>
        <w:t xml:space="preserve">La prueba indiciaria comparte con la inducción eliminativa la lógica de descartar explicaciones rivales. Igartua Salaverría gradúa la eficacia de los indicios según las hipótesis alternativas que dejan abiertas.</w:t>
      </w:r>
      <w:r>
        <w:rPr>
          <w:rFonts w:ascii="Arial" w:eastAsia="Arial" w:hAnsi="Arial" w:cs="Arial"/>
          <w:color w:val="000000"/>
          <w:sz w:val="24"/>
          <w:szCs w:val="24"/>
          <w:vertAlign w:val="superscript"/>
        </w:rPr>
        <w:footnoteReference w:id="210"/>
      </w:r>
      <w:r>
        <w:rPr>
          <w:rFonts w:ascii="Arial" w:eastAsia="Arial" w:hAnsi="Arial" w:cs="Arial"/>
          <w:color w:val="000000"/>
          <w:sz w:val="24"/>
          <w:szCs w:val="24"/>
        </w:rPr>
        <w:t xml:space="preserve"> Esa gradación va desde los indicios equiprobables hasta los indicios necesarios, que excluyen cualquier alternativa. Cada escalón de esa tipología corresponde a un grado mayor de eliminación de hipótesis rivales. La coincidencia entre ambas escalas no es casual, porque las dos miden la fiabilidad de la inferencia por el número de alternativas descartadas. En consecuencia, el tercer requisito ofrece el lenguaje conceptual adecuado para formular estándares aplicables a los indicios. Un estándar formulado en ese lenguaje puede exigir, por ejemplo, la eliminación de las hipótesis alternativas plausibles antes de tener por probada la irregularidad. Ese lenguaje cualitativo debe articularse con los demás estándares que rigen un mismo procedimiento, y esa articulación es el objeto del cuarto requisito.</w:t>
      </w:r>
    </w:p>
    <w:p>
      <w:pPr>
        <w:spacing w:before="0" w:after="0" w:line="360" w:lineRule="auto"/>
        <w:ind w:firstLine="709"/>
        <w:jc w:val="both"/>
      </w:pPr>
      <w:r>
        <w:rPr>
          <w:rFonts w:ascii="Arial" w:eastAsia="Arial" w:hAnsi="Arial" w:cs="Arial"/>
          <w:color w:val="000000"/>
          <w:sz w:val="24"/>
          <w:szCs w:val="24"/>
        </w:rPr>
        <w:t xml:space="preserve">El cuarto requisito no se refiere a un estándar aislado, sino a la relación entre los diversos estándares previstos para un mismo procedimiento. Ferrer Beltrán parte de que en todo proceso deben adoptarse múltiples decisiones sobre los hechos, y no solo la decisión final.</w:t>
      </w:r>
      <w:r>
        <w:rPr>
          <w:rFonts w:ascii="Arial" w:eastAsia="Arial" w:hAnsi="Arial" w:cs="Arial"/>
          <w:color w:val="000000"/>
          <w:sz w:val="24"/>
          <w:szCs w:val="24"/>
          <w:vertAlign w:val="superscript"/>
        </w:rPr>
        <w:footnoteReference w:id="211"/>
      </w:r>
      <w:r>
        <w:rPr>
          <w:rFonts w:ascii="Arial" w:eastAsia="Arial" w:hAnsi="Arial" w:cs="Arial"/>
          <w:color w:val="000000"/>
          <w:sz w:val="24"/>
          <w:szCs w:val="24"/>
        </w:rPr>
        <w:t xml:space="preserve"> El autor sostiene que el grado de exigencia de los estándares aplicables a distintas fases debe seguir una tendencia ascendente. En el proceso penal, la exigencia para no sobreseer durante la instrucción debe ser inferior a la requerida para abrir juicio oral, y esta inferior a la exigida para condenar.</w:t>
      </w:r>
      <w:r>
        <w:rPr>
          <w:rFonts w:ascii="Arial" w:eastAsia="Arial" w:hAnsi="Arial" w:cs="Arial"/>
          <w:color w:val="000000"/>
          <w:sz w:val="24"/>
          <w:szCs w:val="24"/>
          <w:vertAlign w:val="superscript"/>
        </w:rPr>
        <w:footnoteReference w:id="212"/>
      </w:r>
      <w:r>
        <w:rPr>
          <w:rFonts w:ascii="Arial" w:eastAsia="Arial" w:hAnsi="Arial" w:cs="Arial"/>
          <w:color w:val="000000"/>
          <w:sz w:val="24"/>
          <w:szCs w:val="24"/>
        </w:rPr>
        <w:t xml:space="preserve"> La razón de esa progresión es epistémica antes que política. En un estadio inicial el juez no dispone todavía de todas las pruebas relevantes, y esas pruebas no han sido practicadas en contradicción. Por ello no es exigible un estándar de máxima exigencia en las primeras fases del proceso.</w:t>
      </w:r>
      <w:r>
        <w:rPr>
          <w:rFonts w:ascii="Arial" w:eastAsia="Arial" w:hAnsi="Arial" w:cs="Arial"/>
          <w:color w:val="000000"/>
          <w:sz w:val="24"/>
          <w:szCs w:val="24"/>
          <w:vertAlign w:val="superscript"/>
        </w:rPr>
        <w:footnoteReference w:id="213"/>
      </w:r>
      <w:r>
        <w:rPr>
          <w:rFonts w:ascii="Arial" w:eastAsia="Arial" w:hAnsi="Arial" w:cs="Arial"/>
          <w:color w:val="000000"/>
          <w:sz w:val="24"/>
          <w:szCs w:val="24"/>
        </w:rPr>
        <w:t xml:space="preserve"> La progresión ascendente impone al legislador un orden preciso para fijar los distintos umbrales.</w:t>
      </w:r>
    </w:p>
    <w:p>
      <w:pPr>
        <w:spacing w:before="0" w:after="0" w:line="360" w:lineRule="auto"/>
        <w:ind w:firstLine="709"/>
        <w:jc w:val="both"/>
      </w:pPr>
      <w:r>
        <w:rPr>
          <w:rFonts w:ascii="Arial" w:eastAsia="Arial" w:hAnsi="Arial" w:cs="Arial"/>
          <w:color w:val="000000"/>
          <w:sz w:val="24"/>
          <w:szCs w:val="24"/>
        </w:rPr>
        <w:t xml:space="preserve">El legislador debe determinar primero el grado de exigencia para la decisión final. A partir de ese grado, el legislador debe ordenar en progresiva disminución los estándares de las decisiones intermedias. Esa ordenación debe considerar la relativa gravedad de los errores de cada decisión. Una condena errónea no cuesta lo mismo que una prisión preventiva, una suspensión de derechos o un embargo preventivo. Por consiguiente, cada decisión intermedia requiere un umbral proporcionado al daño que su error puede causar. Ferrer Beltrán advierte que las decisiones intermedias pueden generar un sesgo favorable a reiterar el mismo resultado probatorio en decisiones posteriores.</w:t>
      </w:r>
      <w:r>
        <w:rPr>
          <w:rFonts w:ascii="Arial" w:eastAsia="Arial" w:hAnsi="Arial" w:cs="Arial"/>
          <w:color w:val="000000"/>
          <w:sz w:val="24"/>
          <w:szCs w:val="24"/>
          <w:vertAlign w:val="superscript"/>
        </w:rPr>
        <w:footnoteReference w:id="214"/>
      </w:r>
      <w:r>
        <w:rPr>
          <w:rFonts w:ascii="Arial" w:eastAsia="Arial" w:hAnsi="Arial" w:cs="Arial"/>
          <w:color w:val="000000"/>
          <w:sz w:val="24"/>
          <w:szCs w:val="24"/>
        </w:rPr>
        <w:t xml:space="preserve"> Ese sesgo exige que cada estándar se aplique con independencia de lo resuelto en las fases anteriores. La progresión de estándares completa la estructura formal de un estándar válido y prepara el examen de su función distributiva.</w:t>
      </w:r>
    </w:p>
    <w:p>
      <w:pPr>
        <w:spacing w:before="0" w:after="0" w:line="360" w:lineRule="auto"/>
        <w:ind w:firstLine="709"/>
        <w:jc w:val="both"/>
      </w:pPr>
      <w:r>
        <w:rPr>
          <w:rFonts w:ascii="Arial" w:eastAsia="Arial" w:hAnsi="Arial" w:cs="Arial"/>
          <w:color w:val="000000"/>
          <w:sz w:val="24"/>
          <w:szCs w:val="24"/>
        </w:rPr>
        <w:t xml:space="preserve">El cuarto requisito tiene proyección directa sobre el contencioso electoral, aunque su estructura procesal difiera de la penal. Los medios de impugnación exigen decisiones sobre los hechos en momentos distintos, como la admisión de la demanda, el dictado de medidas cautelares, la valoración de pruebas supervenientes y la sentencia de fondo. El artículo 16, párrafo 4, de la ley de medios regula, por ejemplo, la admisión de pruebas supervenientes antes del cierre de la instrucción.</w:t>
      </w:r>
      <w:r>
        <w:rPr>
          <w:rFonts w:ascii="Arial" w:eastAsia="Arial" w:hAnsi="Arial" w:cs="Arial"/>
          <w:color w:val="000000"/>
          <w:sz w:val="24"/>
          <w:szCs w:val="24"/>
          <w:vertAlign w:val="superscript"/>
        </w:rPr>
        <w:footnoteReference w:id="215"/>
      </w:r>
      <w:r>
        <w:rPr>
          <w:rFonts w:ascii="Arial" w:eastAsia="Arial" w:hAnsi="Arial" w:cs="Arial"/>
          <w:color w:val="000000"/>
          <w:sz w:val="24"/>
          <w:szCs w:val="24"/>
        </w:rPr>
        <w:t xml:space="preserve"> Ninguna de esas decisiones cuenta con un estándar explícito. Por ello no puede verificarse si esas decisiones guardan entre sí la progresión exigida. La ausencia de estándares intermedios impide distinguir entre la exigencia para suspender provisionalmente un acto y la exigencia para anular una elección. Esa indistinción coloca en el mismo plano decisiones cuyo error produce daños de magnitud muy diferente. La crítica de Ferrer Beltrán a la tesis del concepto único de prueba precisa la gravedad de esta omisión.</w:t>
      </w:r>
    </w:p>
    <w:p>
      <w:pPr>
        <w:spacing w:before="0" w:after="0" w:line="360" w:lineRule="auto"/>
        <w:ind w:firstLine="709"/>
        <w:jc w:val="both"/>
      </w:pPr>
      <w:r>
        <w:rPr>
          <w:rFonts w:ascii="Arial" w:eastAsia="Arial" w:hAnsi="Arial" w:cs="Arial"/>
          <w:color w:val="000000"/>
          <w:sz w:val="24"/>
          <w:szCs w:val="24"/>
        </w:rPr>
        <w:t xml:space="preserve">Ferrer Beltrán sostiene que Ferrua se equivoca al postular un único concepto de prueba para todas las decisiones.</w:t>
      </w:r>
      <w:r>
        <w:rPr>
          <w:rFonts w:ascii="Arial" w:eastAsia="Arial" w:hAnsi="Arial" w:cs="Arial"/>
          <w:color w:val="000000"/>
          <w:sz w:val="24"/>
          <w:szCs w:val="24"/>
          <w:vertAlign w:val="superscript"/>
        </w:rPr>
        <w:footnoteReference w:id="216"/>
      </w:r>
      <w:r>
        <w:rPr>
          <w:rFonts w:ascii="Arial" w:eastAsia="Arial" w:hAnsi="Arial" w:cs="Arial"/>
          <w:color w:val="000000"/>
          <w:sz w:val="24"/>
          <w:szCs w:val="24"/>
        </w:rPr>
        <w:t xml:space="preserve"> Esa tesis ignora que cada decisión se adopta con un acervo distinto y con consecuencias distintas. Si la exigencia fuese única, las decisiones iniciales se volverían de cumplimiento imposible o la decisión final se tornaría indebidamente laxa. Ambos resultados son inaceptables para un sistema que pretenda decidir con racionalidad. En materia electoral, la plena acreditación exigida para la nulidad no puede trasladarse sin más a otras decisiones del procedimiento. La exigencia final no puede rebajarse por el hecho de que las decisiones previas se hayan adoptado con estándares menos exigentes. Por consiguiente, el sistema electoral requiere una escala de estándares diferenciados y ordenados de manera ascendente. Esa escala, como los demás requisitos, no determina por sí misma dónde debe situarse cada umbral, y esa determinación remite a la función distributiva del estándar.</w:t>
      </w:r>
    </w:p>
    <w:p>
      <w:pPr>
        <w:spacing w:before="0" w:after="0" w:line="360" w:lineRule="auto"/>
        <w:ind w:firstLine="709"/>
        <w:jc w:val="both"/>
      </w:pPr>
      <w:r>
        <w:rPr>
          <w:rFonts w:ascii="Arial" w:eastAsia="Arial" w:hAnsi="Arial" w:cs="Arial"/>
          <w:color w:val="000000"/>
          <w:sz w:val="24"/>
          <w:szCs w:val="24"/>
        </w:rPr>
        <w:t xml:space="preserve">Los cuatro requisitos expuestos son condiciones metodológicas y, como tales, no determinan dónde debe situarse el umbral. Esa determinación corresponde a la tercera función de los estándares, que consiste en distribuir entre las partes el riesgo del error. Ferrer Beltrán precisa que las dos primeras funciones, servir de criterio de justificación y de garantía para las partes, no dependen del nivel concreto de exigencia.</w:t>
      </w:r>
      <w:r>
        <w:rPr>
          <w:rFonts w:ascii="Arial" w:eastAsia="Arial" w:hAnsi="Arial" w:cs="Arial"/>
          <w:color w:val="000000"/>
          <w:sz w:val="24"/>
          <w:szCs w:val="24"/>
          <w:vertAlign w:val="superscript"/>
        </w:rPr>
        <w:footnoteReference w:id="217"/>
      </w:r>
      <w:r>
        <w:rPr>
          <w:rFonts w:ascii="Arial" w:eastAsia="Arial" w:hAnsi="Arial" w:cs="Arial"/>
          <w:color w:val="000000"/>
          <w:sz w:val="24"/>
          <w:szCs w:val="24"/>
        </w:rPr>
        <w:t xml:space="preserve"> Esas dos funciones se cumplen por la mera existencia de un estándar que satisfaga los requisitos metodológicos. La distribución del riesgo es consecuencia del umbral concreto fijado por cada estándar. Las limitaciones epistémicas del razonamiento sobre los hechos solo permiten atribuir a las hipótesis una cierta probabilidad inductiva. En consecuencia, la posibilidad del error nunca desaparece del todo. La magnitud de ese riesgo y su reparto entre las partes dependen del lugar en que el legislador sitúe el umbral de cada decisión.</w:t>
      </w:r>
    </w:p>
    <w:p>
      <w:pPr>
        <w:spacing w:before="0" w:after="0" w:line="360" w:lineRule="auto"/>
        <w:ind w:firstLine="709"/>
        <w:jc w:val="both"/>
      </w:pPr>
      <w:r>
        <w:rPr>
          <w:rFonts w:ascii="Arial" w:eastAsia="Arial" w:hAnsi="Arial" w:cs="Arial"/>
          <w:color w:val="000000"/>
          <w:sz w:val="24"/>
          <w:szCs w:val="24"/>
        </w:rPr>
        <w:t xml:space="preserve">Elevar el umbral disminuye el riesgo de condenas falsas, pero aumenta el de absoluciones falsas, y a la inversa.</w:t>
      </w:r>
      <w:r>
        <w:rPr>
          <w:rFonts w:ascii="Arial" w:eastAsia="Arial" w:hAnsi="Arial" w:cs="Arial"/>
          <w:color w:val="000000"/>
          <w:sz w:val="24"/>
          <w:szCs w:val="24"/>
          <w:vertAlign w:val="superscript"/>
        </w:rPr>
        <w:footnoteReference w:id="218"/>
      </w:r>
      <w:r>
        <w:rPr>
          <w:rFonts w:ascii="Arial" w:eastAsia="Arial" w:hAnsi="Arial" w:cs="Arial"/>
          <w:color w:val="000000"/>
          <w:sz w:val="24"/>
          <w:szCs w:val="24"/>
        </w:rPr>
        <w:t xml:space="preserve"> Esa relación inversa convierte la fijación del umbral en una elección entre dos clases de error. La pregunta sobre qué parte debe soportar en mayor medida ese riesgo es, según Ferrer Beltrán, la decisión política que debe expresarse en los estándares de prueba. Laudan había planteado la misma cuestión en términos de la ratio de errores que una sociedad está dispuesta a tolerar.</w:t>
      </w:r>
      <w:r>
        <w:rPr>
          <w:rFonts w:ascii="Arial" w:eastAsia="Arial" w:hAnsi="Arial" w:cs="Arial"/>
          <w:color w:val="000000"/>
          <w:sz w:val="24"/>
          <w:szCs w:val="24"/>
          <w:vertAlign w:val="superscript"/>
        </w:rPr>
        <w:footnoteReference w:id="219"/>
      </w:r>
      <w:r>
        <w:rPr>
          <w:rFonts w:ascii="Arial" w:eastAsia="Arial" w:hAnsi="Arial" w:cs="Arial"/>
          <w:color w:val="000000"/>
          <w:sz w:val="24"/>
          <w:szCs w:val="24"/>
        </w:rPr>
        <w:t xml:space="preserve"> El énfasis exclusivo en esta tercera función encierra, sin embargo, un riesgo teórico. La doctrina mayoritaria, especialmente la anglosajona, ha focalizado su atención en la función distributiva de los estándares.</w:t>
      </w:r>
      <w:r>
        <w:rPr>
          <w:rFonts w:ascii="Arial" w:eastAsia="Arial" w:hAnsi="Arial" w:cs="Arial"/>
          <w:color w:val="000000"/>
          <w:sz w:val="24"/>
          <w:szCs w:val="24"/>
          <w:vertAlign w:val="superscript"/>
        </w:rPr>
        <w:footnoteReference w:id="220"/>
      </w:r>
      <w:r>
        <w:rPr>
          <w:rFonts w:ascii="Arial" w:eastAsia="Arial" w:hAnsi="Arial" w:cs="Arial"/>
          <w:color w:val="000000"/>
          <w:sz w:val="24"/>
          <w:szCs w:val="24"/>
        </w:rPr>
        <w:t xml:space="preserve"> Ferrer Beltrán considera que esa focalización es una de las equivocaciones que deben destacarse. El error consiste en oscurecer el papel de los estándares como criterio de justificación de las decisiones y como garantía para las partes.</w:t>
      </w:r>
    </w:p>
    <w:p>
      <w:pPr>
        <w:spacing w:before="0" w:after="0" w:line="360" w:lineRule="auto"/>
        <w:ind w:firstLine="709"/>
        <w:jc w:val="both"/>
      </w:pPr>
      <w:r>
        <w:rPr>
          <w:rFonts w:ascii="Arial" w:eastAsia="Arial" w:hAnsi="Arial" w:cs="Arial"/>
          <w:color w:val="000000"/>
          <w:sz w:val="24"/>
          <w:szCs w:val="24"/>
        </w:rPr>
        <w:t xml:space="preserve">La focalización en la función distributiva olvida que disponer de estándares correctamente formulados es parte sustancial del debido proceso. Si el estándar se concibe solo como un instrumento para repartir errores, podría aceptarse cualquier fórmula que produzca la distribución deseada. Esa fórmula podría ser aceptable aunque no permitiera controlar la decisión individual. Los requisitos metodológicos impiden esa reducción, porque exigen que el estándar sirva ante todo para justificar y controlar cada decisión concreta. Ferrer Beltrán añade que la única política capaz de reducir simultáneamente ambos tipos de error es mejorar el peso de los acervos probatorios y la formación en razonamiento probatorio de los operadores.</w:t>
      </w:r>
      <w:r>
        <w:rPr>
          <w:rFonts w:ascii="Arial" w:eastAsia="Arial" w:hAnsi="Arial" w:cs="Arial"/>
          <w:color w:val="000000"/>
          <w:sz w:val="24"/>
          <w:szCs w:val="24"/>
          <w:vertAlign w:val="superscript"/>
        </w:rPr>
        <w:footnoteReference w:id="221"/>
      </w:r>
      <w:r>
        <w:rPr>
          <w:rFonts w:ascii="Arial" w:eastAsia="Arial" w:hAnsi="Arial" w:cs="Arial"/>
          <w:color w:val="000000"/>
          <w:sz w:val="24"/>
          <w:szCs w:val="24"/>
        </w:rPr>
        <w:t xml:space="preserve"> Esta observación relativiza la eficacia del estándar como instrumento de política pública. El estándar distribuye el riesgo, pero no disminuye por sí mismo la cantidad total de errores. La distribución del riesgo exige, por ello, razones explícitas para situar el umbral en un punto determinado.</w:t>
      </w:r>
    </w:p>
    <w:p>
      <w:pPr>
        <w:spacing w:before="0" w:after="0" w:line="360" w:lineRule="auto"/>
        <w:ind w:firstLine="709"/>
        <w:jc w:val="both"/>
      </w:pPr>
      <w:r>
        <w:rPr>
          <w:rFonts w:ascii="Arial" w:eastAsia="Arial" w:hAnsi="Arial" w:cs="Arial"/>
          <w:color w:val="000000"/>
          <w:sz w:val="24"/>
          <w:szCs w:val="24"/>
        </w:rPr>
        <w:t xml:space="preserve">La fijación del umbral es una decisión política, pero no arbitraria. Ferrer Beltrán sostiene, siguiendo a Dworkin, que esa decisión debe tratar a todos los ciudadanos como iguales y respetar los compromisos asumidos.</w:t>
      </w:r>
      <w:r>
        <w:rPr>
          <w:rFonts w:ascii="Arial" w:eastAsia="Arial" w:hAnsi="Arial" w:cs="Arial"/>
          <w:color w:val="000000"/>
          <w:sz w:val="24"/>
          <w:szCs w:val="24"/>
          <w:vertAlign w:val="superscript"/>
        </w:rPr>
        <w:footnoteReference w:id="222"/>
      </w:r>
      <w:r>
        <w:rPr>
          <w:rFonts w:ascii="Arial" w:eastAsia="Arial" w:hAnsi="Arial" w:cs="Arial"/>
          <w:color w:val="000000"/>
          <w:sz w:val="24"/>
          <w:szCs w:val="24"/>
        </w:rPr>
        <w:t xml:space="preserve"> La igualdad y la irretroactividad obligan a expresar los estándares en reglas generales. El autor advierte que la decisión se adopta en un contexto de incertidumbre en el sentido de Knight, en el que no es posible medir probabilísticamente el impacto de la decisión.</w:t>
      </w:r>
      <w:r>
        <w:rPr>
          <w:rFonts w:ascii="Arial" w:eastAsia="Arial" w:hAnsi="Arial" w:cs="Arial"/>
          <w:color w:val="000000"/>
          <w:sz w:val="24"/>
          <w:szCs w:val="24"/>
          <w:vertAlign w:val="superscript"/>
        </w:rPr>
        <w:footnoteReference w:id="223"/>
      </w:r>
      <w:r>
        <w:rPr>
          <w:rFonts w:ascii="Arial" w:eastAsia="Arial" w:hAnsi="Arial" w:cs="Arial"/>
          <w:color w:val="000000"/>
          <w:sz w:val="24"/>
          <w:szCs w:val="24"/>
        </w:rPr>
        <w:t xml:space="preserve"> Ningún mecanismo permite cuantificar globalmente los errores judiciales ni desagregarlos entre falsas absoluciones y falsas condenas.</w:t>
      </w:r>
      <w:r>
        <w:rPr>
          <w:rFonts w:ascii="Arial" w:eastAsia="Arial" w:hAnsi="Arial" w:cs="Arial"/>
          <w:color w:val="000000"/>
          <w:sz w:val="24"/>
          <w:szCs w:val="24"/>
          <w:vertAlign w:val="superscript"/>
        </w:rPr>
        <w:footnoteReference w:id="224"/>
      </w:r>
      <w:r>
        <w:rPr>
          <w:rFonts w:ascii="Arial" w:eastAsia="Arial" w:hAnsi="Arial" w:cs="Arial"/>
          <w:color w:val="000000"/>
          <w:sz w:val="24"/>
          <w:szCs w:val="24"/>
        </w:rPr>
        <w:t xml:space="preserve"> Por ello los cálculos de costo y utilidad que pretenden derivar el umbral óptimo carecen de la base empírica que presuponen. La información sobre el sistema no es inútil, pero no establece con certeza relaciones causales entre estándares y resultados. En consecuencia, la decisión sobre el umbral debe apoyarse en razones sustantivas explícitas, y el autor propone una lista abierta de seis razones.</w:t>
      </w:r>
      <w:r>
        <w:rPr>
          <w:rFonts w:ascii="Arial" w:eastAsia="Arial" w:hAnsi="Arial" w:cs="Arial"/>
          <w:color w:val="000000"/>
          <w:sz w:val="24"/>
          <w:szCs w:val="24"/>
          <w:vertAlign w:val="superscript"/>
        </w:rPr>
        <w:footnoteReference w:id="225"/>
      </w:r>
    </w:p>
    <w:p>
      <w:pPr>
        <w:spacing w:before="0" w:after="0" w:line="360" w:lineRule="auto"/>
        <w:ind w:firstLine="709"/>
        <w:jc w:val="both"/>
      </w:pPr>
      <w:r>
        <w:rPr>
          <w:rFonts w:ascii="Arial" w:eastAsia="Arial" w:hAnsi="Arial" w:cs="Arial"/>
          <w:color w:val="000000"/>
          <w:sz w:val="24"/>
          <w:szCs w:val="24"/>
        </w:rPr>
        <w:t xml:space="preserve">Las razones de Ferrer Beltrán producen varias consecuencias para el diseño de estándares. La primera consecuencia es que la gravedad del error depende de la importancia del bien afectado y del grado de su afectación. Los costos de la condena falsa son relativos al tipo de consecuencia jurídica y no a la jurisdicción.</w:t>
      </w:r>
      <w:r>
        <w:rPr>
          <w:rFonts w:ascii="Arial" w:eastAsia="Arial" w:hAnsi="Arial" w:cs="Arial"/>
          <w:color w:val="000000"/>
          <w:sz w:val="24"/>
          <w:szCs w:val="24"/>
          <w:vertAlign w:val="superscript"/>
        </w:rPr>
        <w:footnoteReference w:id="226"/>
      </w:r>
      <w:r>
        <w:rPr>
          <w:rFonts w:ascii="Arial" w:eastAsia="Arial" w:hAnsi="Arial" w:cs="Arial"/>
          <w:color w:val="000000"/>
          <w:sz w:val="24"/>
          <w:szCs w:val="24"/>
        </w:rPr>
        <w:t xml:space="preserve"> El autor ejemplifica que carece de sentido preguntar por un único estándar para el derecho administrativo sancionador, que comprende desde sanciones de tráfico hasta infracciones a la competencia. La segunda consecuencia es que las dificultades probatorias de ciertos tipos de casos pueden justificar un descenso del umbral para evitar que el tipo normativo se vuelva inaplicable.</w:t>
      </w:r>
      <w:r>
        <w:rPr>
          <w:rFonts w:ascii="Arial" w:eastAsia="Arial" w:hAnsi="Arial" w:cs="Arial"/>
          <w:color w:val="000000"/>
          <w:sz w:val="24"/>
          <w:szCs w:val="24"/>
          <w:vertAlign w:val="superscript"/>
        </w:rPr>
        <w:footnoteReference w:id="227"/>
      </w:r>
      <w:r>
        <w:rPr>
          <w:rFonts w:ascii="Arial" w:eastAsia="Arial" w:hAnsi="Arial" w:cs="Arial"/>
          <w:color w:val="000000"/>
          <w:sz w:val="24"/>
          <w:szCs w:val="24"/>
        </w:rPr>
        <w:t xml:space="preserve"> Ferrer Beltrán menciona expresamente los delitos de corrupción, en los que resulta difícil seguir el movimiento del dinero y vincularlo con decisiones políticas. Esa mención resulta relevante para las irregularidades electorales. Las dos consecuencias restantes atañen a razones opuestas y al desequilibrio entre partes.</w:t>
      </w:r>
    </w:p>
    <w:p>
      <w:pPr>
        <w:spacing w:before="0" w:after="0" w:line="360" w:lineRule="auto"/>
        <w:ind w:firstLine="709"/>
        <w:jc w:val="both"/>
      </w:pPr>
      <w:r>
        <w:rPr>
          <w:rFonts w:ascii="Arial" w:eastAsia="Arial" w:hAnsi="Arial" w:cs="Arial"/>
          <w:color w:val="000000"/>
          <w:sz w:val="24"/>
          <w:szCs w:val="24"/>
        </w:rPr>
        <w:t xml:space="preserve">La tercera consecuencia es que pueden concurrir razones opuestas en un mismo tipo de casos. Esa concurrencia ocurre cuando a tipos de difícil prueba se les asignan consecuencias graves.</w:t>
      </w:r>
      <w:r>
        <w:rPr>
          <w:rFonts w:ascii="Arial" w:eastAsia="Arial" w:hAnsi="Arial" w:cs="Arial"/>
          <w:color w:val="000000"/>
          <w:sz w:val="24"/>
          <w:szCs w:val="24"/>
          <w:vertAlign w:val="superscript"/>
        </w:rPr>
        <w:footnoteReference w:id="228"/>
      </w:r>
      <w:r>
        <w:rPr>
          <w:rFonts w:ascii="Arial" w:eastAsia="Arial" w:hAnsi="Arial" w:cs="Arial"/>
          <w:color w:val="000000"/>
          <w:sz w:val="24"/>
          <w:szCs w:val="24"/>
        </w:rPr>
        <w:t xml:space="preserve"> En ese supuesto no hay un método objetivo para ponderar la gravedad de la consecuencia frente a la dificultad de la prueba. Un diseño que combine ambas características corre el riesgo de resultar ineficaz. La cuarta consecuencia es que el desequilibrio de poder entre las partes ya no coincide con la dicotomía entre proceso penal y civil.</w:t>
      </w:r>
      <w:r>
        <w:rPr>
          <w:rFonts w:ascii="Arial" w:eastAsia="Arial" w:hAnsi="Arial" w:cs="Arial"/>
          <w:color w:val="000000"/>
          <w:sz w:val="24"/>
          <w:szCs w:val="24"/>
          <w:vertAlign w:val="superscript"/>
        </w:rPr>
        <w:footnoteReference w:id="229"/>
      </w:r>
      <w:r>
        <w:rPr>
          <w:rFonts w:ascii="Arial" w:eastAsia="Arial" w:hAnsi="Arial" w:cs="Arial"/>
          <w:color w:val="000000"/>
          <w:sz w:val="24"/>
          <w:szCs w:val="24"/>
        </w:rPr>
        <w:t xml:space="preserve"> Esta última observación es especialmente pertinente para la materia electoral. En ella contienden partidos, candidaturas y, en ocasiones, actores que disponen de recursos públicos y de una posición institucional ventajosa. La aplicación de estas cuatro consecuencias al contencioso electoral revela tensiones que la ley no resuelve y que la jurisprudencia ha enfrentado sin una regla general.</w:t>
      </w:r>
    </w:p>
    <w:p>
      <w:pPr>
        <w:spacing w:before="0" w:after="0" w:line="360" w:lineRule="auto"/>
        <w:ind w:firstLine="709"/>
        <w:jc w:val="both"/>
      </w:pPr>
      <w:r>
        <w:rPr>
          <w:rFonts w:ascii="Arial" w:eastAsia="Arial" w:hAnsi="Arial" w:cs="Arial"/>
          <w:color w:val="000000"/>
          <w:sz w:val="24"/>
          <w:szCs w:val="24"/>
        </w:rPr>
        <w:t xml:space="preserve">La nulidad de una elección afecta la eficacia del sufragio ciudadano, un bien de máxima relevancia constitucional. Esa gravedad justificaría, conforme a la primera razón, un umbral elevado para declarar probadas las irregularidades que la fundan. Sin embargo, las irregularidades que sustentan la nulidad son difíciles de probar. Sus dificultades probatorias son comparables a las de la corrupción. Esas irregularidades son el exceso del gasto de campaña, la compra o adquisición de cobertura informativa o de tiempos en radio y televisión, el uso de recursos ilícitos o públicos y, desde la reforma de 2026, la injerencia extranjera. El artículo 41, base VI, de la Constitución exige que dichas violaciones se acrediten de manera objetiva y material, y presume su carácter determinante cuando la diferencia entre el primero y el segundo lugar sea menor al cinco por ciento.</w:t>
      </w:r>
      <w:r>
        <w:rPr>
          <w:rFonts w:ascii="Arial" w:eastAsia="Arial" w:hAnsi="Arial" w:cs="Arial"/>
          <w:color w:val="000000"/>
          <w:sz w:val="24"/>
          <w:szCs w:val="24"/>
          <w:vertAlign w:val="superscript"/>
        </w:rPr>
        <w:footnoteReference w:id="230"/>
      </w:r>
      <w:r>
        <w:rPr>
          <w:rFonts w:ascii="Arial" w:eastAsia="Arial" w:hAnsi="Arial" w:cs="Arial"/>
          <w:color w:val="000000"/>
          <w:sz w:val="24"/>
          <w:szCs w:val="24"/>
        </w:rPr>
        <w:t xml:space="preserve"> Esa presunción distribuye el riesgo según la cuarta razón, junto con el estándar. La jurisprudencia resuelve esta tensión caso por caso.</w:t>
      </w:r>
    </w:p>
    <w:p>
      <w:pPr>
        <w:spacing w:before="0" w:after="0" w:line="360" w:lineRule="auto"/>
        <w:ind w:firstLine="709"/>
        <w:jc w:val="both"/>
      </w:pPr>
      <w:r>
        <w:rPr>
          <w:rFonts w:ascii="Arial" w:eastAsia="Arial" w:hAnsi="Arial" w:cs="Arial"/>
          <w:color w:val="000000"/>
          <w:sz w:val="24"/>
          <w:szCs w:val="24"/>
        </w:rPr>
        <w:t xml:space="preserve">En el SUP-REC-1388/2018, la Sala Superior sostuvo que el estándar para acreditar la determinancia en casos de violencia política debía ser mínimo.</w:t>
      </w:r>
      <w:r>
        <w:rPr>
          <w:rFonts w:ascii="Arial" w:eastAsia="Arial" w:hAnsi="Arial" w:cs="Arial"/>
          <w:color w:val="000000"/>
          <w:sz w:val="24"/>
          <w:szCs w:val="24"/>
          <w:vertAlign w:val="superscript"/>
        </w:rPr>
        <w:footnoteReference w:id="231"/>
      </w:r>
      <w:r>
        <w:rPr>
          <w:rFonts w:ascii="Arial" w:eastAsia="Arial" w:hAnsi="Arial" w:cs="Arial"/>
          <w:color w:val="000000"/>
          <w:sz w:val="24"/>
          <w:szCs w:val="24"/>
        </w:rPr>
        <w:t xml:space="preserve"> La decisión muestra que el órgano jurisdiccional ha ajustado el umbral en atención a las dificultades probatorias. Ese ajuste se produjo sin una regla general previa que lo autorizara o lo delimitara. Conforme al segundo requisito y a la exigencia de generalidad, esa ponderación corresponde al legislador y debe expresarse con anticipación. Por consiguiente, la solución casuística es comprensible, pero no satisface las condiciones de un estándar válido. La viabilidad de los requisitos no depende, sin embargo, de la práctica mexicana. Esa viabilidad se demuestra con la posibilidad de formular estándares que satisfagan los cuatro requisitos. Ferrer Beltrán ofrece precisamente un conjunto de formulaciones que permite comprobar que un estándar metodológicamente correcto no es una construcción imposible.</w:t>
      </w:r>
    </w:p>
    <w:p>
      <w:pPr>
        <w:spacing w:before="0" w:after="0" w:line="360" w:lineRule="auto"/>
        <w:ind w:firstLine="709"/>
        <w:jc w:val="both"/>
      </w:pPr>
      <w:r>
        <w:rPr>
          <w:rFonts w:ascii="Arial" w:eastAsia="Arial" w:hAnsi="Arial" w:cs="Arial"/>
          <w:color w:val="000000"/>
          <w:sz w:val="24"/>
          <w:szCs w:val="24"/>
        </w:rPr>
        <w:t xml:space="preserve">Ferrer Beltrán propone siete formulaciones de exigencia decreciente.</w:t>
      </w:r>
      <w:r>
        <w:rPr>
          <w:rFonts w:ascii="Arial" w:eastAsia="Arial" w:hAnsi="Arial" w:cs="Arial"/>
          <w:color w:val="000000"/>
          <w:sz w:val="24"/>
          <w:szCs w:val="24"/>
          <w:vertAlign w:val="superscript"/>
        </w:rPr>
        <w:footnoteReference w:id="232"/>
      </w:r>
      <w:r>
        <w:rPr>
          <w:rFonts w:ascii="Arial" w:eastAsia="Arial" w:hAnsi="Arial" w:cs="Arial"/>
          <w:color w:val="000000"/>
          <w:sz w:val="24"/>
          <w:szCs w:val="24"/>
        </w:rPr>
        <w:t xml:space="preserve"> Las tres primeras formulaciones se inspiran en la filosofía de la ciencia de Hempel y en la probabilidad baconiana de Cohen, y giran en torno a la refutación de hipótesis alternativas.</w:t>
      </w:r>
      <w:r>
        <w:rPr>
          <w:rFonts w:ascii="Arial" w:eastAsia="Arial" w:hAnsi="Arial" w:cs="Arial"/>
          <w:color w:val="000000"/>
          <w:sz w:val="24"/>
          <w:szCs w:val="24"/>
          <w:vertAlign w:val="superscript"/>
        </w:rPr>
        <w:footnoteReference w:id="233"/>
      </w:r>
      <w:r>
        <w:rPr>
          <w:rFonts w:ascii="Arial" w:eastAsia="Arial" w:hAnsi="Arial" w:cs="Arial"/>
          <w:color w:val="000000"/>
          <w:sz w:val="24"/>
          <w:szCs w:val="24"/>
        </w:rPr>
        <w:t xml:space="preserve"> Las cuatro restantes combinan la comparación de probabilidades con la exigencia de completitud del peso probatorio. Todas remiten a propiedades del acervo y no a estados mentales, con lo cual satisfacen el primer requisito. Todas identifican resultados probatorios mínimos y satisfacen el segundo requisito en la medida en que ello es posible. Ninguna emplea valores numéricos, de modo que satisfacen el tercer requisito. El cuarto requisito se satisface cuando el legislador asigna los estándares más exigentes a las decisiones finales y los menos exigentes a las intermedias. El autor subraya que, aun satisfecho el estándar más exigente, la conclusión es siempre probabilística, porque el avance del conocimiento puede permitir mañana refutar lo que hoy se tiene por probado.</w:t>
      </w:r>
      <w:r>
        <w:rPr>
          <w:rFonts w:ascii="Arial" w:eastAsia="Arial" w:hAnsi="Arial" w:cs="Arial"/>
          <w:color w:val="000000"/>
          <w:sz w:val="24"/>
          <w:szCs w:val="24"/>
          <w:vertAlign w:val="superscript"/>
        </w:rPr>
        <w:footnoteReference w:id="234"/>
      </w:r>
    </w:p>
    <w:p>
      <w:pPr>
        <w:spacing w:before="0" w:after="0" w:line="360" w:lineRule="auto"/>
        <w:ind w:firstLine="709"/>
        <w:jc w:val="both"/>
      </w:pPr>
      <w:r>
        <w:rPr>
          <w:rFonts w:ascii="Arial" w:eastAsia="Arial" w:hAnsi="Arial" w:cs="Arial"/>
          <w:color w:val="000000"/>
          <w:sz w:val="24"/>
          <w:szCs w:val="24"/>
        </w:rPr>
        <w:t xml:space="preserve">Las formulaciones de Ferrer Beltrán no son meras construcciones académicas. El autor informa que la jurisprudencia penal portuguesa adoptó la primera de ellas.</w:t>
      </w:r>
      <w:r>
        <w:rPr>
          <w:rFonts w:ascii="Arial" w:eastAsia="Arial" w:hAnsi="Arial" w:cs="Arial"/>
          <w:color w:val="000000"/>
          <w:sz w:val="24"/>
          <w:szCs w:val="24"/>
          <w:vertAlign w:val="superscript"/>
        </w:rPr>
        <w:footnoteReference w:id="235"/>
      </w:r>
      <w:r>
        <w:rPr>
          <w:rFonts w:ascii="Arial" w:eastAsia="Arial" w:hAnsi="Arial" w:cs="Arial"/>
          <w:color w:val="000000"/>
          <w:sz w:val="24"/>
          <w:szCs w:val="24"/>
        </w:rPr>
        <w:t xml:space="preserve"> La Primera Sala de la Suprema Corte mexicana adoptó la exigencia de la segunda como requisito para derrotar la presunción de inocencia.</w:t>
      </w:r>
      <w:r>
        <w:rPr>
          <w:rFonts w:ascii="Arial" w:eastAsia="Arial" w:hAnsi="Arial" w:cs="Arial"/>
          <w:color w:val="000000"/>
          <w:sz w:val="24"/>
          <w:szCs w:val="24"/>
          <w:vertAlign w:val="superscript"/>
        </w:rPr>
        <w:footnoteReference w:id="236"/>
      </w:r>
      <w:r>
        <w:rPr>
          <w:rFonts w:ascii="Arial" w:eastAsia="Arial" w:hAnsi="Arial" w:cs="Arial"/>
          <w:color w:val="000000"/>
          <w:sz w:val="24"/>
          <w:szCs w:val="24"/>
        </w:rPr>
        <w:t xml:space="preserve"> Según esa línea, el juez debe cerciorarse de que las pruebas de cargo desvirtúen la hipótesis de inocencia efectivamente alegada por la defensa para considerar que hay prueba de cargo suficiente. El juez debe verificar que se descarten las pruebas de descargo o contraindicios que den lugar a una duda razonable. La recepción de este criterio muestra que el ordenamiento mexicano conoce ya una formulación de estándar compatible con los requisitos metodológicos. Sin embargo, esa formulación se ha desarrollado en sede penal y no ha sido trasladada de forma explícita al contencioso electoral. El contraste entre ambas materias permite precisar la naturaleza del defecto que afecta a la justicia electoral.</w:t>
      </w:r>
    </w:p>
    <w:p>
      <w:pPr>
        <w:spacing w:before="0" w:after="0" w:line="360" w:lineRule="auto"/>
        <w:ind w:firstLine="709"/>
        <w:jc w:val="both"/>
      </w:pPr>
      <w:r>
        <w:rPr>
          <w:rFonts w:ascii="Arial" w:eastAsia="Arial" w:hAnsi="Arial" w:cs="Arial"/>
          <w:color w:val="000000"/>
          <w:sz w:val="24"/>
          <w:szCs w:val="24"/>
        </w:rPr>
        <w:t xml:space="preserve">El defecto de la materia electoral es de omisión normativa y no de imposibilidad conceptual. La Primera Sala demostró que un estándar metodológicamente correcto puede formularse para la presunción de inocencia. Ese mismo tipo de estándar puede formularse para la nulidad de una elección fundada en indicios. La propuesta de Ferrer Beltrán ha recibido, con todo, críticas que delimitan el alcance de su utilidad. La primera crítica proviene de Ronald J. Allen, quien cuestiona el primer estándar propuesto por el autor. Allen sostiene que la exigencia de confirmar predicciones y de refutar hipótesis alternativas, con la excepción de las hipótesis construidas para el caso, permite descalificar de ese modo cualquier alegación de la defensa que no pueda refutarse.</w:t>
      </w:r>
      <w:r>
        <w:rPr>
          <w:rFonts w:ascii="Arial" w:eastAsia="Arial" w:hAnsi="Arial" w:cs="Arial"/>
          <w:color w:val="000000"/>
          <w:sz w:val="24"/>
          <w:szCs w:val="24"/>
          <w:vertAlign w:val="superscript"/>
        </w:rPr>
        <w:footnoteReference w:id="237"/>
      </w:r>
      <w:r>
        <w:rPr>
          <w:rFonts w:ascii="Arial" w:eastAsia="Arial" w:hAnsi="Arial" w:cs="Arial"/>
          <w:color w:val="000000"/>
          <w:sz w:val="24"/>
          <w:szCs w:val="24"/>
        </w:rPr>
        <w:t xml:space="preserve"> En su lugar, Allen y Pardo proponen la teoría de la plausibilidad relativa. Según esa teoría, el proceso consiste en comparar historias alternativas y aceptar como verdadera la más plausible.</w:t>
      </w:r>
    </w:p>
    <w:p>
      <w:pPr>
        <w:spacing w:before="0" w:after="0" w:line="360" w:lineRule="auto"/>
        <w:ind w:firstLine="709"/>
        <w:jc w:val="both"/>
      </w:pPr>
      <w:r>
        <w:rPr>
          <w:rFonts w:ascii="Arial" w:eastAsia="Arial" w:hAnsi="Arial" w:cs="Arial"/>
          <w:color w:val="000000"/>
          <w:sz w:val="24"/>
          <w:szCs w:val="24"/>
        </w:rPr>
        <w:t xml:space="preserve">La teoría de la plausibilidad relativa distribuye la tarea explicativa entre las partes. En el proceso penal, la acusación debe ofrecer una explicación plausible de la culpabilidad. Si la acusación lo hace, el acusado debe ofrecer una explicación plausible de su inocencia. El propio Allen advierte que su planteamiento no es normativo, sino descriptivo, pues pretende dar cuenta de cómo razonan de hecho los juzgadores.</w:t>
      </w:r>
      <w:r>
        <w:rPr>
          <w:rFonts w:ascii="Arial" w:eastAsia="Arial" w:hAnsi="Arial" w:cs="Arial"/>
          <w:color w:val="000000"/>
          <w:sz w:val="24"/>
          <w:szCs w:val="24"/>
          <w:vertAlign w:val="superscript"/>
        </w:rPr>
        <w:footnoteReference w:id="238"/>
      </w:r>
      <w:r>
        <w:rPr>
          <w:rFonts w:ascii="Arial" w:eastAsia="Arial" w:hAnsi="Arial" w:cs="Arial"/>
          <w:color w:val="000000"/>
          <w:sz w:val="24"/>
          <w:szCs w:val="24"/>
        </w:rPr>
        <w:t xml:space="preserve"> Esa confesión limita el alcance de la objeción. Una teoría descriptiva del razonamiento del jurado no refuta una teoría normativa sobre cómo deben formularse las reglas de decisión. Ferrer Beltrán responde que la estructura del razonamiento empírico es unitaria en la ciencia y en el derecho, por lo que la exigencia de contrastar predicciones no es ajena a la prueba judicial.</w:t>
      </w:r>
      <w:r>
        <w:rPr>
          <w:rFonts w:ascii="Arial" w:eastAsia="Arial" w:hAnsi="Arial" w:cs="Arial"/>
          <w:color w:val="000000"/>
          <w:sz w:val="24"/>
          <w:szCs w:val="24"/>
          <w:vertAlign w:val="superscript"/>
        </w:rPr>
        <w:footnoteReference w:id="239"/>
      </w:r>
      <w:r>
        <w:rPr>
          <w:rFonts w:ascii="Arial" w:eastAsia="Arial" w:hAnsi="Arial" w:cs="Arial"/>
          <w:color w:val="000000"/>
          <w:sz w:val="24"/>
          <w:szCs w:val="24"/>
        </w:rPr>
        <w:t xml:space="preserve"> Allen formula, con todo, una observación adicional sobre las diferencias entre la ciencia y el derecho que merece ser atendida.</w:t>
      </w:r>
    </w:p>
    <w:p>
      <w:pPr>
        <w:spacing w:before="0" w:after="0" w:line="360" w:lineRule="auto"/>
        <w:ind w:firstLine="709"/>
        <w:jc w:val="both"/>
      </w:pPr>
      <w:r>
        <w:rPr>
          <w:rFonts w:ascii="Arial" w:eastAsia="Arial" w:hAnsi="Arial" w:cs="Arial"/>
          <w:color w:val="000000"/>
          <w:sz w:val="24"/>
          <w:szCs w:val="24"/>
        </w:rPr>
        <w:t xml:space="preserve">Allen sostiene que el derecho difiere de la ciencia porque no puede elegir sus controversias ni aplazar la decisión hasta disponer de mejor información.</w:t>
      </w:r>
      <w:r>
        <w:rPr>
          <w:rFonts w:ascii="Arial" w:eastAsia="Arial" w:hAnsi="Arial" w:cs="Arial"/>
          <w:color w:val="000000"/>
          <w:sz w:val="24"/>
          <w:szCs w:val="24"/>
          <w:vertAlign w:val="superscript"/>
        </w:rPr>
        <w:footnoteReference w:id="240"/>
      </w:r>
      <w:r>
        <w:rPr>
          <w:rFonts w:ascii="Arial" w:eastAsia="Arial" w:hAnsi="Arial" w:cs="Arial"/>
          <w:color w:val="000000"/>
          <w:sz w:val="24"/>
          <w:szCs w:val="24"/>
        </w:rPr>
        <w:t xml:space="preserve"> El autor añade que un solo testimonio encierra innumerables variables que no pueden controlarse como en un experimento. Esta observación no invalida los requisitos metodológicos, pero advierte contra la ilusión de una aplicación mecánica. El propio Ferrer Beltrán reconoce que el cumplimiento del estándar solo puede comprobarse en el caso concreto, aplicando el conjunto de criterios epistémicos de valoración.</w:t>
      </w:r>
      <w:r>
        <w:rPr>
          <w:rFonts w:ascii="Arial" w:eastAsia="Arial" w:hAnsi="Arial" w:cs="Arial"/>
          <w:color w:val="000000"/>
          <w:sz w:val="24"/>
          <w:szCs w:val="24"/>
          <w:vertAlign w:val="superscript"/>
        </w:rPr>
        <w:footnoteReference w:id="241"/>
      </w:r>
      <w:r>
        <w:rPr>
          <w:rFonts w:ascii="Arial" w:eastAsia="Arial" w:hAnsi="Arial" w:cs="Arial"/>
          <w:color w:val="000000"/>
          <w:sz w:val="24"/>
          <w:szCs w:val="24"/>
        </w:rPr>
        <w:t xml:space="preserve"> El estándar no sustituye el juicio del decisor, sino que indica la índole de razones a las que debe recurrir. Por tanto, existe un margen de apreciación judicial que ningún estándar puede eliminar. El estándar consigue que ese margen se ejerza mediante razones controlables y no mediante la invocación de una convicción. Por consiguiente, la objeción de Allen fortalece la exigencia de motivación antes que debilitarla.</w:t>
      </w:r>
    </w:p>
    <w:p>
      <w:pPr>
        <w:spacing w:before="0" w:after="0" w:line="360" w:lineRule="auto"/>
        <w:ind w:firstLine="709"/>
        <w:jc w:val="both"/>
      </w:pPr>
      <w:r>
        <w:rPr>
          <w:rFonts w:ascii="Arial" w:eastAsia="Arial" w:hAnsi="Arial" w:cs="Arial"/>
          <w:color w:val="000000"/>
          <w:sz w:val="24"/>
          <w:szCs w:val="24"/>
        </w:rPr>
        <w:t xml:space="preserve">Una segunda objeción, de alcance más radical, procede de Nieva-Fenoll. Este autor sostiene que los estándares de prueba son reminiscencias de la prueba legal y que no describen la realidad, sino un mero desiderátum psicológico que no llega a comprobarse.</w:t>
      </w:r>
      <w:r>
        <w:rPr>
          <w:rFonts w:ascii="Arial" w:eastAsia="Arial" w:hAnsi="Arial" w:cs="Arial"/>
          <w:color w:val="000000"/>
          <w:sz w:val="24"/>
          <w:szCs w:val="24"/>
          <w:vertAlign w:val="superscript"/>
        </w:rPr>
        <w:footnoteReference w:id="242"/>
      </w:r>
      <w:r>
        <w:rPr>
          <w:rFonts w:ascii="Arial" w:eastAsia="Arial" w:hAnsi="Arial" w:cs="Arial"/>
          <w:color w:val="000000"/>
          <w:sz w:val="24"/>
          <w:szCs w:val="24"/>
        </w:rPr>
        <w:t xml:space="preserve"> El autor cree que el juez, aun sujeto a ellos, solo argumentará una decisión basada en una sensación subjetiva. A su juicio, la lógica de los estándares reproduce la aritmética del sistema de valoración legal, que sumaba y pesaba pruebas.</w:t>
      </w:r>
      <w:r>
        <w:rPr>
          <w:rFonts w:ascii="Arial" w:eastAsia="Arial" w:hAnsi="Arial" w:cs="Arial"/>
          <w:color w:val="000000"/>
          <w:sz w:val="24"/>
          <w:szCs w:val="24"/>
          <w:vertAlign w:val="superscript"/>
        </w:rPr>
        <w:footnoteReference w:id="243"/>
      </w:r>
      <w:r>
        <w:rPr>
          <w:rFonts w:ascii="Arial" w:eastAsia="Arial" w:hAnsi="Arial" w:cs="Arial"/>
          <w:color w:val="000000"/>
          <w:sz w:val="24"/>
          <w:szCs w:val="24"/>
        </w:rPr>
        <w:t xml:space="preserve"> La crítica acierta respecto de los estándares formulados en términos de convicción, que son precisamente los que el primer requisito descarta. La crítica pierde fuerza frente a estándares que remiten a resultados probatorios verificables, como la refutación de la hipótesis de la defensa. La crítica no alcanza a la probabilidad baconiana, que por definición no suma ni multiplica valores numéricos. Su diagnóstico de la práctica judicial admite otra lectura.</w:t>
      </w:r>
    </w:p>
    <w:p>
      <w:pPr>
        <w:spacing w:before="0" w:after="0" w:line="360" w:lineRule="auto"/>
        <w:ind w:firstLine="709"/>
        <w:jc w:val="both"/>
      </w:pPr>
      <w:r>
        <w:rPr>
          <w:rFonts w:ascii="Arial" w:eastAsia="Arial" w:hAnsi="Arial" w:cs="Arial"/>
          <w:color w:val="000000"/>
          <w:sz w:val="24"/>
          <w:szCs w:val="24"/>
        </w:rPr>
        <w:t xml:space="preserve">Nieva-Fenoll sostiene que los jueces seleccionan la información que confirma una conclusión preconcebida. Ese diagnóstico describe un sesgo real del razonamiento judicial. El sesgo de confirmación constituye, más bien, un argumento a favor de estándares que obliguen a considerar las hipótesis alternativas. Un estándar que exige refutar la hipótesis de la parte contraria impide que el juez se limite a reunir los datos que confirman su conclusión inicial. En consecuencia, la objeción describe los defectos de los estándares que no satisfacen los requisitos metodológicos. Esa descripción no alcanza a los estándares que sí los satisfacen. La crítica de Nieva-Fenoll confirma de este modo la utilidad del primer requisito y del segundo. La tercera objeción, extraída del análisis de Haack, se refiere al valor de la precisión como exigencia de los estándares.</w:t>
      </w:r>
    </w:p>
    <w:p>
      <w:pPr>
        <w:spacing w:before="0" w:after="0" w:line="360" w:lineRule="auto"/>
        <w:ind w:firstLine="709"/>
        <w:jc w:val="both"/>
      </w:pPr>
      <w:r>
        <w:rPr>
          <w:rFonts w:ascii="Arial" w:eastAsia="Arial" w:hAnsi="Arial" w:cs="Arial"/>
          <w:color w:val="000000"/>
          <w:sz w:val="24"/>
          <w:szCs w:val="24"/>
        </w:rPr>
        <w:t xml:space="preserve">Haack sostiene que la justificación de las cargas y los estándares de prueba se funda en consideraciones políticas.</w:t>
      </w:r>
      <w:r>
        <w:rPr>
          <w:rFonts w:ascii="Arial" w:eastAsia="Arial" w:hAnsi="Arial" w:cs="Arial"/>
          <w:color w:val="000000"/>
          <w:sz w:val="24"/>
          <w:szCs w:val="24"/>
          <w:vertAlign w:val="superscript"/>
        </w:rPr>
        <w:footnoteReference w:id="244"/>
      </w:r>
      <w:r>
        <w:rPr>
          <w:rFonts w:ascii="Arial" w:eastAsia="Arial" w:hAnsi="Arial" w:cs="Arial"/>
          <w:color w:val="000000"/>
          <w:sz w:val="24"/>
          <w:szCs w:val="24"/>
        </w:rPr>
        <w:t xml:space="preserve"> La autora admite que ningún estándar vigente es preciso y sugiere que la precisión podría no ser deseable. Esta posición coincide con Ferrer Beltrán en el carácter político de la decisión y en el rechazo del probabilismo matemático. Sin embargo, la posición de Haack diverge en cuanto al valor de la precisión como exigencia. Para Ferrer Beltrán, la vaguedad residual es inevitable, pero debe minimizarse, porque de ella depende la función de garantía del estándar. La divergencia puede resolverse si se distingue entre la precisión numérica, que ambos rechazan, y la precisión en la identificación de resultados probatorios, que solo el segundo exige. Esta distinción permite mantener el segundo requisito sin incurrir en la falsa exactitud del cálculo. En la prueba indiciaria, el estándar puede indicar qué hipótesis deben descartarse sin dar a cada indicio un valor numérico.</w:t>
      </w:r>
    </w:p>
    <w:p>
      <w:pPr>
        <w:spacing w:before="0" w:after="0" w:line="360" w:lineRule="auto"/>
        <w:ind w:firstLine="709"/>
        <w:jc w:val="both"/>
      </w:pPr>
      <w:r>
        <w:rPr>
          <w:rFonts w:ascii="Arial" w:eastAsia="Arial" w:hAnsi="Arial" w:cs="Arial"/>
          <w:color w:val="000000"/>
          <w:sz w:val="24"/>
          <w:szCs w:val="24"/>
        </w:rPr>
        <w:t xml:space="preserve">Los requisitos metodológicos permiten evaluar las reglas de suficiencia que gobiernan la prueba indiciaria en el contencioso electoral. El artículo 16 de la ley de medios distingue entre las documentales públicas, que tienen valor probatorio pleno salvo prueba en contrario, y las restantes pruebas.</w:t>
      </w:r>
      <w:r>
        <w:rPr>
          <w:rFonts w:ascii="Arial" w:eastAsia="Arial" w:hAnsi="Arial" w:cs="Arial"/>
          <w:color w:val="000000"/>
          <w:sz w:val="24"/>
          <w:szCs w:val="24"/>
          <w:vertAlign w:val="superscript"/>
        </w:rPr>
        <w:footnoteReference w:id="245"/>
      </w:r>
      <w:r>
        <w:rPr>
          <w:rFonts w:ascii="Arial" w:eastAsia="Arial" w:hAnsi="Arial" w:cs="Arial"/>
          <w:color w:val="000000"/>
          <w:sz w:val="24"/>
          <w:szCs w:val="24"/>
        </w:rPr>
        <w:t xml:space="preserve"> Las presuncionales, junto con las documentales privadas, las técnicas y las testimoniales, solo hacen prueba plena cuando generan convicción sobre la veracidad de los hechos afirmados. La disposición enumera los elementos del expediente, las afirmaciones de las partes, la verdad conocida y el recto raciocinio de la relación que guardan entre sí. Esa enumeración describe en rigor un método de valoración conjunta análogo a la adminiculación. El umbral se expresa en términos de convicción, lo que vulnera el primer requisito. La disposición no identifica resultado probatorio mínimo alguno y por ello no satisface el segundo requisito. El examen de los requisitos tercero y cuarto completa el diagnóstico.</w:t>
      </w:r>
    </w:p>
    <w:p>
      <w:pPr>
        <w:spacing w:before="0" w:after="0" w:line="360" w:lineRule="auto"/>
        <w:ind w:firstLine="709"/>
        <w:jc w:val="both"/>
      </w:pPr>
      <w:r>
        <w:rPr>
          <w:rFonts w:ascii="Arial" w:eastAsia="Arial" w:hAnsi="Arial" w:cs="Arial"/>
          <w:color w:val="000000"/>
          <w:sz w:val="24"/>
          <w:szCs w:val="24"/>
        </w:rPr>
        <w:t xml:space="preserve">La disposición no emplea valores numéricos y, por ello, no vulnera el tercer requisito. Sin embargo, la disposición tampoco ofrece criterios inductivos que permitan determinar cuándo el conjunto de pruebas es suficiente. En cuanto al cuarto requisito, la ley no prevé estándares diferenciados para las decisiones intermedias del procedimiento. Las reglas de nulidad presentan un diagnóstico semejante. Los artículos 75, 77 Ter y 78 de la ley de medios exigen que las irregularidades estén plenamente acreditadas y sean determinantes para el resultado.</w:t>
      </w:r>
      <w:r>
        <w:rPr>
          <w:rFonts w:ascii="Arial" w:eastAsia="Arial" w:hAnsi="Arial" w:cs="Arial"/>
          <w:color w:val="000000"/>
          <w:sz w:val="24"/>
          <w:szCs w:val="24"/>
          <w:vertAlign w:val="superscript"/>
        </w:rPr>
        <w:footnoteReference w:id="246"/>
      </w:r>
      <w:r>
        <w:rPr>
          <w:rFonts w:ascii="Arial" w:eastAsia="Arial" w:hAnsi="Arial" w:cs="Arial"/>
          <w:color w:val="000000"/>
          <w:sz w:val="24"/>
          <w:szCs w:val="24"/>
        </w:rPr>
        <w:t xml:space="preserve"> La jurisprudencia 44/2024 reiteró esa exigencia de plena acreditación para la nulidad por violación a principios constitucionales.</w:t>
      </w:r>
      <w:r>
        <w:rPr>
          <w:rFonts w:ascii="Arial" w:eastAsia="Arial" w:hAnsi="Arial" w:cs="Arial"/>
          <w:color w:val="000000"/>
          <w:sz w:val="24"/>
          <w:szCs w:val="24"/>
          <w:vertAlign w:val="superscript"/>
        </w:rPr>
        <w:footnoteReference w:id="247"/>
      </w:r>
      <w:r>
        <w:rPr>
          <w:rFonts w:ascii="Arial" w:eastAsia="Arial" w:hAnsi="Arial" w:cs="Arial"/>
          <w:color w:val="000000"/>
          <w:sz w:val="24"/>
          <w:szCs w:val="24"/>
        </w:rPr>
        <w:t xml:space="preserve"> La expresión plenamente acreditadas evoca la antigua </w:t>
      </w:r>
      <w:r>
        <w:rPr>
          <w:rFonts w:ascii="Arial" w:eastAsia="Arial" w:hAnsi="Arial" w:cs="Arial"/>
          <w:i/>
          <w:iCs/>
          <w:color w:val="000000"/>
          <w:sz w:val="24"/>
          <w:szCs w:val="24"/>
        </w:rPr>
        <w:t xml:space="preserve">probatio plena</w:t>
      </w:r>
      <w:r>
        <w:rPr>
          <w:rFonts w:ascii="Arial" w:eastAsia="Arial" w:hAnsi="Arial" w:cs="Arial"/>
          <w:color w:val="000000"/>
          <w:sz w:val="24"/>
          <w:szCs w:val="24"/>
        </w:rPr>
        <w:t xml:space="preserve">, cuyo carácter histórico describe Nieva-Fenoll.</w:t>
      </w:r>
      <w:r>
        <w:rPr>
          <w:rFonts w:ascii="Arial" w:eastAsia="Arial" w:hAnsi="Arial" w:cs="Arial"/>
          <w:color w:val="000000"/>
          <w:sz w:val="24"/>
          <w:szCs w:val="24"/>
          <w:vertAlign w:val="superscript"/>
        </w:rPr>
        <w:footnoteReference w:id="248"/>
      </w:r>
      <w:r>
        <w:rPr>
          <w:rFonts w:ascii="Arial" w:eastAsia="Arial" w:hAnsi="Arial" w:cs="Arial"/>
          <w:color w:val="000000"/>
          <w:sz w:val="24"/>
          <w:szCs w:val="24"/>
        </w:rPr>
        <w:t xml:space="preserve"> El contenido de esa expresión no está definido por la ley y, en consecuencia, no indica qué resultado probatorio debe alcanzarse.</w:t>
      </w:r>
    </w:p>
    <w:p>
      <w:pPr>
        <w:spacing w:before="0" w:after="0" w:line="360" w:lineRule="auto"/>
        <w:ind w:firstLine="709"/>
        <w:jc w:val="both"/>
      </w:pPr>
      <w:r>
        <w:rPr>
          <w:rFonts w:ascii="Arial" w:eastAsia="Arial" w:hAnsi="Arial" w:cs="Arial"/>
          <w:color w:val="000000"/>
          <w:sz w:val="24"/>
          <w:szCs w:val="24"/>
        </w:rPr>
        <w:t xml:space="preserve">La exigencia constitucional de acreditación objetiva y material se aproxima al primer requisito, porque desplaza la atención hacia el acervo. Esa exigencia no establece, sin embargo, un umbral y por ello no satisface el segundo requisito. La práctica jurisprudencial ha suplido esa omisión mediante determinaciones casuísticas, como la del SUP-REC-1388/2018. En su voto razonado en ese asunto, el magistrado Reyes Rodríguez Mondragón advirtió que exigir al denunciante acreditar la trascendencia fijaba un estándar prácticamente imposible.</w:t>
      </w:r>
      <w:r>
        <w:rPr>
          <w:rFonts w:ascii="Arial" w:eastAsia="Arial" w:hAnsi="Arial" w:cs="Arial"/>
          <w:color w:val="000000"/>
          <w:sz w:val="24"/>
          <w:szCs w:val="24"/>
          <w:vertAlign w:val="superscript"/>
        </w:rPr>
        <w:footnoteReference w:id="249"/>
      </w:r>
      <w:r>
        <w:rPr>
          <w:rFonts w:ascii="Arial" w:eastAsia="Arial" w:hAnsi="Arial" w:cs="Arial"/>
          <w:color w:val="000000"/>
          <w:sz w:val="24"/>
          <w:szCs w:val="24"/>
        </w:rPr>
        <w:t xml:space="preserve"> Estas deficiencias afectan con especial intensidad a la prueba indiciaria. La fuerza de los indicios depende de su pluralidad, independencia y convergencia, y de la eliminación de las hipótesis alternativas. Un estándar formulado en términos de convicción no obliga al juzgador a explicitar qué hipótesis alternativas quedaron descartadas. Un estándar que exige plena acreditación sin definirla tampoco permite saber si una cadena de indicios convergentes es suficiente.</w:t>
      </w:r>
    </w:p>
    <w:p>
      <w:pPr>
        <w:spacing w:before="0" w:after="0" w:line="360" w:lineRule="auto"/>
        <w:ind w:firstLine="709"/>
        <w:jc w:val="both"/>
      </w:pPr>
      <w:r>
        <w:rPr>
          <w:rFonts w:ascii="Arial" w:eastAsia="Arial" w:hAnsi="Arial" w:cs="Arial"/>
          <w:color w:val="000000"/>
          <w:sz w:val="24"/>
          <w:szCs w:val="24"/>
        </w:rPr>
        <w:t xml:space="preserve">La misma constelación indiciaria puede conducir a decisiones opuestas sin que ninguna de ellas pueda calificarse de incorrecta conforme a la ley. Esa consecuencia es el resultado directo de un umbral indefinido. Los requisitos metodológicos sugieren, en cambio, una formulación alternativa. Un estándar para la nulidad fundada en indicios podría exigir que la hipótesis de la irregularidad explique de manera coherente los indicios acreditados. Ese mismo estándar podría exigir que se hayan confirmado las predicciones contrastables de la hipótesis y que se haya refutado la hipótesis alternativa sostenida por la parte contraria. La formulación se inspira en el segundo de los estándares propuestos por Ferrer Beltrán. En consecuencia, esa formulación remite al acervo, identifica un resultado mínimo y se expresa en términos de probabilidad inductiva. Una formulación de este tipo permitiría a las partes y a los tribunales revisores verificar si la cadena indiciaria alcanzó el resultado que la regla exige.</w:t>
      </w:r>
    </w:p>
    <w:p>
      <w:pPr>
        <w:spacing w:before="0" w:after="0" w:line="360" w:lineRule="auto"/>
        <w:ind w:firstLine="709"/>
        <w:jc w:val="both"/>
      </w:pPr>
      <w:r>
        <w:rPr>
          <w:rFonts w:ascii="Arial" w:eastAsia="Arial" w:hAnsi="Arial" w:cs="Arial"/>
          <w:color w:val="000000"/>
          <w:sz w:val="24"/>
          <w:szCs w:val="24"/>
        </w:rPr>
        <w:t xml:space="preserve">El análisis precedente permite formular tres conclusiones. La primera conclusión es que un estándar de prueba válido debe satisfacer cuatro requisitos metodológicos. Esos requisitos consisten en remitir a la capacidad justificativa del acervo, fijar un umbral de suficiencia con vaguedad minimizada, emplear criterios de probabilidad inductiva y guardar una progresión coherente con los demás estándares del proceso. La segunda conclusión es que esos requisitos son independientes del nivel de exigencia. La fijación de ese nivel responde a una decisión política que debe atender a razones como la gravedad de los errores, las dificultades probatorias y la distribución de poder entre las partes. La tercera conclusión es que las reglas de suficiencia del contencioso electoral mexicano no satisfacen los dos primeros requisitos y omiten el cuarto. Las objeciones de Allen, Haack y Nieva-Fenoll no invalidan esta conclusión, aunque recuerdan que ningún estándar elimina el margen de apreciación judicial. Un estándar correcto consigue que ese margen se ejerza mediante razones controlables.</w:t>
      </w:r>
    </w:p>
    <w:p>
      <w:pPr>
        <w:spacing w:before="0" w:after="0" w:line="360" w:lineRule="auto"/>
        <w:ind w:firstLine="709"/>
        <w:jc w:val="both"/>
      </w:pPr>
      <w:r>
        <w:rPr>
          <w:rFonts w:ascii="Arial" w:eastAsia="Arial" w:hAnsi="Arial" w:cs="Arial"/>
          <w:color w:val="000000"/>
          <w:sz w:val="24"/>
          <w:szCs w:val="24"/>
        </w:rPr>
        <w:t xml:space="preserve">El artículo 16 de la ley de medios combina un método de valoración racional con un umbral de convicción subjetiva. Esa combinación recibe en adelante el nombre de cláusula híbrida. La cláusula reúne dos figuras que la teoría exige separar. El método de valoración de esa cláusula satisface las exigencias de la sana crítica y de la adminiculación. El umbral de esa cláusula incumple el primer requisito y el segundo, porque remite a la convicción del órgano y no identifica un resultado probatorio mínimo. Por consiguiente, la cláusula híbrida constituye el punto exacto en que la justicia electoral mexicana confunde la valoración con el estándar. Esa confusión se proyecta en cada sentencia que valora indicios para decidir una nulidad. La manera en que la Sala Superior ha interpretado la cláusula híbrida al valorar la prueba indiciaria en los juicios de nulidad electoral exige, por ello, un diagnóstico crítico detallado.</w:t>
      </w:r>
    </w:p>
    <w:bookmarkEnd w:id="8"/>
    <w:p w14:paraId="35FB8292" w14:textId="77777777" w:rsidR="00A32EF9" w:rsidRDefault="00E354C7">
      <w:r>
        <w:br w:type="page"/>
      </w:r>
    </w:p>
    <w:p>
      <w:pPr>
        <w:spacing w:before="0" w:after="0" w:line="360" w:lineRule="auto"/>
        <w:jc w:val="left"/>
      </w:pPr>
    </w:p>
    <w:p>
      <w:pPr>
        <w:spacing w:before="0" w:after="0" w:line="360" w:lineRule="auto"/>
        <w:jc w:val="left"/>
      </w:pPr>
    </w:p>
    <w:p>
      <w:pPr>
        <w:spacing w:before="0" w:after="0" w:line="360" w:lineRule="auto"/>
        <w:jc w:val="left"/>
      </w:pPr>
    </w:p>
    <w:p>
      <w:pPr>
        <w:spacing w:before="0" w:after="0" w:line="360" w:lineRule="auto"/>
        <w:jc w:val="left"/>
      </w:pPr>
    </w:p>
    <w:p>
      <w:pPr>
        <w:spacing w:before="0" w:after="0" w:line="360" w:lineRule="auto"/>
        <w:jc w:val="left"/>
      </w:pPr>
    </w:p>
    <w:p>
      <w:pPr>
        <w:pStyle w:val="Ttulo1"/>
        <w:keepNext/>
        <w:spacing w:before="0" w:after="0" w:line="360" w:lineRule="auto"/>
        <w:jc w:val="center"/>
      </w:pPr>
      <w:bookmarkStart w:id="810" w:name="_Toc9000010"/>
      <w:r>
        <w:rPr>
          <w:rFonts w:ascii="Arial" w:eastAsia="Arial" w:hAnsi="Arial" w:cs="Arial"/>
          <w:b/>
          <w:bCs/>
          <w:color w:val="000000"/>
          <w:sz w:val="24"/>
          <w:szCs w:val="24"/>
        </w:rPr>
        <w:t xml:space="preserve">Capítulo II</w:t>
      </w:r>
      <w:r>
        <w:rPr>
          <w:rFonts w:ascii="Arial" w:eastAsia="Arial" w:hAnsi="Arial" w:cs="Arial"/>
          <w:b/>
          <w:bCs/>
          <w:color w:val="000000"/>
          <w:sz w:val="24"/>
          <w:szCs w:val="24"/>
        </w:rPr>
        <w:br/>
      </w:r>
      <w:r>
        <w:rPr>
          <w:rFonts w:ascii="Arial" w:eastAsia="Arial" w:hAnsi="Arial" w:cs="Arial"/>
          <w:b/>
          <w:bCs/>
          <w:color w:val="000000"/>
          <w:sz w:val="24"/>
          <w:szCs w:val="24"/>
        </w:rPr>
        <w:t xml:space="preserve">El puente conceptual entre estándar de prueba y determinancia electoral, y el origen de la cláusula híbrida</w:t>
      </w:r>
      <w:bookmarkEnd w:id="810"/>
    </w:p>
    <w:p>
      <w:pPr>
        <w:spacing w:before="0" w:after="0" w:line="360" w:lineRule="auto"/>
        <w:jc w:val="left"/>
      </w:pPr>
    </w:p>
    <w:p>
      <w:pPr>
        <w:spacing w:before="0" w:after="0" w:line="360" w:lineRule="auto"/>
        <w:ind w:left="567" w:right="567"/>
        <w:jc w:val="both"/>
      </w:pPr>
      <w:r>
        <w:rPr>
          <w:rFonts w:ascii="Arial" w:eastAsia="Arial" w:hAnsi="Arial" w:cs="Arial"/>
          <w:smallCaps/>
          <w:color w:val="000000"/>
          <w:sz w:val="22"/>
          <w:szCs w:val="22"/>
        </w:rPr>
        <w:t xml:space="preserve">Sumario</w:t>
      </w:r>
      <w:r>
        <w:rPr>
          <w:rFonts w:ascii="Arial" w:eastAsia="Arial" w:hAnsi="Arial" w:cs="Arial"/>
          <w:color w:val="000000"/>
          <w:sz w:val="22"/>
          <w:szCs w:val="22"/>
        </w:rPr>
        <w:t xml:space="preserve">: </w:t>
      </w:r>
      <w:r>
        <w:rPr>
          <w:rFonts w:ascii="Arial" w:eastAsia="Arial" w:hAnsi="Arial" w:cs="Arial"/>
          <w:color w:val="000000"/>
          <w:sz w:val="22"/>
          <w:szCs w:val="22"/>
        </w:rPr>
        <w:t xml:space="preserve">2.1. </w:t>
      </w:r>
      <w:r>
        <w:rPr>
          <w:rFonts w:ascii="Arial" w:eastAsia="Arial" w:hAnsi="Arial" w:cs="Arial"/>
          <w:i/>
          <w:iCs/>
          <w:color w:val="000000"/>
          <w:sz w:val="22"/>
          <w:szCs w:val="22"/>
        </w:rPr>
        <w:t xml:space="preserve">La sana crítica como error de categoría en la doctrina mexicana de la determinancia electoral</w:t>
      </w:r>
      <w:r>
        <w:rPr>
          <w:rFonts w:ascii="Arial" w:eastAsia="Arial" w:hAnsi="Arial" w:cs="Arial"/>
          <w:color w:val="000000"/>
          <w:sz w:val="22"/>
          <w:szCs w:val="22"/>
        </w:rPr>
        <w:t xml:space="preserve">. </w:t>
      </w:r>
      <w:r>
        <w:rPr>
          <w:rFonts w:ascii="Arial" w:eastAsia="Arial" w:hAnsi="Arial" w:cs="Arial"/>
          <w:color w:val="000000"/>
          <w:sz w:val="22"/>
          <w:szCs w:val="22"/>
        </w:rPr>
        <w:t xml:space="preserve">2.2. </w:t>
      </w:r>
      <w:r>
        <w:rPr>
          <w:rFonts w:ascii="Arial" w:eastAsia="Arial" w:hAnsi="Arial" w:cs="Arial"/>
          <w:i/>
          <w:iCs/>
          <w:color w:val="000000"/>
          <w:sz w:val="22"/>
          <w:szCs w:val="22"/>
        </w:rPr>
        <w:t xml:space="preserve">El origen normativo de la cláusula híbrida: la jurisprudencia 38/2002 y la sentencia SUP-JRC-487/2000</w:t>
      </w:r>
      <w:r>
        <w:rPr>
          <w:rFonts w:ascii="Arial" w:eastAsia="Arial" w:hAnsi="Arial" w:cs="Arial"/>
          <w:color w:val="000000"/>
          <w:sz w:val="22"/>
          <w:szCs w:val="22"/>
        </w:rPr>
        <w:t xml:space="preserve">. </w:t>
      </w:r>
      <w:r>
        <w:rPr>
          <w:rFonts w:ascii="Arial" w:eastAsia="Arial" w:hAnsi="Arial" w:cs="Arial"/>
          <w:color w:val="000000"/>
          <w:sz w:val="22"/>
          <w:szCs w:val="22"/>
        </w:rPr>
        <w:t xml:space="preserve">2.3. </w:t>
      </w:r>
      <w:r>
        <w:rPr>
          <w:rFonts w:ascii="Arial" w:eastAsia="Arial" w:hAnsi="Arial" w:cs="Arial"/>
          <w:i/>
          <w:iCs/>
          <w:color w:val="000000"/>
          <w:sz w:val="22"/>
          <w:szCs w:val="22"/>
        </w:rPr>
        <w:t xml:space="preserve">El voto particular de 2000 frente a la sentencia mayoritaria</w:t>
      </w:r>
      <w:r>
        <w:rPr>
          <w:rFonts w:ascii="Arial" w:eastAsia="Arial" w:hAnsi="Arial" w:cs="Arial"/>
          <w:color w:val="000000"/>
          <w:sz w:val="22"/>
          <w:szCs w:val="22"/>
        </w:rPr>
        <w:t xml:space="preserve">.</w:t>
      </w:r>
    </w:p>
    <w:p>
      <w:pPr>
        <w:spacing w:before="0" w:after="0" w:line="360" w:lineRule="auto"/>
        <w:jc w:val="left"/>
      </w:pPr>
    </w:p>
    <w:p>
      <w:pPr>
        <w:spacing w:before="0" w:after="0" w:line="360" w:lineRule="auto"/>
        <w:ind w:firstLine="0"/>
        <w:jc w:val="both"/>
      </w:pPr>
      <w:r>
        <w:rPr>
          <w:rFonts w:ascii="Arial" w:eastAsia="Arial" w:hAnsi="Arial" w:cs="Arial"/>
          <w:color w:val="000000"/>
          <w:sz w:val="24"/>
          <w:szCs w:val="24"/>
        </w:rPr>
        <w:t xml:space="preserve">La distinción entre la valoración de la prueba y el estándar de prueba ofrece una herramienta de diagnóstico para el derecho electoral mexicano. Esa distinción se acompaña de los requisitos metodológicos que un estándar debe satisfacer para ser válido. La doctrina mexicana sobre la determinancia electoral constituye el primer campo de aplicación de esa herramienta. El diagnóstico muestra que dicha doctrina opera sin el aparato conceptual que la teoría del estándar de prueba exige. A partir de ese diagnóstico se reconstruye el origen normativo de la cláusula híbrida del artículo 16 de la </w:t>
      </w:r>
      <w:r>
        <w:rPr>
          <w:rFonts w:ascii="Arial" w:eastAsia="Arial" w:hAnsi="Arial" w:cs="Arial"/>
          <w:i/>
          <w:iCs/>
          <w:color w:val="000000"/>
          <w:sz w:val="24"/>
          <w:szCs w:val="24"/>
        </w:rPr>
        <w:t xml:space="preserve">Ley General del Sistema de Medios de Impugnación en Materia Electoral</w:t>
      </w:r>
      <w:r>
        <w:rPr>
          <w:rFonts w:ascii="Arial" w:eastAsia="Arial" w:hAnsi="Arial" w:cs="Arial"/>
          <w:color w:val="000000"/>
          <w:sz w:val="24"/>
          <w:szCs w:val="24"/>
        </w:rPr>
        <w:t xml:space="preserve">. Ese origen se documenta en su primera aplicación judicial, la sentencia SUP-JRC-487/2000. El voto particular emitido en ese mismo asunto recibe después un análisis detenido, y ese análisis precisa con exactitud el punto sobre el que recae el disenso. Esta secuencia une el diagnóstico conceptual con el análisis empírico de la práctica jurisdiccional posterior.</w:t>
      </w:r>
    </w:p>
    <w:p>
      <w:pPr>
        <w:spacing w:before="0" w:after="0" w:line="360" w:lineRule="auto"/>
        <w:jc w:val="left"/>
      </w:pPr>
    </w:p>
    <w:p>
      <w:pPr>
        <w:pStyle w:val="Ttulo2"/>
        <w:keepNext/>
        <w:spacing w:before="0" w:after="0" w:line="360" w:lineRule="auto"/>
        <w:ind w:left="567" w:hanging="284"/>
        <w:jc w:val="left"/>
      </w:pPr>
      <w:bookmarkStart w:id="811" w:name="_Toc9000011"/>
      <w:r>
        <w:rPr>
          <w:rFonts w:ascii="Arial" w:eastAsia="Arial" w:hAnsi="Arial" w:cs="Arial"/>
          <w:color w:val="000000"/>
          <w:sz w:val="24"/>
          <w:szCs w:val="24"/>
        </w:rPr>
        <w:t xml:space="preserve">2.1. </w:t>
      </w:r>
      <w:r>
        <w:rPr>
          <w:rFonts w:ascii="Arial" w:eastAsia="Arial" w:hAnsi="Arial" w:cs="Arial"/>
          <w:i/>
          <w:iCs/>
          <w:color w:val="000000"/>
          <w:sz w:val="24"/>
          <w:szCs w:val="24"/>
        </w:rPr>
        <w:t xml:space="preserve">La sana crítica como error de categoría en la doctrina mexicana de la determinancia electoral</w:t>
      </w:r>
      <w:bookmarkEnd w:id="811"/>
    </w:p>
    <w:p>
      <w:pPr>
        <w:spacing w:before="0" w:after="0" w:line="360" w:lineRule="auto"/>
        <w:jc w:val="left"/>
      </w:pPr>
    </w:p>
    <w:p>
      <w:pPr>
        <w:spacing w:before="0" w:after="0" w:line="360" w:lineRule="auto"/>
        <w:ind w:firstLine="0"/>
        <w:jc w:val="both"/>
      </w:pPr>
      <w:r>
        <w:rPr>
          <w:rFonts w:ascii="Arial" w:eastAsia="Arial" w:hAnsi="Arial" w:cs="Arial"/>
          <w:color w:val="000000"/>
          <w:sz w:val="24"/>
          <w:szCs w:val="24"/>
        </w:rPr>
        <w:t xml:space="preserve">La acreditación de una irregularidad no produce por sí misma la nulidad en el sistema mexicano. Una irregularidad probada no invalida por sí sola la votación recibida en una casilla ni anula una elección. Entre la conducta irregular probada y la sanción anulatoria media un requisito adicional, que la jurisprudencia denomina carácter determinante de la violación. El artículo 16 de la </w:t>
      </w:r>
      <w:r>
        <w:rPr>
          <w:rFonts w:ascii="Arial" w:eastAsia="Arial" w:hAnsi="Arial" w:cs="Arial"/>
          <w:i/>
          <w:iCs/>
          <w:color w:val="000000"/>
          <w:sz w:val="24"/>
          <w:szCs w:val="24"/>
        </w:rPr>
        <w:t xml:space="preserve">Ley General del Sistema de Medios de Impugnación en Materia Electoral</w:t>
      </w:r>
      <w:r>
        <w:rPr>
          <w:rFonts w:ascii="Arial" w:eastAsia="Arial" w:hAnsi="Arial" w:cs="Arial"/>
          <w:color w:val="000000"/>
          <w:sz w:val="24"/>
          <w:szCs w:val="24"/>
        </w:rPr>
        <w:t xml:space="preserve"> confunde un método de valoración con un criterio de suficiencia probatoria. Una confusión análoga afecta a la determinancia. En su configuración jurisprudencial, la determinancia combina dos cuestiones distintas. La primera cuestión es sustantiva y pregunta si la irregularidad tuvo entidad suficiente para alterar el resultado o comprometer los principios de la elección. La segunda cuestión es probatoria y pregunta con qué grado de corroboración debe acreditarse ese impacto, y su separación de la primera es la clave del análisis que sigue.</w:t>
      </w:r>
    </w:p>
    <w:p>
      <w:pPr>
        <w:spacing w:before="0" w:after="0" w:line="360" w:lineRule="auto"/>
        <w:ind w:firstLine="709"/>
        <w:jc w:val="both"/>
      </w:pPr>
      <w:r>
        <w:rPr>
          <w:rFonts w:ascii="Arial" w:eastAsia="Arial" w:hAnsi="Arial" w:cs="Arial"/>
          <w:color w:val="000000"/>
          <w:sz w:val="24"/>
          <w:szCs w:val="24"/>
        </w:rPr>
        <w:t xml:space="preserve">La tesis que aquí se defiende sostiene que los tres factores de la determinancia responden a la cuestión sustantiva. Esos factores se aplican, sin embargo, como si resolvieran la cuestión probatoria. El análisis se apoya en los requisitos metodológicos de un estándar válido, en la jurisprudencia de la Sala Superior y en la doctrina disponible sobre la materia. El examen parte del fundamento de la institución y de la genealogía de sus factores. Ese punto de partida permite analizar por separado los factores cuantitativo, cualitativo y constitucional. En consecuencia, el error de categoría puede proyectarse sobre cada factor con precisión. Las consecuencias de ese error se advierten en los casos resueltos y en su paralelismo con el artículo 16. El fundamento de la institución, que es el principio de conservación de los actos públicos, ofrece la primera evidencia de la duplicidad entre la exigencia probatoria y la exigencia sustantiva.</w:t>
      </w:r>
    </w:p>
    <w:p>
      <w:pPr>
        <w:spacing w:before="0" w:after="0" w:line="360" w:lineRule="auto"/>
        <w:ind w:firstLine="709"/>
        <w:jc w:val="both"/>
      </w:pPr>
      <w:r>
        <w:rPr>
          <w:rFonts w:ascii="Arial" w:eastAsia="Arial" w:hAnsi="Arial" w:cs="Arial"/>
          <w:color w:val="000000"/>
          <w:sz w:val="24"/>
          <w:szCs w:val="24"/>
        </w:rPr>
        <w:t xml:space="preserve">El fundamento dogmático de la determinancia es el principio de conservación de los actos públicos válidamente celebrados. La jurisprudencia 9/98 de la Sala Superior recoge ese principio bajo el aforismo según el cual lo útil no debe ser viciado por lo inútil.</w:t>
      </w:r>
      <w:r>
        <w:rPr>
          <w:rFonts w:ascii="Arial" w:eastAsia="Arial" w:hAnsi="Arial" w:cs="Arial"/>
          <w:color w:val="000000"/>
          <w:sz w:val="24"/>
          <w:szCs w:val="24"/>
          <w:vertAlign w:val="superscript"/>
        </w:rPr>
        <w:footnoteReference w:id="250"/>
      </w:r>
      <w:r>
        <w:rPr>
          <w:rFonts w:ascii="Arial" w:eastAsia="Arial" w:hAnsi="Arial" w:cs="Arial"/>
          <w:color w:val="000000"/>
          <w:sz w:val="24"/>
          <w:szCs w:val="24"/>
        </w:rPr>
        <w:t xml:space="preserve"> Conforme a ese criterio, la nulidad solo procede cuando se acreditan plenamente los supuestos de una causal prevista en la ley y las irregularidades son determinantes para el resultado. La jurisprudencia añade que la nulidad no debe extender sus efectos más allá de la votación, cómputo o elección en que se actualice la causal. La justificación de ese criterio es la protección del voto válidamente emitido por la mayoría de los electores. Esa protección opera frente a las imperfecciones menores de un órgano electoral no profesional, integrado por ciudadanos insaculados. La nulidad por cualquier infracción haría nugatorio el derecho de votar. Esa nulidad indiscriminada propiciaría faltas dirigidas a impedir la participación efectiva del pueblo.</w:t>
      </w:r>
    </w:p>
    <w:p>
      <w:pPr>
        <w:spacing w:before="0" w:after="0" w:line="360" w:lineRule="auto"/>
        <w:ind w:firstLine="709"/>
        <w:jc w:val="both"/>
      </w:pPr>
      <w:r>
        <w:rPr>
          <w:rFonts w:ascii="Arial" w:eastAsia="Arial" w:hAnsi="Arial" w:cs="Arial"/>
          <w:color w:val="000000"/>
          <w:sz w:val="24"/>
          <w:szCs w:val="24"/>
        </w:rPr>
        <w:t xml:space="preserve">La jurisprudencia 9/98 exige dos cosas distintas. La primera exigencia es la acreditación plena de la causal. La segunda exigencia es el carácter determinante de la irregularidad. La acreditación plena es una exigencia probatoria sobre el hecho irregular. El carácter determinante es una exigencia sustantiva sobre la trascendencia de ese hecho. Esta duplicidad está presente desde el origen de la institución y constituye el punto de partida del análisis. Por consiguiente, cualquier examen de la determinancia debe distinguir el juicio sobre la existencia del hecho del juicio sobre su peso en el resultado. Esa distinción se confirma en el fundamento legal de la determinancia, que la ley de medios distribuye de manera desigual entre las distintas causales de nulidad y que la Constitución completa con un sistema propio de nulidades por violaciones graves, dolosas y determinantes.</w:t>
      </w:r>
    </w:p>
    <w:p>
      <w:pPr>
        <w:spacing w:before="0" w:after="0" w:line="360" w:lineRule="auto"/>
        <w:ind w:firstLine="709"/>
        <w:jc w:val="both"/>
      </w:pPr>
      <w:r>
        <w:rPr>
          <w:rFonts w:ascii="Arial" w:eastAsia="Arial" w:hAnsi="Arial" w:cs="Arial"/>
          <w:color w:val="000000"/>
          <w:sz w:val="24"/>
          <w:szCs w:val="24"/>
        </w:rPr>
        <w:t xml:space="preserve">El fundamento legal de la determinancia se encuentra en las causales de nulidad de la ley de medios. El artículo 75 exige expresamente el carácter determinante en algunas causales de nulidad de votación recibida en casilla, como el dolo o error en el cómputo, la presión sobre los electores o la existencia de irregularidades graves no reparables.</w:t>
      </w:r>
      <w:r>
        <w:rPr>
          <w:rFonts w:ascii="Arial" w:eastAsia="Arial" w:hAnsi="Arial" w:cs="Arial"/>
          <w:color w:val="000000"/>
          <w:sz w:val="24"/>
          <w:szCs w:val="24"/>
          <w:vertAlign w:val="superscript"/>
        </w:rPr>
        <w:footnoteReference w:id="251"/>
      </w:r>
      <w:r>
        <w:rPr>
          <w:rFonts w:ascii="Arial" w:eastAsia="Arial" w:hAnsi="Arial" w:cs="Arial"/>
          <w:color w:val="000000"/>
          <w:sz w:val="24"/>
          <w:szCs w:val="24"/>
        </w:rPr>
        <w:t xml:space="preserve"> En otras causales, como la instalación de la casilla en lugar distinto, la ley no menciona ese requisito. Rodarte Nava y sus coautores recuerdan que la doctrina clasifica por ello las causales en explícitas e implícitas, siguiendo a Galván Rivera.</w:t>
      </w:r>
      <w:r>
        <w:rPr>
          <w:rFonts w:ascii="Arial" w:eastAsia="Arial" w:hAnsi="Arial" w:cs="Arial"/>
          <w:color w:val="000000"/>
          <w:sz w:val="24"/>
          <w:szCs w:val="24"/>
          <w:vertAlign w:val="superscript"/>
        </w:rPr>
        <w:footnoteReference w:id="252"/>
      </w:r>
      <w:r>
        <w:rPr>
          <w:rFonts w:ascii="Arial" w:eastAsia="Arial" w:hAnsi="Arial" w:cs="Arial"/>
          <w:color w:val="000000"/>
          <w:sz w:val="24"/>
          <w:szCs w:val="24"/>
        </w:rPr>
        <w:t xml:space="preserve"> Los autores añaden que la jurisprudencia 13/2000 de la Sala Superior exige la determinancia aun cuando la hipótesis respectiva no la mencione.</w:t>
      </w:r>
      <w:r>
        <w:rPr>
          <w:rFonts w:ascii="Arial" w:eastAsia="Arial" w:hAnsi="Arial" w:cs="Arial"/>
          <w:color w:val="000000"/>
          <w:sz w:val="24"/>
          <w:szCs w:val="24"/>
          <w:vertAlign w:val="superscript"/>
        </w:rPr>
        <w:footnoteReference w:id="253"/>
      </w:r>
      <w:r>
        <w:rPr>
          <w:rFonts w:ascii="Arial" w:eastAsia="Arial" w:hAnsi="Arial" w:cs="Arial"/>
          <w:color w:val="000000"/>
          <w:sz w:val="24"/>
          <w:szCs w:val="24"/>
        </w:rPr>
        <w:t xml:space="preserve"> En consecuencia, la determinancia opera como requisito general de toda nulidad de votación. Esa generalidad no depende del texto de cada causal sino de la jurisprudencia. La Constitución añade un fundamento de rango superior para las nulidades de elección.</w:t>
      </w:r>
    </w:p>
    <w:p>
      <w:pPr>
        <w:spacing w:before="0" w:after="0" w:line="360" w:lineRule="auto"/>
        <w:ind w:firstLine="709"/>
        <w:jc w:val="both"/>
      </w:pPr>
      <w:r>
        <w:rPr>
          <w:rFonts w:ascii="Arial" w:eastAsia="Arial" w:hAnsi="Arial" w:cs="Arial"/>
          <w:color w:val="000000"/>
          <w:sz w:val="24"/>
          <w:szCs w:val="24"/>
        </w:rPr>
        <w:t xml:space="preserve">El artículo 41, base VI, de la Constitución establece un sistema de nulidades por violaciones graves, dolosas y determinantes. Esas violaciones deben acreditarse de manera objetiva y material.</w:t>
      </w:r>
      <w:r>
        <w:rPr>
          <w:rFonts w:ascii="Arial" w:eastAsia="Arial" w:hAnsi="Arial" w:cs="Arial"/>
          <w:color w:val="000000"/>
          <w:sz w:val="24"/>
          <w:szCs w:val="24"/>
          <w:vertAlign w:val="superscript"/>
        </w:rPr>
        <w:footnoteReference w:id="254"/>
      </w:r>
      <w:r>
        <w:rPr>
          <w:rFonts w:ascii="Arial" w:eastAsia="Arial" w:hAnsi="Arial" w:cs="Arial"/>
          <w:color w:val="000000"/>
          <w:sz w:val="24"/>
          <w:szCs w:val="24"/>
        </w:rPr>
        <w:t xml:space="preserve"> El mismo precepto presume que las violaciones son determinantes cuando la diferencia entre el primero y el segundo lugar sea menor al cinco por ciento. El artículo 78 bis de la ley de medios reproduce esa regla.</w:t>
      </w:r>
      <w:r>
        <w:rPr>
          <w:rFonts w:ascii="Arial" w:eastAsia="Arial" w:hAnsi="Arial" w:cs="Arial"/>
          <w:color w:val="000000"/>
          <w:sz w:val="24"/>
          <w:szCs w:val="24"/>
          <w:vertAlign w:val="superscript"/>
        </w:rPr>
        <w:footnoteReference w:id="255"/>
      </w:r>
      <w:r>
        <w:rPr>
          <w:rFonts w:ascii="Arial" w:eastAsia="Arial" w:hAnsi="Arial" w:cs="Arial"/>
          <w:color w:val="000000"/>
          <w:sz w:val="24"/>
          <w:szCs w:val="24"/>
        </w:rPr>
        <w:t xml:space="preserve"> Las causales de la base VI son el exceso del gasto de campaña, la compra o adquisición de cobertura informativa o de tiempos en radio y televisión y el uso de recursos ilícitos o públicos. Desde 2026 la injerencia extranjera integra esa lista. Por tanto, el sistema combina causales legales de nulidad de votación con causales constitucionales de nulidad de elección, y en ambas la determinancia ocupa una posición central. La distinción entre sus factores cualitativo y cuantitativo resultó de una construcción jurisprudencial progresiva.</w:t>
      </w:r>
    </w:p>
    <w:p>
      <w:pPr>
        <w:spacing w:before="0" w:after="0" w:line="360" w:lineRule="auto"/>
        <w:ind w:firstLine="709"/>
        <w:jc w:val="both"/>
      </w:pPr>
      <w:r>
        <w:rPr>
          <w:rFonts w:ascii="Arial" w:eastAsia="Arial" w:hAnsi="Arial" w:cs="Arial"/>
          <w:color w:val="000000"/>
          <w:sz w:val="24"/>
          <w:szCs w:val="24"/>
        </w:rPr>
        <w:t xml:space="preserve">La distinción entre factores cualitativo y cuantitativo no surgió de una sola decisión. La jurisprudencia 39/2002 advirtió que los criterios aritméticos no son los únicos viables para establecer la determinancia.</w:t>
      </w:r>
      <w:r>
        <w:rPr>
          <w:rFonts w:ascii="Arial" w:eastAsia="Arial" w:hAnsi="Arial" w:cs="Arial"/>
          <w:color w:val="000000"/>
          <w:sz w:val="24"/>
          <w:szCs w:val="24"/>
          <w:vertAlign w:val="superscript"/>
        </w:rPr>
        <w:footnoteReference w:id="256"/>
      </w:r>
      <w:r>
        <w:rPr>
          <w:rFonts w:ascii="Arial" w:eastAsia="Arial" w:hAnsi="Arial" w:cs="Arial"/>
          <w:color w:val="000000"/>
          <w:sz w:val="24"/>
          <w:szCs w:val="24"/>
        </w:rPr>
        <w:t xml:space="preserve"> Ese criterio admite atender a la conculcación significativa de los principios rectores, a la finalidad de la norma, a la gravedad de la falta y a sus circunstancias. La sistematización más acabada se produjo en la sentencia que anuló la elección de gobernador de Colima en 2003. En ella la Sala Superior sostuvo que, por lo general, el carácter determinante supone la concurrencia de un factor cualitativo y de un factor cuantitativo.</w:t>
      </w:r>
      <w:r>
        <w:rPr>
          <w:rFonts w:ascii="Arial" w:eastAsia="Arial" w:hAnsi="Arial" w:cs="Arial"/>
          <w:color w:val="000000"/>
          <w:sz w:val="24"/>
          <w:szCs w:val="24"/>
          <w:vertAlign w:val="superscript"/>
        </w:rPr>
        <w:footnoteReference w:id="257"/>
      </w:r>
      <w:r>
        <w:rPr>
          <w:rFonts w:ascii="Arial" w:eastAsia="Arial" w:hAnsi="Arial" w:cs="Arial"/>
          <w:color w:val="000000"/>
          <w:sz w:val="24"/>
          <w:szCs w:val="24"/>
        </w:rPr>
        <w:t xml:space="preserve"> Ese razonamiento dio lugar a la tesis XXXI/2004, aprobada en agosto de 2004 con base en ese precedente y en el SUP-JRC-488/2003.</w:t>
      </w:r>
      <w:r>
        <w:rPr>
          <w:rFonts w:ascii="Arial" w:eastAsia="Arial" w:hAnsi="Arial" w:cs="Arial"/>
          <w:color w:val="000000"/>
          <w:sz w:val="24"/>
          <w:szCs w:val="24"/>
          <w:vertAlign w:val="superscript"/>
        </w:rPr>
        <w:footnoteReference w:id="258"/>
      </w:r>
      <w:r>
        <w:rPr>
          <w:rFonts w:ascii="Arial" w:eastAsia="Arial" w:hAnsi="Arial" w:cs="Arial"/>
          <w:color w:val="000000"/>
          <w:sz w:val="24"/>
          <w:szCs w:val="24"/>
        </w:rPr>
        <w:t xml:space="preserve"> El SUP-JRC-165/2008 articuló después un test de invalidez por violación a principios constitucionales, que Olaiz González considera el inicio de una doctrina sobre la invalidez por determinancia.</w:t>
      </w:r>
      <w:r>
        <w:rPr>
          <w:rFonts w:ascii="Arial" w:eastAsia="Arial" w:hAnsi="Arial" w:cs="Arial"/>
          <w:color w:val="000000"/>
          <w:sz w:val="24"/>
          <w:szCs w:val="24"/>
          <w:vertAlign w:val="superscript"/>
        </w:rPr>
        <w:footnoteReference w:id="259"/>
      </w:r>
      <w:r>
        <w:rPr>
          <w:rFonts w:ascii="Arial" w:eastAsia="Arial" w:hAnsi="Arial" w:cs="Arial"/>
          <w:color w:val="000000"/>
          <w:sz w:val="24"/>
          <w:szCs w:val="24"/>
        </w:rPr>
        <w:t xml:space="preserve"> Sus elementos coinciden con los de la jurisprudencia 44/2024.</w:t>
      </w:r>
    </w:p>
    <w:p>
      <w:pPr>
        <w:spacing w:before="0" w:after="0" w:line="360" w:lineRule="auto"/>
        <w:ind w:firstLine="709"/>
        <w:jc w:val="both"/>
      </w:pPr>
      <w:r>
        <w:rPr>
          <w:rFonts w:ascii="Arial" w:eastAsia="Arial" w:hAnsi="Arial" w:cs="Arial"/>
          <w:color w:val="000000"/>
          <w:sz w:val="24"/>
          <w:szCs w:val="24"/>
        </w:rPr>
        <w:t xml:space="preserve">La reforma constitucional de 2014 añadió un tercer componente, que suele denominarse factor legal o constitucional. Ese componente es, con mayor precisión, una presunción de determinancia ligada a la base VI del artículo 41. Olaiz González explica que la reforma respondió al defecto de fiscalización que marcó la elección presidencial de 2012, en la que el tribunal careció oportunamente del dictamen consolidado de gastos.</w:t>
      </w:r>
      <w:r>
        <w:rPr>
          <w:rFonts w:ascii="Arial" w:eastAsia="Arial" w:hAnsi="Arial" w:cs="Arial"/>
          <w:color w:val="000000"/>
          <w:sz w:val="24"/>
          <w:szCs w:val="24"/>
          <w:vertAlign w:val="superscript"/>
        </w:rPr>
        <w:footnoteReference w:id="260"/>
      </w:r>
      <w:r>
        <w:rPr>
          <w:rFonts w:ascii="Arial" w:eastAsia="Arial" w:hAnsi="Arial" w:cs="Arial"/>
          <w:color w:val="000000"/>
          <w:sz w:val="24"/>
          <w:szCs w:val="24"/>
        </w:rPr>
        <w:t xml:space="preserve"> La Sala Superior fijó la naturaleza de la presunción en la contradicción de criterios SUP-CDC-2/2017. En ella sostuvo que la presunción es relativa y constituye un parámetro mínimo, pero no el único supuesto para acreditar la determinancia.</w:t>
      </w:r>
      <w:r>
        <w:rPr>
          <w:rFonts w:ascii="Arial" w:eastAsia="Arial" w:hAnsi="Arial" w:cs="Arial"/>
          <w:color w:val="000000"/>
          <w:sz w:val="24"/>
          <w:szCs w:val="24"/>
          <w:vertAlign w:val="superscript"/>
        </w:rPr>
        <w:footnoteReference w:id="261"/>
      </w:r>
      <w:r>
        <w:rPr>
          <w:rFonts w:ascii="Arial" w:eastAsia="Arial" w:hAnsi="Arial" w:cs="Arial"/>
          <w:color w:val="000000"/>
          <w:sz w:val="24"/>
          <w:szCs w:val="24"/>
        </w:rPr>
        <w:t xml:space="preserve"> La jurisprudencia 44/2024 consolidó los cuatro elementos de la nulidad por violación a principios constitucionales, que son la existencia de hechos violatorios, su acreditación plena, el grado de afectación y su carácter cualitativa o cuantitativamente determinante.</w:t>
      </w:r>
      <w:r>
        <w:rPr>
          <w:rFonts w:ascii="Arial" w:eastAsia="Arial" w:hAnsi="Arial" w:cs="Arial"/>
          <w:color w:val="000000"/>
          <w:sz w:val="24"/>
          <w:szCs w:val="24"/>
          <w:vertAlign w:val="superscript"/>
        </w:rPr>
        <w:footnoteReference w:id="262"/>
      </w:r>
      <w:r>
        <w:rPr>
          <w:rFonts w:ascii="Arial" w:eastAsia="Arial" w:hAnsi="Arial" w:cs="Arial"/>
          <w:color w:val="000000"/>
          <w:sz w:val="24"/>
          <w:szCs w:val="24"/>
        </w:rPr>
        <w:t xml:space="preserve"> El segundo elemento es probatorio y el cuarto es sustantivo. Ningún criterio precisa la corroboración exigida para el cuarto.</w:t>
      </w:r>
    </w:p>
    <w:p>
      <w:pPr>
        <w:spacing w:before="0" w:after="0" w:line="360" w:lineRule="auto"/>
        <w:ind w:firstLine="709"/>
        <w:jc w:val="both"/>
      </w:pPr>
      <w:r>
        <w:rPr>
          <w:rFonts w:ascii="Arial" w:eastAsia="Arial" w:hAnsi="Arial" w:cs="Arial"/>
          <w:color w:val="000000"/>
          <w:sz w:val="24"/>
          <w:szCs w:val="24"/>
        </w:rPr>
        <w:t xml:space="preserve">Cada uno de los tres factores merece un examen separado. El factor cuantitativo atiende, según la tesis XXXI/2004, a una magnitud medible. Esa magnitud puede consistir en el cúmulo de irregularidades graves o en el número cierto o calculable racionalmente de votos emitidos en forma irregular.</w:t>
      </w:r>
      <w:r>
        <w:rPr>
          <w:rFonts w:ascii="Arial" w:eastAsia="Arial" w:hAnsi="Arial" w:cs="Arial"/>
          <w:color w:val="000000"/>
          <w:sz w:val="24"/>
          <w:szCs w:val="24"/>
          <w:vertAlign w:val="superscript"/>
        </w:rPr>
        <w:footnoteReference w:id="263"/>
      </w:r>
      <w:r>
        <w:rPr>
          <w:rFonts w:ascii="Arial" w:eastAsia="Arial" w:hAnsi="Arial" w:cs="Arial"/>
          <w:color w:val="000000"/>
          <w:sz w:val="24"/>
          <w:szCs w:val="24"/>
        </w:rPr>
        <w:t xml:space="preserve"> La tesis precisa que ese número puede establecerse mediante prueba directa o indirecta, como la indiciaria. El dato así obtenido se compara con la diferencia entre el primero y el segundo lugar. La irregularidad es determinante si alcanza a definir el resultado. Por consiguiente, el factor cuantitativo reduce la determinancia a una comparación entre dos cifras. La calidad de esa comparación depende de la manera en que se obtiene la cifra de votos irregulares, y un precedente de 2006 muestra la versión más depurada de este método.</w:t>
      </w:r>
    </w:p>
    <w:p>
      <w:pPr>
        <w:spacing w:before="0" w:after="0" w:line="360" w:lineRule="auto"/>
        <w:ind w:firstLine="709"/>
        <w:jc w:val="both"/>
      </w:pPr>
      <w:r>
        <w:rPr>
          <w:rFonts w:ascii="Arial" w:eastAsia="Arial" w:hAnsi="Arial" w:cs="Arial"/>
          <w:color w:val="000000"/>
          <w:sz w:val="24"/>
          <w:szCs w:val="24"/>
        </w:rPr>
        <w:t xml:space="preserve">El juicio de inconformidad SUP-JIN-212/2006, relativo a la elección presidencial de ese año en un distrito de la Ciudad de México, ilustra la versión más depurada del método cuantitativo.</w:t>
      </w:r>
      <w:r>
        <w:rPr>
          <w:rFonts w:ascii="Arial" w:eastAsia="Arial" w:hAnsi="Arial" w:cs="Arial"/>
          <w:color w:val="000000"/>
          <w:sz w:val="24"/>
          <w:szCs w:val="24"/>
          <w:vertAlign w:val="superscript"/>
        </w:rPr>
        <w:footnoteReference w:id="264"/>
      </w:r>
      <w:r>
        <w:rPr>
          <w:rFonts w:ascii="Arial" w:eastAsia="Arial" w:hAnsi="Arial" w:cs="Arial"/>
          <w:color w:val="000000"/>
          <w:sz w:val="24"/>
          <w:szCs w:val="24"/>
        </w:rPr>
        <w:t xml:space="preserve"> Tras el recuento ordenado incidentalmente, la Sala comparó en cada casilla la mayor discrepancia entre los rubros fundamentales del acta con la diferencia entre los dos primeros lugares. En la casilla 4304 básica, la discrepancia fue de once votos y la diferencia entre los dos primeros lugares de tres, por lo que se anuló la votación.</w:t>
      </w:r>
      <w:r>
        <w:rPr>
          <w:rFonts w:ascii="Arial" w:eastAsia="Arial" w:hAnsi="Arial" w:cs="Arial"/>
          <w:color w:val="000000"/>
          <w:sz w:val="24"/>
          <w:szCs w:val="24"/>
          <w:vertAlign w:val="superscript"/>
        </w:rPr>
        <w:footnoteReference w:id="265"/>
      </w:r>
      <w:r>
        <w:rPr>
          <w:rFonts w:ascii="Arial" w:eastAsia="Arial" w:hAnsi="Arial" w:cs="Arial"/>
          <w:color w:val="000000"/>
          <w:sz w:val="24"/>
          <w:szCs w:val="24"/>
        </w:rPr>
        <w:t xml:space="preserve"> En las casillas en que la discrepancia era menor que esa diferencia, se tuvo por no satisfecho el requisito de la determinancia.</w:t>
      </w:r>
      <w:r>
        <w:rPr>
          <w:rFonts w:ascii="Arial" w:eastAsia="Arial" w:hAnsi="Arial" w:cs="Arial"/>
          <w:color w:val="000000"/>
          <w:sz w:val="24"/>
          <w:szCs w:val="24"/>
          <w:vertAlign w:val="superscript"/>
        </w:rPr>
        <w:footnoteReference w:id="266"/>
      </w:r>
      <w:r>
        <w:rPr>
          <w:rFonts w:ascii="Arial" w:eastAsia="Arial" w:hAnsi="Arial" w:cs="Arial"/>
          <w:color w:val="000000"/>
          <w:sz w:val="24"/>
          <w:szCs w:val="24"/>
        </w:rPr>
        <w:t xml:space="preserve"> En este supuesto la aritmética funciona correctamente. La irregularidad misma es numérica y está documentada en las actas y en la lista nominal. Ninguna inferencia se interpone entre el documento y la cifra que se compara con el margen. Esa condición favorable desaparece cuando la irregularidad no tiene una expresión numérica directa.</w:t>
      </w:r>
    </w:p>
    <w:p>
      <w:pPr>
        <w:spacing w:before="0" w:after="0" w:line="360" w:lineRule="auto"/>
        <w:ind w:firstLine="709"/>
        <w:jc w:val="both"/>
      </w:pPr>
      <w:r>
        <w:rPr>
          <w:rFonts w:ascii="Arial" w:eastAsia="Arial" w:hAnsi="Arial" w:cs="Arial"/>
          <w:color w:val="000000"/>
          <w:sz w:val="24"/>
          <w:szCs w:val="24"/>
        </w:rPr>
        <w:t xml:space="preserve">La dificultad aparece cuando la irregularidad no es numérica. Rodarte Nava y sus coautores, integrantes del tribunal electoral de Zacatecas, advierten que resulta altamente problemático conocer cuántas personas votaron durante el tiempo en que se presentó la situación irregular.</w:t>
      </w:r>
      <w:r>
        <w:rPr>
          <w:rFonts w:ascii="Arial" w:eastAsia="Arial" w:hAnsi="Arial" w:cs="Arial"/>
          <w:color w:val="000000"/>
          <w:sz w:val="24"/>
          <w:szCs w:val="24"/>
          <w:vertAlign w:val="superscript"/>
        </w:rPr>
        <w:footnoteReference w:id="267"/>
      </w:r>
      <w:r>
        <w:rPr>
          <w:rFonts w:ascii="Arial" w:eastAsia="Arial" w:hAnsi="Arial" w:cs="Arial"/>
          <w:color w:val="000000"/>
          <w:sz w:val="24"/>
          <w:szCs w:val="24"/>
        </w:rPr>
        <w:t xml:space="preserve"> Los autores señalan que, por ello, en algunas ocasiones se invalidan sufragios con el argumento de que la violación fue tan grave que se presume su influencia en el resultado. En otras ocasiones se deja de anular ante la imposibilidad de cuantificar los votos emitidos irregularmente. Los autores concluyen que no existe un método definitivo e infalible para conocer con exactitud la cantidad de votos emitidos de manera irregular. Esa conclusión revela que el factor cuantitativo pierde su precisión aparente cuando carece de un registro documental. En consecuencia, la misma clase de irregularidad puede producir decisiones opuestas. Los autores proponen un remedio técnico para reducir esa incertidumbre.</w:t>
      </w:r>
    </w:p>
    <w:p>
      <w:pPr>
        <w:spacing w:before="0" w:after="0" w:line="360" w:lineRule="auto"/>
        <w:ind w:firstLine="709"/>
        <w:jc w:val="both"/>
      </w:pPr>
      <w:r>
        <w:rPr>
          <w:rFonts w:ascii="Arial" w:eastAsia="Arial" w:hAnsi="Arial" w:cs="Arial"/>
          <w:color w:val="000000"/>
          <w:sz w:val="24"/>
          <w:szCs w:val="24"/>
        </w:rPr>
        <w:t xml:space="preserve">La propuesta de Rodarte Nava y sus coautores consiste en añadir la hora al sello con la leyenda votó que se estampa en la lista nominal. Ese registro permitiría contabilizar con mayor certeza los sufragios recibidos durante el lapso irregular.</w:t>
      </w:r>
      <w:r>
        <w:rPr>
          <w:rFonts w:ascii="Arial" w:eastAsia="Arial" w:hAnsi="Arial" w:cs="Arial"/>
          <w:color w:val="000000"/>
          <w:sz w:val="24"/>
          <w:szCs w:val="24"/>
          <w:vertAlign w:val="superscript"/>
        </w:rPr>
        <w:footnoteReference w:id="268"/>
      </w:r>
      <w:r>
        <w:rPr>
          <w:rFonts w:ascii="Arial" w:eastAsia="Arial" w:hAnsi="Arial" w:cs="Arial"/>
          <w:color w:val="000000"/>
          <w:sz w:val="24"/>
          <w:szCs w:val="24"/>
        </w:rPr>
        <w:t xml:space="preserve"> Los autores ilustran su utilidad con el caso de un funcionario de casilla que, siendo autoridad municipal, permaneció en la mesa hasta cierta hora. En ese supuesto la presunción de presión sobre los electores no bastaría por sí sola, porque habría que evidenciar cuántos votaron en esas condiciones.</w:t>
      </w:r>
      <w:r>
        <w:rPr>
          <w:rFonts w:ascii="Arial" w:eastAsia="Arial" w:hAnsi="Arial" w:cs="Arial"/>
          <w:color w:val="000000"/>
          <w:sz w:val="24"/>
          <w:szCs w:val="24"/>
          <w:vertAlign w:val="superscript"/>
        </w:rPr>
        <w:footnoteReference w:id="269"/>
      </w:r>
      <w:r>
        <w:rPr>
          <w:rFonts w:ascii="Arial" w:eastAsia="Arial" w:hAnsi="Arial" w:cs="Arial"/>
          <w:color w:val="000000"/>
          <w:sz w:val="24"/>
          <w:szCs w:val="24"/>
        </w:rPr>
        <w:t xml:space="preserve"> La propuesta es valiosa, pero su alcance es deliberadamente parcial. El registro horario solo sirve cuando la irregularidad está acotada en el tiempo. Las irregularidades difusas, como la coacción o la propaganda ilícita, no dejan una huella horaria en la lista nominal. El diagnóstico de los autores permite, sin embargo, precisar dónde reside el problema epistémico del factor cuantitativo.</w:t>
      </w:r>
    </w:p>
    <w:p>
      <w:pPr>
        <w:spacing w:before="0" w:after="0" w:line="360" w:lineRule="auto"/>
        <w:ind w:firstLine="709"/>
        <w:jc w:val="both"/>
      </w:pPr>
      <w:r>
        <w:rPr>
          <w:rFonts w:ascii="Arial" w:eastAsia="Arial" w:hAnsi="Arial" w:cs="Arial"/>
          <w:color w:val="000000"/>
          <w:sz w:val="24"/>
          <w:szCs w:val="24"/>
        </w:rPr>
        <w:t xml:space="preserve">El problema epistémico del factor cuantitativo reside en la cifra de votos irregulares. La precisión del margen de victoria no dice nada sobre el grado de corroboración del hecho irregular ni sobre el número de votos afectados. Saber con exactitud que la diferencia es de quinientos votos no permite concluir que seiscientos electores fueron coaccionados. Ese número debe inferirse a partir de indicios, y la inferencia requiere un estándar que indique cuándo está suficientemente probado. La tesis XXXI/2004 admite expresamente la prueba indiciaria, pero no establece ese estándar. En consecuencia, el factor cuantitativo opera como una comparación aritmética rigurosa entre dos magnitudes, de las cuales solo una está probada con documentos públicos. La otra magnitud, el número de votos irregulares, depende de una inferencia cuya suficiencia no se controla. Esa asimetría entre las dos magnitudes exige precisar la relación del factor cuantitativo con los requisitos metodológicos.</w:t>
      </w:r>
    </w:p>
    <w:p>
      <w:pPr>
        <w:spacing w:before="0" w:after="0" w:line="360" w:lineRule="auto"/>
        <w:ind w:firstLine="709"/>
        <w:jc w:val="both"/>
      </w:pPr>
      <w:r>
        <w:rPr>
          <w:rFonts w:ascii="Arial" w:eastAsia="Arial" w:hAnsi="Arial" w:cs="Arial"/>
          <w:color w:val="000000"/>
          <w:sz w:val="24"/>
          <w:szCs w:val="24"/>
        </w:rPr>
        <w:t xml:space="preserve">El factor cuantitativo no vulnera por sí mismo el tercer requisito metodológico. Ese requisito prohíbe cuantificar la probabilidad de la hipótesis, y el factor cuantitativo no pretende hacerlo. El factor cuenta votos y no asigna valores numéricos al grado de prueba de la hipótesis. Su defecto es de otra naturaleza. El factor desplaza la atención hacia una cifra y oculta la decisión previa sobre la suficiencia de la prueba que la sustenta. Por tanto, la exactitud del cálculo encubre la inexactitud de la inferencia que alimenta uno de sus términos. El juzgador compara con rigor un dato probado con un dato inferido sin declarar el umbral que autorizó la inferencia. El factor cualitativo presenta un defecto distinto, porque no desplaza la atención hacia una cifra sino hacia la gravedad de la violación.</w:t>
      </w:r>
    </w:p>
    <w:p>
      <w:pPr>
        <w:spacing w:before="0" w:after="0" w:line="360" w:lineRule="auto"/>
        <w:ind w:firstLine="709"/>
        <w:jc w:val="both"/>
      </w:pPr>
      <w:r>
        <w:rPr>
          <w:rFonts w:ascii="Arial" w:eastAsia="Arial" w:hAnsi="Arial" w:cs="Arial"/>
          <w:color w:val="000000"/>
          <w:sz w:val="24"/>
          <w:szCs w:val="24"/>
        </w:rPr>
        <w:t xml:space="preserve">El factor cualitativo atiende a la naturaleza y a los rasgos de la violación que permiten calificarla como grave. Según la tesis XXXI/2004, la violación es sustancial cuando conculca principios o valores constitucionales indispensables para una elección libre y auténtica.</w:t>
      </w:r>
      <w:r>
        <w:rPr>
          <w:rFonts w:ascii="Arial" w:eastAsia="Arial" w:hAnsi="Arial" w:cs="Arial"/>
          <w:color w:val="000000"/>
          <w:sz w:val="24"/>
          <w:szCs w:val="24"/>
          <w:vertAlign w:val="superscript"/>
        </w:rPr>
        <w:footnoteReference w:id="270"/>
      </w:r>
      <w:r>
        <w:rPr>
          <w:rFonts w:ascii="Arial" w:eastAsia="Arial" w:hAnsi="Arial" w:cs="Arial"/>
          <w:color w:val="000000"/>
          <w:sz w:val="24"/>
          <w:szCs w:val="24"/>
        </w:rPr>
        <w:t xml:space="preserve"> Entre esos principios la tesis menciona la legalidad, la certeza, la objetividad, la independencia, la imparcialidad, las características del sufragio y la equidad en la contienda. En la sentencia de Colima, la Sala Superior identificó cuatro elementos para establecer el carácter determinante. Esos elementos son la naturaleza de las violaciones, su magnitud o recurrencia, el número de votos irregulares cuando sea posible establecerlo y la diferencia entre los contendientes.</w:t>
      </w:r>
      <w:r>
        <w:rPr>
          <w:rFonts w:ascii="Arial" w:eastAsia="Arial" w:hAnsi="Arial" w:cs="Arial"/>
          <w:color w:val="000000"/>
          <w:sz w:val="24"/>
          <w:szCs w:val="24"/>
          <w:vertAlign w:val="superscript"/>
        </w:rPr>
        <w:footnoteReference w:id="271"/>
      </w:r>
      <w:r>
        <w:rPr>
          <w:rFonts w:ascii="Arial" w:eastAsia="Arial" w:hAnsi="Arial" w:cs="Arial"/>
          <w:color w:val="000000"/>
          <w:sz w:val="24"/>
          <w:szCs w:val="24"/>
        </w:rPr>
        <w:t xml:space="preserve"> Por consiguiente, el factor cualitativo no prescinde de los datos cuantitativos, sino que los integra en una apreciación más amplia. La Sala combinó esos elementos para distinguir cuatro situaciones típicas. Cada situación exige una combinación distinta de gravedad y cantidad.</w:t>
      </w:r>
    </w:p>
    <w:p>
      <w:pPr>
        <w:spacing w:before="0" w:after="0" w:line="360" w:lineRule="auto"/>
        <w:ind w:firstLine="709"/>
        <w:jc w:val="both"/>
      </w:pPr>
      <w:r>
        <w:rPr>
          <w:rFonts w:ascii="Arial" w:eastAsia="Arial" w:hAnsi="Arial" w:cs="Arial"/>
          <w:color w:val="000000"/>
          <w:sz w:val="24"/>
          <w:szCs w:val="24"/>
        </w:rPr>
        <w:t xml:space="preserve">La Sala distinguió cuatro situaciones en la sentencia de Colima. La primera situación comprende irregularidades generalizadas que no son cualitativamente determinantes. La segunda comprende violaciones graves pero aisladas que carecen del elemento cuantitativo. La tercera comprende violaciones graves y extendidas que se traducen en una cantidad calculable de votos. La cuarta comprende infracciones en las que resulta innecesario exigir el aspecto cuantitativo.</w:t>
      </w:r>
      <w:r>
        <w:rPr>
          <w:rFonts w:ascii="Arial" w:eastAsia="Arial" w:hAnsi="Arial" w:cs="Arial"/>
          <w:color w:val="000000"/>
          <w:sz w:val="24"/>
          <w:szCs w:val="24"/>
          <w:vertAlign w:val="superscript"/>
        </w:rPr>
        <w:footnoteReference w:id="272"/>
      </w:r>
      <w:r>
        <w:rPr>
          <w:rFonts w:ascii="Arial" w:eastAsia="Arial" w:hAnsi="Arial" w:cs="Arial"/>
          <w:color w:val="000000"/>
          <w:sz w:val="24"/>
          <w:szCs w:val="24"/>
        </w:rPr>
        <w:t xml:space="preserve"> Este último supuesto incluye, por ejemplo, el escrutinio realizado en el domicilio de militantes de un partido sin la presencia de los demás representantes. En ese supuesto la irregularidad destruye la certeza del resultado sin necesidad de contar votos, porque impide verificar la autenticidad del escrutinio. La misma sentencia contiene, junto a esa tipología, una formulación sobre el grado de prueba que interesa directamente a esta investigación y que revela un estándar implícito.</w:t>
      </w:r>
    </w:p>
    <w:p>
      <w:pPr>
        <w:spacing w:before="0" w:after="0" w:line="360" w:lineRule="auto"/>
        <w:ind w:firstLine="709"/>
        <w:jc w:val="both"/>
      </w:pPr>
      <w:r>
        <w:rPr>
          <w:rFonts w:ascii="Arial" w:eastAsia="Arial" w:hAnsi="Arial" w:cs="Arial"/>
          <w:color w:val="000000"/>
          <w:sz w:val="24"/>
          <w:szCs w:val="24"/>
        </w:rPr>
        <w:t xml:space="preserve">La sentencia de Colima contiene una formulación que interesa directamente a esta investigación. La Sala sostuvo que lo fundamental del carácter determinante es que se acredite plenamente que, de no haber ocurrido la irregularidad, el resultado habría favorecido a otro partido.</w:t>
      </w:r>
      <w:r>
        <w:rPr>
          <w:rFonts w:ascii="Arial" w:eastAsia="Arial" w:hAnsi="Arial" w:cs="Arial"/>
          <w:color w:val="000000"/>
          <w:sz w:val="24"/>
          <w:szCs w:val="24"/>
          <w:vertAlign w:val="superscript"/>
        </w:rPr>
        <w:footnoteReference w:id="273"/>
      </w:r>
      <w:r>
        <w:rPr>
          <w:rFonts w:ascii="Arial" w:eastAsia="Arial" w:hAnsi="Arial" w:cs="Arial"/>
          <w:color w:val="000000"/>
          <w:sz w:val="24"/>
          <w:szCs w:val="24"/>
        </w:rPr>
        <w:t xml:space="preserve"> La Sala añadió, como alternativa, que las irregularidades generen una duda fundada y razonable sobre el resultado electoral. Más adelante la Sala habló de la probabilidad seria, fundada o razonable de que se afectó decisivamente el resultado.</w:t>
      </w:r>
      <w:r>
        <w:rPr>
          <w:rFonts w:ascii="Arial" w:eastAsia="Arial" w:hAnsi="Arial" w:cs="Arial"/>
          <w:color w:val="000000"/>
          <w:sz w:val="24"/>
          <w:szCs w:val="24"/>
          <w:vertAlign w:val="superscript"/>
        </w:rPr>
        <w:footnoteReference w:id="274"/>
      </w:r>
      <w:r>
        <w:rPr>
          <w:rFonts w:ascii="Arial" w:eastAsia="Arial" w:hAnsi="Arial" w:cs="Arial"/>
          <w:color w:val="000000"/>
          <w:sz w:val="24"/>
          <w:szCs w:val="24"/>
        </w:rPr>
        <w:t xml:space="preserve"> Estas expresiones no describen la gravedad de la violación, sino el grado de corroboración exigido para tener por acreditado su impacto. Por tanto, esas expresiones constituyen un estándar de prueba formulado en el interior del factor cualitativo, aunque la Sala no lo identificó como tal. El estándar implícito presenta una inestabilidad interna. Esa inestabilidad se advierte en la alternancia entre fórmulas de exigencia muy distinta.</w:t>
      </w:r>
    </w:p>
    <w:p>
      <w:pPr>
        <w:spacing w:before="0" w:after="0" w:line="360" w:lineRule="auto"/>
        <w:ind w:firstLine="709"/>
        <w:jc w:val="both"/>
      </w:pPr>
      <w:r>
        <w:rPr>
          <w:rFonts w:ascii="Arial" w:eastAsia="Arial" w:hAnsi="Arial" w:cs="Arial"/>
          <w:color w:val="000000"/>
          <w:sz w:val="24"/>
          <w:szCs w:val="24"/>
        </w:rPr>
        <w:t xml:space="preserve">La sentencia de Colima alterna entre la acreditación plena y la duda razonable. Esas fórmulas expresan umbrales de exigencia muy distinta. La acreditación plena exige que el impacto de la irregularidad sobre el resultado quede demostrado con las pruebas del expediente. La duda razonable solo exige que el resultado quede en entredicho, aunque el impacto no se haya demostrado. Esa alternancia confirma que la suficiencia probatoria de la determinancia se decide en cada caso concreto y no mediante una regla general. En consecuencia, la formulación incumple el segundo requisito metodológico, porque no identifica un resultado probatorio mínimo. El juzgador puede escoger la fórmula más exigente o la más laxa según su apreciación del caso sin rendir cuentas de esa elección. El riesgo que se deriva de esa indeterminación fue descrito con precisión por la doctrina electoral mexicana.</w:t>
      </w:r>
    </w:p>
    <w:p>
      <w:pPr>
        <w:spacing w:before="0" w:after="0" w:line="360" w:lineRule="auto"/>
        <w:ind w:firstLine="709"/>
        <w:jc w:val="both"/>
      </w:pPr>
      <w:r>
        <w:rPr>
          <w:rFonts w:ascii="Arial" w:eastAsia="Arial" w:hAnsi="Arial" w:cs="Arial"/>
          <w:color w:val="000000"/>
          <w:sz w:val="24"/>
          <w:szCs w:val="24"/>
        </w:rPr>
        <w:t xml:space="preserve">Rodarte Nava y sus coautores describieron con precisión el riesgo de esa indeterminación. Cuando la gravedad de la violación se utiliza para presumir su influencia en el resultado, la calificación sustantiva sustituye a la prueba del impacto.</w:t>
      </w:r>
      <w:r>
        <w:rPr>
          <w:rFonts w:ascii="Arial" w:eastAsia="Arial" w:hAnsi="Arial" w:cs="Arial"/>
          <w:color w:val="000000"/>
          <w:sz w:val="24"/>
          <w:szCs w:val="24"/>
          <w:vertAlign w:val="superscript"/>
        </w:rPr>
        <w:footnoteReference w:id="275"/>
      </w:r>
      <w:r>
        <w:rPr>
          <w:rFonts w:ascii="Arial" w:eastAsia="Arial" w:hAnsi="Arial" w:cs="Arial"/>
          <w:color w:val="000000"/>
          <w:sz w:val="24"/>
          <w:szCs w:val="24"/>
        </w:rPr>
        <w:t xml:space="preserve"> El razonamiento incurre entonces en un deslizamiento categorial. La importancia del principio vulnerado, que es una cuestión normativa, se emplea para dar por satisfecha una exigencia fáctica sobre la trascendencia de la conducta. Este deslizamiento no es inevitable, pues la jurisprudencia admite supuestos en que la irregularidad destruye por sí misma la certeza del resultado. En tales supuestos, sin embargo, la determinancia deja de ser un juicio causal y se convierte en una regla de invalidez por la naturaleza de la infracción. Si esa es la opción del sistema, debería expresarse como tal y no como una inferencia sobre votos no cuantificados. La confusión entre ambas posibilidades produce efectos en dos direcciones opuestas.</w:t>
      </w:r>
    </w:p>
    <w:p>
      <w:pPr>
        <w:spacing w:before="0" w:after="0" w:line="360" w:lineRule="auto"/>
        <w:ind w:firstLine="709"/>
        <w:jc w:val="both"/>
      </w:pPr>
      <w:r>
        <w:rPr>
          <w:rFonts w:ascii="Arial" w:eastAsia="Arial" w:hAnsi="Arial" w:cs="Arial"/>
          <w:color w:val="000000"/>
          <w:sz w:val="24"/>
          <w:szCs w:val="24"/>
        </w:rPr>
        <w:t xml:space="preserve">La confusión entre el juicio causal y la regla de invalidez permite que la gravedad opere en dos direcciones. En una dirección, la gravedad opera como sustituto de la prueba del impacto. En la otra dirección, la gravedad opera como razón para exigir una prueba más rigurosa. El mismo dato normativo puede de ese modo abaratar o encarecer la prueba según la apreciación del juzgador en cada asunto. En ambas direcciones la decisión probatoria queda sin un criterio controlable. Por consiguiente, el factor cualitativo no puede cumplir la función de un estándar, aunque la práctica le atribuya esa función. Las partes no pueden anticipar en cuál de las dos direcciones operará la gravedad de la violación que alegan. La presunción de determinancia del artículo 41, base VI, parecería ofrecer una solución a esa incertidumbre.</w:t>
      </w:r>
    </w:p>
    <w:p>
      <w:pPr>
        <w:spacing w:before="0" w:after="0" w:line="360" w:lineRule="auto"/>
        <w:ind w:firstLine="709"/>
        <w:jc w:val="both"/>
      </w:pPr>
      <w:r>
        <w:rPr>
          <w:rFonts w:ascii="Arial" w:eastAsia="Arial" w:hAnsi="Arial" w:cs="Arial"/>
          <w:color w:val="000000"/>
          <w:sz w:val="24"/>
          <w:szCs w:val="24"/>
        </w:rPr>
        <w:t xml:space="preserve">La Sala Superior ha interpretado la presunción de determinancia del artículo 41, base VI, como una presunción relativa. En la contradicción de criterios SUP-CDC-2/2017, la Sala sostuvo que esa previsión no es limitativa ni condiciona la nulidad a un porcentaje específico de votos.</w:t>
      </w:r>
      <w:r>
        <w:rPr>
          <w:rFonts w:ascii="Arial" w:eastAsia="Arial" w:hAnsi="Arial" w:cs="Arial"/>
          <w:color w:val="000000"/>
          <w:sz w:val="24"/>
          <w:szCs w:val="24"/>
          <w:vertAlign w:val="superscript"/>
        </w:rPr>
        <w:footnoteReference w:id="276"/>
      </w:r>
      <w:r>
        <w:rPr>
          <w:rFonts w:ascii="Arial" w:eastAsia="Arial" w:hAnsi="Arial" w:cs="Arial"/>
          <w:color w:val="000000"/>
          <w:sz w:val="24"/>
          <w:szCs w:val="24"/>
        </w:rPr>
        <w:t xml:space="preserve"> La previsión es un parámetro mínimo a partir del cual se puede estimar, salvo prueba en contrario, que la violación es determinante. La Sala argumentó que el Constituyente habría evitado el verbo presumir si hubiese querido una regla absoluta.</w:t>
      </w:r>
      <w:r>
        <w:rPr>
          <w:rFonts w:ascii="Arial" w:eastAsia="Arial" w:hAnsi="Arial" w:cs="Arial"/>
          <w:color w:val="000000"/>
          <w:sz w:val="24"/>
          <w:szCs w:val="24"/>
          <w:vertAlign w:val="superscript"/>
        </w:rPr>
        <w:footnoteReference w:id="277"/>
      </w:r>
      <w:r>
        <w:rPr>
          <w:rFonts w:ascii="Arial" w:eastAsia="Arial" w:hAnsi="Arial" w:cs="Arial"/>
          <w:color w:val="000000"/>
          <w:sz w:val="24"/>
          <w:szCs w:val="24"/>
        </w:rPr>
        <w:t xml:space="preserve"> La Sala añadió que la invalidez de la voluntad ciudadana exige el mayor grado de certeza de que las violaciones son efectivamente determinantes. Cuando la diferencia es igual o mayor al cinco por ciento, la presunción no opera. En ese supuesto la determinancia puede acreditarse mediante los factores cualitativo y cuantitativo de la tesis XXXI/2004.</w:t>
      </w:r>
      <w:r>
        <w:rPr>
          <w:rFonts w:ascii="Arial" w:eastAsia="Arial" w:hAnsi="Arial" w:cs="Arial"/>
          <w:color w:val="000000"/>
          <w:sz w:val="24"/>
          <w:szCs w:val="24"/>
          <w:vertAlign w:val="superscript"/>
        </w:rPr>
        <w:footnoteReference w:id="278"/>
      </w:r>
      <w:r>
        <w:rPr>
          <w:rFonts w:ascii="Arial" w:eastAsia="Arial" w:hAnsi="Arial" w:cs="Arial"/>
          <w:color w:val="000000"/>
          <w:sz w:val="24"/>
          <w:szCs w:val="24"/>
        </w:rPr>
        <w:t xml:space="preserve"> La regla resultante distribuye la carga de la prueba según el margen de victoria.</w:t>
      </w:r>
    </w:p>
    <w:p>
      <w:pPr>
        <w:spacing w:before="0" w:after="0" w:line="360" w:lineRule="auto"/>
        <w:ind w:firstLine="709"/>
        <w:jc w:val="both"/>
      </w:pPr>
      <w:r>
        <w:rPr>
          <w:rFonts w:ascii="Arial" w:eastAsia="Arial" w:hAnsi="Arial" w:cs="Arial"/>
          <w:color w:val="000000"/>
          <w:sz w:val="24"/>
          <w:szCs w:val="24"/>
        </w:rPr>
        <w:t xml:space="preserve">La regla del cinco por ciento deja al juzgador la decisión final sobre la actualización del elemento en ambos supuestos.</w:t>
      </w:r>
      <w:r>
        <w:rPr>
          <w:rFonts w:ascii="Arial" w:eastAsia="Arial" w:hAnsi="Arial" w:cs="Arial"/>
          <w:color w:val="000000"/>
          <w:sz w:val="24"/>
          <w:szCs w:val="24"/>
          <w:vertAlign w:val="superscript"/>
        </w:rPr>
        <w:footnoteReference w:id="279"/>
      </w:r>
      <w:r>
        <w:rPr>
          <w:rFonts w:ascii="Arial" w:eastAsia="Arial" w:hAnsi="Arial" w:cs="Arial"/>
          <w:color w:val="000000"/>
          <w:sz w:val="24"/>
          <w:szCs w:val="24"/>
        </w:rPr>
        <w:t xml:space="preserve"> La presunción asigna quién debe probar, pero no fija cuánto debe probarse. Esta interpretación obliga a corregir dos objeciones frecuentes contra la regla del cinco por ciento. La primera objeción sostiene que una infracción grave cometida en una elección con un margen superior al umbral se vuelve inimpugnable. La contradicción de criterios muestra lo contrario, pues fuera del umbral la determinancia puede acreditarse, aunque la carga recae en quien pretende la nulidad. La segunda objeción sostiene que, dentro del umbral, cualquier indicio leve basta para anular. Esa objeción tampoco es exacta, porque la presunción solo alcanza a la determinancia y deja intacta la exigencia de acreditar de manera objetiva y material la violación, su gravedad y el dolo.</w:t>
      </w:r>
      <w:r>
        <w:rPr>
          <w:rFonts w:ascii="Arial" w:eastAsia="Arial" w:hAnsi="Arial" w:cs="Arial"/>
          <w:color w:val="000000"/>
          <w:sz w:val="24"/>
          <w:szCs w:val="24"/>
          <w:vertAlign w:val="superscript"/>
        </w:rPr>
        <w:footnoteReference w:id="280"/>
      </w:r>
      <w:r>
        <w:rPr>
          <w:rFonts w:ascii="Arial" w:eastAsia="Arial" w:hAnsi="Arial" w:cs="Arial"/>
          <w:color w:val="000000"/>
          <w:sz w:val="24"/>
          <w:szCs w:val="24"/>
        </w:rPr>
        <w:t xml:space="preserve"> El defecto real de la regla es de otra naturaleza.</w:t>
      </w:r>
    </w:p>
    <w:p>
      <w:pPr>
        <w:spacing w:before="0" w:after="0" w:line="360" w:lineRule="auto"/>
        <w:ind w:firstLine="709"/>
        <w:jc w:val="both"/>
      </w:pPr>
      <w:r>
        <w:rPr>
          <w:rFonts w:ascii="Arial" w:eastAsia="Arial" w:hAnsi="Arial" w:cs="Arial"/>
          <w:color w:val="000000"/>
          <w:sz w:val="24"/>
          <w:szCs w:val="24"/>
        </w:rPr>
        <w:t xml:space="preserve">El defecto de la regla del cinco por ciento reside en la relación entre carga y estándar. La presunción del cinco por ciento es una regla de carga de la prueba. Las cargas presuponen un estándar de suficiencia que les dé contenido y que indique cuándo la parte gravada ha cumplido. El sistema establece con claridad quién soporta el riesgo de la falta de prueba. Sin embargo, el sistema no indica qué grado de corroboración desvirtúa la presunción ni qué grado la establece fuera del umbral. La expresión mayor grado de certeza, empleada por la propia Sala, carece de un umbral identificable. En consecuencia, el factor constitucional distribuye el riesgo sin definir la medida con la que ese riesgo se materializa. El análisis de la determinancia en un caso de violencia política confirma este diagnóstico con especial claridad.</w:t>
      </w:r>
    </w:p>
    <w:p>
      <w:pPr>
        <w:spacing w:before="0" w:after="0" w:line="360" w:lineRule="auto"/>
        <w:ind w:firstLine="709"/>
        <w:jc w:val="both"/>
      </w:pPr>
      <w:r>
        <w:rPr>
          <w:rFonts w:ascii="Arial" w:eastAsia="Arial" w:hAnsi="Arial" w:cs="Arial"/>
          <w:color w:val="000000"/>
          <w:sz w:val="24"/>
          <w:szCs w:val="24"/>
        </w:rPr>
        <w:t xml:space="preserve">El análisis de la determinancia en el SUP-REC-1388/2018 confirma el diagnóstico sobre la regla de carga. El caso versó sobre la elección de la alcaldía de Coyoacán, en la que se acreditaron actos de violencia política por razón de género contra una candidata.</w:t>
      </w:r>
      <w:r>
        <w:rPr>
          <w:rFonts w:ascii="Arial" w:eastAsia="Arial" w:hAnsi="Arial" w:cs="Arial"/>
          <w:color w:val="000000"/>
          <w:sz w:val="24"/>
          <w:szCs w:val="24"/>
          <w:vertAlign w:val="superscript"/>
        </w:rPr>
        <w:footnoteReference w:id="281"/>
      </w:r>
      <w:r>
        <w:rPr>
          <w:rFonts w:ascii="Arial" w:eastAsia="Arial" w:hAnsi="Arial" w:cs="Arial"/>
          <w:color w:val="000000"/>
          <w:sz w:val="24"/>
          <w:szCs w:val="24"/>
        </w:rPr>
        <w:t xml:space="preserve"> La Sala afirmó que el estándar para analizar la determinancia debía ser mínimo para quien pretende demostrar ese tipo de violencia.</w:t>
      </w:r>
      <w:r>
        <w:rPr>
          <w:rFonts w:ascii="Arial" w:eastAsia="Arial" w:hAnsi="Arial" w:cs="Arial"/>
          <w:color w:val="000000"/>
          <w:sz w:val="24"/>
          <w:szCs w:val="24"/>
          <w:vertAlign w:val="superscript"/>
        </w:rPr>
        <w:footnoteReference w:id="282"/>
      </w:r>
      <w:r>
        <w:rPr>
          <w:rFonts w:ascii="Arial" w:eastAsia="Arial" w:hAnsi="Arial" w:cs="Arial"/>
          <w:color w:val="000000"/>
          <w:sz w:val="24"/>
          <w:szCs w:val="24"/>
        </w:rPr>
        <w:t xml:space="preserve"> Al examinar unos videos difundidos en redes sociales, la Sala sostuvo que no bastaba conocer cuántas veces fueron vistos. Según la Sala, era necesario conocer la influencia que esos videos tuvieron en la definición del voto.</w:t>
      </w:r>
      <w:r>
        <w:rPr>
          <w:rFonts w:ascii="Arial" w:eastAsia="Arial" w:hAnsi="Arial" w:cs="Arial"/>
          <w:color w:val="000000"/>
          <w:sz w:val="24"/>
          <w:szCs w:val="24"/>
          <w:vertAlign w:val="superscript"/>
        </w:rPr>
        <w:footnoteReference w:id="283"/>
      </w:r>
      <w:r>
        <w:rPr>
          <w:rFonts w:ascii="Arial" w:eastAsia="Arial" w:hAnsi="Arial" w:cs="Arial"/>
          <w:color w:val="000000"/>
          <w:sz w:val="24"/>
          <w:szCs w:val="24"/>
        </w:rPr>
        <w:t xml:space="preserve"> Con una diferencia de 11.11 por ciento, la Sala concluyó que la determinancia no quedaba razonablemente acreditada y que correspondía a la parte actora demostrar la trascendencia.</w:t>
      </w:r>
      <w:r>
        <w:rPr>
          <w:rFonts w:ascii="Arial" w:eastAsia="Arial" w:hAnsi="Arial" w:cs="Arial"/>
          <w:color w:val="000000"/>
          <w:sz w:val="24"/>
          <w:szCs w:val="24"/>
          <w:vertAlign w:val="superscript"/>
        </w:rPr>
        <w:footnoteReference w:id="284"/>
      </w:r>
      <w:r>
        <w:rPr>
          <w:rFonts w:ascii="Arial" w:eastAsia="Arial" w:hAnsi="Arial" w:cs="Arial"/>
          <w:color w:val="000000"/>
          <w:sz w:val="24"/>
          <w:szCs w:val="24"/>
        </w:rPr>
        <w:t xml:space="preserve"> La sentencia enuncia de ese modo un estándar mínimo y exige después una prueba de influencia sobre el voto. Esa prueba es, según el diagnóstico de Rodarte Nava, de muy difícil obtención.</w:t>
      </w:r>
    </w:p>
    <w:p>
      <w:pPr>
        <w:spacing w:before="0" w:after="0" w:line="360" w:lineRule="auto"/>
        <w:ind w:firstLine="709"/>
        <w:jc w:val="both"/>
      </w:pPr>
      <w:r>
        <w:rPr>
          <w:rFonts w:ascii="Arial" w:eastAsia="Arial" w:hAnsi="Arial" w:cs="Arial"/>
          <w:color w:val="000000"/>
          <w:sz w:val="24"/>
          <w:szCs w:val="24"/>
        </w:rPr>
        <w:t xml:space="preserve">El magistrado Reyes Rodríguez Mondragón advirtió en su voto razonado que la exigencia de probar la influencia sobre el voto fijaba un estándar prácticamente imposible.</w:t>
      </w:r>
      <w:r>
        <w:rPr>
          <w:rFonts w:ascii="Arial" w:eastAsia="Arial" w:hAnsi="Arial" w:cs="Arial"/>
          <w:color w:val="000000"/>
          <w:sz w:val="24"/>
          <w:szCs w:val="24"/>
          <w:vertAlign w:val="superscript"/>
        </w:rPr>
        <w:footnoteReference w:id="285"/>
      </w:r>
      <w:r>
        <w:rPr>
          <w:rFonts w:ascii="Arial" w:eastAsia="Arial" w:hAnsi="Arial" w:cs="Arial"/>
          <w:color w:val="000000"/>
          <w:sz w:val="24"/>
          <w:szCs w:val="24"/>
        </w:rPr>
        <w:t xml:space="preserve"> La tensión entre el estándar mínimo anunciado y la prueba exigida solo puede explicarse por la ausencia de un umbral previamente definido. Los requisitos metodológicos permiten precisar la forma que adopta el error de categoría en cada factor. Un estándar válido debe remitir a la capacidad justificativa del acervo, fijar un umbral con vaguedad minimizada, emplear criterios de probabilidad inductiva y guardar coherencia con las demás decisiones del proceso.</w:t>
      </w:r>
      <w:r>
        <w:rPr>
          <w:rFonts w:ascii="Arial" w:eastAsia="Arial" w:hAnsi="Arial" w:cs="Arial"/>
          <w:color w:val="000000"/>
          <w:sz w:val="24"/>
          <w:szCs w:val="24"/>
          <w:vertAlign w:val="superscript"/>
        </w:rPr>
        <w:footnoteReference w:id="286"/>
      </w:r>
      <w:r>
        <w:rPr>
          <w:rFonts w:ascii="Arial" w:eastAsia="Arial" w:hAnsi="Arial" w:cs="Arial"/>
          <w:color w:val="000000"/>
          <w:sz w:val="24"/>
          <w:szCs w:val="24"/>
        </w:rPr>
        <w:t xml:space="preserve"> Ninguno de los tres factores de la determinancia fue concebido como estándar de prueba. Los tres factores fueron concebidos como criterios sustantivos de trascendencia. Por tanto, el error consiste en atribuir a los factores una función que no pueden cumplir. Esa atribución indebida adopta una forma específica en cada uno de los factores.</w:t>
      </w:r>
    </w:p>
    <w:p>
      <w:pPr>
        <w:spacing w:before="0" w:after="0" w:line="360" w:lineRule="auto"/>
        <w:ind w:firstLine="709"/>
        <w:jc w:val="both"/>
      </w:pPr>
      <w:r>
        <w:rPr>
          <w:rFonts w:ascii="Arial" w:eastAsia="Arial" w:hAnsi="Arial" w:cs="Arial"/>
          <w:color w:val="000000"/>
          <w:sz w:val="24"/>
          <w:szCs w:val="24"/>
        </w:rPr>
        <w:t xml:space="preserve">En el factor constitucional, la presunción del cinco por ciento se trata como si resolviera la suficiencia probatoria. Esa presunción solo distribuye la carga de la prueba. En el factor cuantitativo, la exactitud del margen se trata como si confiriera exactitud al número de votos irregulares. Ese número depende en realidad de una inferencia no controlada. En el factor cualitativo, la gravedad del principio vulnerado se trata como si acreditara el impacto de la conducta. En los tres casos la cuestión probatoria queda absorbida por una categoría sustantiva. En consecuencia, el sistema carece de un lugar propio para decidir cuánta prueba basta y resuelve esa pregunta en el interior de categorías diseñadas para otra función. Ese error de categoría tiene consecuencias prácticas, porque permite que el umbral varíe de un caso a otro.</w:t>
      </w:r>
    </w:p>
    <w:p>
      <w:pPr>
        <w:spacing w:before="0" w:after="0" w:line="360" w:lineRule="auto"/>
        <w:ind w:firstLine="709"/>
        <w:jc w:val="both"/>
      </w:pPr>
      <w:r>
        <w:rPr>
          <w:rFonts w:ascii="Arial" w:eastAsia="Arial" w:hAnsi="Arial" w:cs="Arial"/>
          <w:color w:val="000000"/>
          <w:sz w:val="24"/>
          <w:szCs w:val="24"/>
        </w:rPr>
        <w:t xml:space="preserve">La sentencia de Colima ofrece la ilustración más clara de la variación del umbral. La divergencia se produjo dentro de un mismo tribunal y sobre un mismo acervo. La mayoría tuvo por acreditadas declaraciones recurrentes del gobernador en funciones contra candidatos opositores y a favor del partido gobernante, así como propaganda gubernamental difundida en periodo prohibido.</w:t>
      </w:r>
      <w:r>
        <w:rPr>
          <w:rFonts w:ascii="Arial" w:eastAsia="Arial" w:hAnsi="Arial" w:cs="Arial"/>
          <w:color w:val="000000"/>
          <w:sz w:val="24"/>
          <w:szCs w:val="24"/>
          <w:vertAlign w:val="superscript"/>
        </w:rPr>
        <w:footnoteReference w:id="287"/>
      </w:r>
      <w:r>
        <w:rPr>
          <w:rFonts w:ascii="Arial" w:eastAsia="Arial" w:hAnsi="Arial" w:cs="Arial"/>
          <w:color w:val="000000"/>
          <w:sz w:val="24"/>
          <w:szCs w:val="24"/>
        </w:rPr>
        <w:t xml:space="preserve"> Para valorar el impacto de las notas periodísticas, la mayoría invocó como hecho notorio el tiraje de los diarios locales y lo empleó como indicio de su difusión.</w:t>
      </w:r>
      <w:r>
        <w:rPr>
          <w:rFonts w:ascii="Arial" w:eastAsia="Arial" w:hAnsi="Arial" w:cs="Arial"/>
          <w:color w:val="000000"/>
          <w:sz w:val="24"/>
          <w:szCs w:val="24"/>
          <w:vertAlign w:val="superscript"/>
        </w:rPr>
        <w:footnoteReference w:id="288"/>
      </w:r>
      <w:r>
        <w:rPr>
          <w:rFonts w:ascii="Arial" w:eastAsia="Arial" w:hAnsi="Arial" w:cs="Arial"/>
          <w:color w:val="000000"/>
          <w:sz w:val="24"/>
          <w:szCs w:val="24"/>
        </w:rPr>
        <w:t xml:space="preserve"> Con una diferencia de 7.34 por ciento entre los dos primeros lugares, la mayoría concluyó que existía una probabilidad seria, fundada y razonable de que las irregularidades hubieran alterado el resultado.</w:t>
      </w:r>
      <w:r>
        <w:rPr>
          <w:rFonts w:ascii="Arial" w:eastAsia="Arial" w:hAnsi="Arial" w:cs="Arial"/>
          <w:color w:val="000000"/>
          <w:sz w:val="24"/>
          <w:szCs w:val="24"/>
          <w:vertAlign w:val="superscript"/>
        </w:rPr>
        <w:footnoteReference w:id="289"/>
      </w:r>
      <w:r>
        <w:rPr>
          <w:rFonts w:ascii="Arial" w:eastAsia="Arial" w:hAnsi="Arial" w:cs="Arial"/>
          <w:color w:val="000000"/>
          <w:sz w:val="24"/>
          <w:szCs w:val="24"/>
        </w:rPr>
        <w:t xml:space="preserve"> La elección se anuló por mayoría de cuatro votos contra tres.</w:t>
      </w:r>
      <w:r>
        <w:rPr>
          <w:rFonts w:ascii="Arial" w:eastAsia="Arial" w:hAnsi="Arial" w:cs="Arial"/>
          <w:color w:val="000000"/>
          <w:sz w:val="24"/>
          <w:szCs w:val="24"/>
          <w:vertAlign w:val="superscript"/>
        </w:rPr>
        <w:footnoteReference w:id="290"/>
      </w:r>
      <w:r>
        <w:rPr>
          <w:rFonts w:ascii="Arial" w:eastAsia="Arial" w:hAnsi="Arial" w:cs="Arial"/>
          <w:color w:val="000000"/>
          <w:sz w:val="24"/>
          <w:szCs w:val="24"/>
        </w:rPr>
        <w:t xml:space="preserve"> La minoría llegó a la conclusión opuesta a partir de las mismas pruebas. Esa conclusión opuesta se apoyó en una comparación distinta de los resultados electorales.</w:t>
      </w:r>
    </w:p>
    <w:p>
      <w:pPr>
        <w:spacing w:before="0" w:after="0" w:line="360" w:lineRule="auto"/>
        <w:ind w:firstLine="709"/>
        <w:jc w:val="both"/>
      </w:pPr>
      <w:r>
        <w:rPr>
          <w:rFonts w:ascii="Arial" w:eastAsia="Arial" w:hAnsi="Arial" w:cs="Arial"/>
          <w:color w:val="000000"/>
          <w:sz w:val="24"/>
          <w:szCs w:val="24"/>
        </w:rPr>
        <w:t xml:space="preserve">Los magistrados disidentes compararon la votación de gobernador con la de las elecciones concurrentes de ayuntamientos y diputaciones locales. Los disidentes concluyeron que no existía demostración fehaciente de que la intervención del gobernador hubiese generado una afectación suficiente para anular la elección.</w:t>
      </w:r>
      <w:r>
        <w:rPr>
          <w:rFonts w:ascii="Arial" w:eastAsia="Arial" w:hAnsi="Arial" w:cs="Arial"/>
          <w:color w:val="000000"/>
          <w:sz w:val="24"/>
          <w:szCs w:val="24"/>
          <w:vertAlign w:val="superscript"/>
        </w:rPr>
        <w:footnoteReference w:id="291"/>
      </w:r>
      <w:r>
        <w:rPr>
          <w:rFonts w:ascii="Arial" w:eastAsia="Arial" w:hAnsi="Arial" w:cs="Arial"/>
          <w:color w:val="000000"/>
          <w:sz w:val="24"/>
          <w:szCs w:val="24"/>
        </w:rPr>
        <w:t xml:space="preserve"> Ambas posiciones aplicaron el mismo artículo 16 de la ley de medios. Ambas posiciones invocaron los mismos criterios de la lógica, la sana crítica y la experiencia. La diferencia entre ellas residió en el umbral exigido, porque la mayoría se conformó con una probabilidad seria y la minoría reclamó una demostración fehaciente. En consecuencia, la divergencia no fue metodológica sino de estándar. Ninguna regla previa permitía decidir cuál de los dos umbrales era el correcto para anular una elección de gobernador. Otros precedentes muestran el mismo fenómeno en contextos diversos.</w:t>
      </w:r>
    </w:p>
    <w:p>
      <w:pPr>
        <w:spacing w:before="0" w:after="0" w:line="360" w:lineRule="auto"/>
        <w:ind w:firstLine="709"/>
        <w:jc w:val="both"/>
      </w:pPr>
      <w:r>
        <w:rPr>
          <w:rFonts w:ascii="Arial" w:eastAsia="Arial" w:hAnsi="Arial" w:cs="Arial"/>
          <w:color w:val="000000"/>
          <w:sz w:val="24"/>
          <w:szCs w:val="24"/>
        </w:rPr>
        <w:t xml:space="preserve">El SUP-JRC-604/2007 ofrece un contraste útil con la sentencia de Colima. En ese asunto la Sala Superior confirmó la nulidad de la elección municipal de Yurécuaro, Michoacán, por actos de campaña vinculados con símbolos y festividades religiosas.</w:t>
      </w:r>
      <w:r>
        <w:rPr>
          <w:rFonts w:ascii="Arial" w:eastAsia="Arial" w:hAnsi="Arial" w:cs="Arial"/>
          <w:color w:val="000000"/>
          <w:sz w:val="24"/>
          <w:szCs w:val="24"/>
          <w:vertAlign w:val="superscript"/>
        </w:rPr>
        <w:footnoteReference w:id="292"/>
      </w:r>
      <w:r>
        <w:rPr>
          <w:rFonts w:ascii="Arial" w:eastAsia="Arial" w:hAnsi="Arial" w:cs="Arial"/>
          <w:color w:val="000000"/>
          <w:sz w:val="24"/>
          <w:szCs w:val="24"/>
        </w:rPr>
        <w:t xml:space="preserve"> Las pruebas eran principalmente técnicas y privadas, y el tribunal local les había conferido valor indiciario.</w:t>
      </w:r>
      <w:r>
        <w:rPr>
          <w:rFonts w:ascii="Arial" w:eastAsia="Arial" w:hAnsi="Arial" w:cs="Arial"/>
          <w:color w:val="000000"/>
          <w:sz w:val="24"/>
          <w:szCs w:val="24"/>
          <w:vertAlign w:val="superscript"/>
        </w:rPr>
        <w:footnoteReference w:id="293"/>
      </w:r>
      <w:r>
        <w:rPr>
          <w:rFonts w:ascii="Arial" w:eastAsia="Arial" w:hAnsi="Arial" w:cs="Arial"/>
          <w:color w:val="000000"/>
          <w:sz w:val="24"/>
          <w:szCs w:val="24"/>
        </w:rPr>
        <w:t xml:space="preserve"> La Sala sostuvo que esas pruebas, adminiculadas entre sí y sin elemento que las desvirtuara, permitían tener por evidenciadas las irregularidades.</w:t>
      </w:r>
      <w:r>
        <w:rPr>
          <w:rFonts w:ascii="Arial" w:eastAsia="Arial" w:hAnsi="Arial" w:cs="Arial"/>
          <w:color w:val="000000"/>
          <w:sz w:val="24"/>
          <w:szCs w:val="24"/>
          <w:vertAlign w:val="superscript"/>
        </w:rPr>
        <w:footnoteReference w:id="294"/>
      </w:r>
      <w:r>
        <w:rPr>
          <w:rFonts w:ascii="Arial" w:eastAsia="Arial" w:hAnsi="Arial" w:cs="Arial"/>
          <w:color w:val="000000"/>
          <w:sz w:val="24"/>
          <w:szCs w:val="24"/>
        </w:rPr>
        <w:t xml:space="preserve"> En el SUP-JIN-359/2012, en cambio, la demanda de invalidez de la elección presidencial por rebase de topes de gasto fue desestimada. Olaiz González explica que la Sala careció del dictamen consolidado de la autoridad fiscalizadora, que era el elemento necesario para establecer el grado de determinancia.</w:t>
      </w:r>
      <w:r>
        <w:rPr>
          <w:rFonts w:ascii="Arial" w:eastAsia="Arial" w:hAnsi="Arial" w:cs="Arial"/>
          <w:color w:val="000000"/>
          <w:sz w:val="24"/>
          <w:szCs w:val="24"/>
          <w:vertAlign w:val="superscript"/>
        </w:rPr>
        <w:footnoteReference w:id="295"/>
      </w:r>
      <w:r>
        <w:rPr>
          <w:rFonts w:ascii="Arial" w:eastAsia="Arial" w:hAnsi="Arial" w:cs="Arial"/>
          <w:color w:val="000000"/>
          <w:sz w:val="24"/>
          <w:szCs w:val="24"/>
        </w:rPr>
        <w:t xml:space="preserve"> El autor describe la opción adoptada como una calificación con evidencia limitada, bajo una suerte de principio según el cual la duda favorece la validez de la elección.</w:t>
      </w:r>
      <w:r>
        <w:rPr>
          <w:rFonts w:ascii="Arial" w:eastAsia="Arial" w:hAnsi="Arial" w:cs="Arial"/>
          <w:color w:val="000000"/>
          <w:sz w:val="24"/>
          <w:szCs w:val="24"/>
          <w:vertAlign w:val="superscript"/>
        </w:rPr>
        <w:footnoteReference w:id="296"/>
      </w:r>
      <w:r>
        <w:rPr>
          <w:rFonts w:ascii="Arial" w:eastAsia="Arial" w:hAnsi="Arial" w:cs="Arial"/>
          <w:color w:val="000000"/>
          <w:sz w:val="24"/>
          <w:szCs w:val="24"/>
        </w:rPr>
        <w:t xml:space="preserve"> Estos precedentes permiten una conclusión prudente sobre la variación del umbral.</w:t>
      </w:r>
    </w:p>
    <w:p>
      <w:pPr>
        <w:spacing w:before="0" w:after="0" w:line="360" w:lineRule="auto"/>
        <w:ind w:firstLine="709"/>
        <w:jc w:val="both"/>
      </w:pPr>
      <w:r>
        <w:rPr>
          <w:rFonts w:ascii="Arial" w:eastAsia="Arial" w:hAnsi="Arial" w:cs="Arial"/>
          <w:color w:val="000000"/>
          <w:sz w:val="24"/>
          <w:szCs w:val="24"/>
        </w:rPr>
        <w:t xml:space="preserve">La comparación de los precedentes permite una conclusión prudente. Esta investigación no sostiene que alguna de estas decisiones sea incorrecta, ni que exista una tendencia política en el sentido de los fallos. Los casos difieren en sus hechos, en sus pruebas y en el marco normativo aplicable, por lo que no son directamente comparables en cuanto a su resultado. Los casos muestran que la exigencia probatoria sobre la determinancia se formula en cada caso con expresiones diferentes. Esas expresiones incluyen la probabilidad seria, fundada y razonable, la demostración fehaciente, la acreditación razonable y la necesidad de conocer la influencia sobre el voto. Ninguna de ellas está definida previamente por la ley ni por la jurisprudencia. En consecuencia, la variedad de fórmulas refleja la ausencia de un umbral común y no la diversidad de los hechos. La doctrina ha advertido esa carencia y ha propuesto remedios institucionales.</w:t>
      </w:r>
    </w:p>
    <w:p>
      <w:pPr>
        <w:spacing w:before="0" w:after="0" w:line="360" w:lineRule="auto"/>
        <w:ind w:firstLine="709"/>
        <w:jc w:val="both"/>
      </w:pPr>
      <w:r>
        <w:rPr>
          <w:rFonts w:ascii="Arial" w:eastAsia="Arial" w:hAnsi="Arial" w:cs="Arial"/>
          <w:color w:val="000000"/>
          <w:sz w:val="24"/>
          <w:szCs w:val="24"/>
        </w:rPr>
        <w:t xml:space="preserve">Olaiz González advierte la ausencia de una doctrina robusta sobre la determinancia en la jurisprudencia electoral mexicana. El autor propone otorgar a la Sala Superior facultades expresas para articular esa doctrina.</w:t>
      </w:r>
      <w:r>
        <w:rPr>
          <w:rFonts w:ascii="Arial" w:eastAsia="Arial" w:hAnsi="Arial" w:cs="Arial"/>
          <w:color w:val="000000"/>
          <w:sz w:val="24"/>
          <w:szCs w:val="24"/>
          <w:vertAlign w:val="superscript"/>
        </w:rPr>
        <w:footnoteReference w:id="297"/>
      </w:r>
      <w:r>
        <w:rPr>
          <w:rFonts w:ascii="Arial" w:eastAsia="Arial" w:hAnsi="Arial" w:cs="Arial"/>
          <w:color w:val="000000"/>
          <w:sz w:val="24"/>
          <w:szCs w:val="24"/>
        </w:rPr>
        <w:t xml:space="preserve"> Esa doctrina debería comenzar por distinguir el juicio sustantivo de trascendencia del estándar de prueba aplicable a su acreditación. Sin esa distinción, la previsibilidad de las nulidades depende de la integración y de la sensibilidad de cada órgano jurisdiccional. La determinancia y el artículo 16 presentan una estructura análoga que merece destacarse. En ambos casos una herramienta de análisis se emplea como si fuera una regla de decisión. Por consiguiente, el defecto de la determinancia no es aislado, sino que reproduce el defecto de la regla general de valoración. La comparación entre ambas figuras permite identificar esa raíz común con precisión.</w:t>
      </w:r>
    </w:p>
    <w:p>
      <w:pPr>
        <w:spacing w:before="0" w:after="0" w:line="360" w:lineRule="auto"/>
        <w:ind w:firstLine="709"/>
        <w:jc w:val="both"/>
      </w:pPr>
      <w:r>
        <w:rPr>
          <w:rFonts w:ascii="Arial" w:eastAsia="Arial" w:hAnsi="Arial" w:cs="Arial"/>
          <w:color w:val="000000"/>
          <w:sz w:val="24"/>
          <w:szCs w:val="24"/>
        </w:rPr>
        <w:t xml:space="preserve">El artículo 16 combina la sana crítica, que es un método de valoración, con la exigencia de que las pruebas generen convicción, que es un criterio subjetivo de suficiencia.</w:t>
      </w:r>
      <w:r>
        <w:rPr>
          <w:rFonts w:ascii="Arial" w:eastAsia="Arial" w:hAnsi="Arial" w:cs="Arial"/>
          <w:color w:val="000000"/>
          <w:sz w:val="24"/>
          <w:szCs w:val="24"/>
          <w:vertAlign w:val="superscript"/>
        </w:rPr>
        <w:footnoteReference w:id="298"/>
      </w:r>
      <w:r>
        <w:rPr>
          <w:rFonts w:ascii="Arial" w:eastAsia="Arial" w:hAnsi="Arial" w:cs="Arial"/>
          <w:color w:val="000000"/>
          <w:sz w:val="24"/>
          <w:szCs w:val="24"/>
        </w:rPr>
        <w:t xml:space="preserve"> La determinancia aplica los factores cualitativo y cuantitativo, que son criterios de trascendencia, como si fijaran el grado de prueba del impacto. En ambos casos la ausencia de umbral se suple con una apreciación del juzgador que no es controlable intersubjetivamente. Ferrer Beltrán sostiene que la ausencia de estándares legalmente previstos vulnera el derecho al debido proceso y el derecho a la prueba.</w:t>
      </w:r>
      <w:r>
        <w:rPr>
          <w:rFonts w:ascii="Arial" w:eastAsia="Arial" w:hAnsi="Arial" w:cs="Arial"/>
          <w:color w:val="000000"/>
          <w:sz w:val="24"/>
          <w:szCs w:val="24"/>
          <w:vertAlign w:val="superscript"/>
        </w:rPr>
        <w:footnoteReference w:id="299"/>
      </w:r>
      <w:r>
        <w:rPr>
          <w:rFonts w:ascii="Arial" w:eastAsia="Arial" w:hAnsi="Arial" w:cs="Arial"/>
          <w:color w:val="000000"/>
          <w:sz w:val="24"/>
          <w:szCs w:val="24"/>
        </w:rPr>
        <w:t xml:space="preserve"> Esa conclusión se proyecta con especial intensidad sobre la nulidad de elecciones. En ese ámbito el error afecta la eficacia del sufragio de toda una comunidad política. En suma, las dos figuras comparten una misma raíz, que consiste en la falta de separación entre el método y la regla de decisión. Esa raíz común permite formular tres conclusiones sobre la determinancia.</w:t>
      </w:r>
    </w:p>
    <w:p>
      <w:pPr>
        <w:spacing w:before="0" w:after="0" w:line="360" w:lineRule="auto"/>
        <w:ind w:firstLine="709"/>
        <w:jc w:val="both"/>
      </w:pPr>
      <w:r>
        <w:rPr>
          <w:rFonts w:ascii="Arial" w:eastAsia="Arial" w:hAnsi="Arial" w:cs="Arial"/>
          <w:color w:val="000000"/>
          <w:sz w:val="24"/>
          <w:szCs w:val="24"/>
        </w:rPr>
        <w:t xml:space="preserve">La primera conclusión sostiene que la determinancia, desde la jurisprudencia 9/98 hasta la jurisprudencia 44/2024, combina una exigencia probatoria sobre el hecho irregular con una exigencia sustantiva sobre su trascendencia. La segunda conclusión sostiene que los tres factores responden a la cuestión sustantiva, pero se aplican como si resolvieran la cuestión probatoria. El factor cuantitativo oculta la inferencia que produce el número de votos irregulares. El cualitativo permite que la gravedad sustituya a la prueba, y el constitucional reparte la carga sin fijar el umbral. La tercera conclusión sostiene que la propia Sala Superior ha formulado, sin reconocerlos como tales, estándares diversos para la determinancia. Esos estándares van de la probabilidad seria a la influencia sobre el voto. Por tanto, el déficit deriva de la falta de un criterio previo que permita controlar las decisiones y no del acierto de cada una. Ese rasgo del diseño normativo exige examinar el origen de la cláusula híbrida del artículo 16.</w:t>
      </w:r>
    </w:p>
    <w:p>
      <w:pPr>
        <w:spacing w:before="0" w:after="0" w:line="360" w:lineRule="auto"/>
        <w:jc w:val="left"/>
      </w:pPr>
    </w:p>
    <w:p>
      <w:pPr>
        <w:pStyle w:val="Ttulo2"/>
        <w:keepNext/>
        <w:spacing w:before="0" w:after="0" w:line="360" w:lineRule="auto"/>
        <w:ind w:left="567" w:hanging="284"/>
        <w:jc w:val="left"/>
      </w:pPr>
      <w:bookmarkStart w:id="812" w:name="_Toc9000012"/>
      <w:r>
        <w:rPr>
          <w:rFonts w:ascii="Arial" w:eastAsia="Arial" w:hAnsi="Arial" w:cs="Arial"/>
          <w:color w:val="000000"/>
          <w:sz w:val="24"/>
          <w:szCs w:val="24"/>
        </w:rPr>
        <w:t xml:space="preserve">2.2. </w:t>
      </w:r>
      <w:r>
        <w:rPr>
          <w:rFonts w:ascii="Arial" w:eastAsia="Arial" w:hAnsi="Arial" w:cs="Arial"/>
          <w:i/>
          <w:iCs/>
          <w:color w:val="000000"/>
          <w:sz w:val="24"/>
          <w:szCs w:val="24"/>
        </w:rPr>
        <w:t xml:space="preserve">El origen normativo de la cláusula híbrida: la jurisprudencia 38/2002 y la sentencia SUP-JRC-487/2000</w:t>
      </w:r>
      <w:bookmarkEnd w:id="812"/>
    </w:p>
    <w:p>
      <w:pPr>
        <w:spacing w:before="0" w:after="0" w:line="360" w:lineRule="auto"/>
        <w:jc w:val="left"/>
      </w:pPr>
    </w:p>
    <w:p>
      <w:pPr>
        <w:spacing w:before="0" w:after="0" w:line="360" w:lineRule="auto"/>
        <w:ind w:firstLine="0"/>
        <w:jc w:val="both"/>
      </w:pPr>
      <w:r>
        <w:rPr>
          <w:rFonts w:ascii="Arial" w:eastAsia="Arial" w:hAnsi="Arial" w:cs="Arial"/>
          <w:color w:val="000000"/>
          <w:sz w:val="24"/>
          <w:szCs w:val="24"/>
        </w:rPr>
        <w:t xml:space="preserve">La determinancia reproduce la confusión entre método de valoración y regla de suficiencia. Esa confusión tiene su origen en la regla general de valoración probatoria del contencioso electoral. Esa regla se encuentra en el artículo 16 de la </w:t>
      </w:r>
      <w:r>
        <w:rPr>
          <w:rFonts w:ascii="Arial" w:eastAsia="Arial" w:hAnsi="Arial" w:cs="Arial"/>
          <w:i/>
          <w:iCs/>
          <w:color w:val="000000"/>
          <w:sz w:val="24"/>
          <w:szCs w:val="24"/>
        </w:rPr>
        <w:t xml:space="preserve">Ley General del Sistema de Medios de Impugnación en Materia Electoral</w:t>
      </w:r>
      <w:r>
        <w:rPr>
          <w:rFonts w:ascii="Arial" w:eastAsia="Arial" w:hAnsi="Arial" w:cs="Arial"/>
          <w:color w:val="000000"/>
          <w:sz w:val="24"/>
          <w:szCs w:val="24"/>
        </w:rPr>
        <w:t xml:space="preserve">. Esta investigación denomina cláusula híbrida al conjunto formado por sus tres primeros párrafos. La denominación obedece a que el precepto combina tres lógicas distintas, que son un método racional de valoración, una tasación legal de las documentales públicas y un umbral de suficiencia expresado en términos de convicción. El origen de esa cláusula se reconstruye en tres planos. El plano normativo comprende la reforma de 1996 y la genealogía de la fórmula de la sana crítica. El plano jurisprudencial se centra en la sentencia del caso Tabasco, dictada en diciembre de 2000, y en la jurisprudencia 38/2002 y sus precedentes, que fijaron los criterios para valorar las notas periodísticas como indicios.</w:t>
      </w:r>
    </w:p>
    <w:p>
      <w:pPr>
        <w:spacing w:before="0" w:after="0" w:line="360" w:lineRule="auto"/>
        <w:ind w:firstLine="709"/>
        <w:jc w:val="both"/>
      </w:pPr>
      <w:r>
        <w:rPr>
          <w:rFonts w:ascii="Arial" w:eastAsia="Arial" w:hAnsi="Arial" w:cs="Arial"/>
          <w:color w:val="000000"/>
          <w:sz w:val="24"/>
          <w:szCs w:val="24"/>
        </w:rPr>
        <w:t xml:space="preserve">La reconstrucción de ese origen exige precisar primero la estructura del precepto. El artículo 16 de la ley de medios contiene tres reglas de naturaleza diferente. El párrafo 1 ordena valorar los medios de prueba atendiendo a las reglas de la lógica, de la sana crítica y de la experiencia.</w:t>
      </w:r>
      <w:r>
        <w:rPr>
          <w:rFonts w:ascii="Arial" w:eastAsia="Arial" w:hAnsi="Arial" w:cs="Arial"/>
          <w:color w:val="000000"/>
          <w:sz w:val="24"/>
          <w:szCs w:val="24"/>
          <w:vertAlign w:val="superscript"/>
        </w:rPr>
        <w:footnoteReference w:id="300"/>
      </w:r>
      <w:r>
        <w:rPr>
          <w:rFonts w:ascii="Arial" w:eastAsia="Arial" w:hAnsi="Arial" w:cs="Arial"/>
          <w:color w:val="000000"/>
          <w:sz w:val="24"/>
          <w:szCs w:val="24"/>
        </w:rPr>
        <w:t xml:space="preserve"> El párrafo 2 concede valor probatorio pleno a las documentales públicas, salvo prueba en contrario respecto de su autenticidad o de la veracidad de los hechos. El párrafo 3 dispone que las demás pruebas, incluidas las presuncionales, solo harán prueba plena cuando generen convicción sobre la veracidad de los hechos afirmados. La primera regla es un método, la segunda un residuo de prueba tasada y la tercera un criterio subjetivo de suficiencia. Solo la tercera regla pretende operar como estándar de prueba, pero incumple el requisito de remitir a la capacidad justificativa del acervo. Las tres reglas conviven sin articulación legal, y esa estructura guía el análisis de los precedentes.</w:t>
      </w:r>
    </w:p>
    <w:p>
      <w:pPr>
        <w:spacing w:before="0" w:after="0" w:line="360" w:lineRule="auto"/>
        <w:ind w:firstLine="709"/>
        <w:jc w:val="both"/>
      </w:pPr>
      <w:r>
        <w:rPr>
          <w:rFonts w:ascii="Arial" w:eastAsia="Arial" w:hAnsi="Arial" w:cs="Arial"/>
          <w:color w:val="000000"/>
          <w:sz w:val="24"/>
          <w:szCs w:val="24"/>
        </w:rPr>
        <w:t xml:space="preserve">El primer plano del análisis es normativo. La ley de medios fue publicada en el </w:t>
      </w:r>
      <w:r>
        <w:rPr>
          <w:rFonts w:ascii="Arial" w:eastAsia="Arial" w:hAnsi="Arial" w:cs="Arial"/>
          <w:i/>
          <w:iCs/>
          <w:color w:val="000000"/>
          <w:sz w:val="24"/>
          <w:szCs w:val="24"/>
        </w:rPr>
        <w:t xml:space="preserve">Diario Oficial de la Federación</w:t>
      </w:r>
      <w:r>
        <w:rPr>
          <w:rFonts w:ascii="Arial" w:eastAsia="Arial" w:hAnsi="Arial" w:cs="Arial"/>
          <w:color w:val="000000"/>
          <w:sz w:val="24"/>
          <w:szCs w:val="24"/>
        </w:rPr>
        <w:t xml:space="preserve"> el 22 de noviembre de 1996.</w:t>
      </w:r>
      <w:r>
        <w:rPr>
          <w:rFonts w:ascii="Arial" w:eastAsia="Arial" w:hAnsi="Arial" w:cs="Arial"/>
          <w:color w:val="000000"/>
          <w:sz w:val="24"/>
          <w:szCs w:val="24"/>
          <w:vertAlign w:val="superscript"/>
        </w:rPr>
        <w:footnoteReference w:id="301"/>
      </w:r>
      <w:r>
        <w:rPr>
          <w:rFonts w:ascii="Arial" w:eastAsia="Arial" w:hAnsi="Arial" w:cs="Arial"/>
          <w:color w:val="000000"/>
          <w:sz w:val="24"/>
          <w:szCs w:val="24"/>
        </w:rPr>
        <w:t xml:space="preserve"> Su expedición formó parte de la reforma electoral de ese año, que transformó el contencioso electoral federal. Woldenberg explica que la reforma modificó la designación de los magistrados, que en adelante serían votados por el Senado a propuesta de la Suprema Corte de Justicia.</w:t>
      </w:r>
      <w:r>
        <w:rPr>
          <w:rFonts w:ascii="Arial" w:eastAsia="Arial" w:hAnsi="Arial" w:cs="Arial"/>
          <w:color w:val="000000"/>
          <w:sz w:val="24"/>
          <w:szCs w:val="24"/>
          <w:vertAlign w:val="superscript"/>
        </w:rPr>
        <w:footnoteReference w:id="302"/>
      </w:r>
      <w:r>
        <w:rPr>
          <w:rFonts w:ascii="Arial" w:eastAsia="Arial" w:hAnsi="Arial" w:cs="Arial"/>
          <w:color w:val="000000"/>
          <w:sz w:val="24"/>
          <w:szCs w:val="24"/>
        </w:rPr>
        <w:t xml:space="preserve"> El autor añade que el tribunal pudo conocer de conflictos locales, que el control de constitucionalidad se extendió a los actos de las autoridades electorales estatales y que la calificación de la elección presidencial se volvió plenamente jurisdiccional. Woldenberg destaca que entonces se aprobó toda una ley general del sistema de medios de impugnación. La Constitución define hoy al Tribunal Electoral como órgano especializado del Poder Judicial de la Federación.</w:t>
      </w:r>
      <w:r>
        <w:rPr>
          <w:rFonts w:ascii="Arial" w:eastAsia="Arial" w:hAnsi="Arial" w:cs="Arial"/>
          <w:color w:val="000000"/>
          <w:sz w:val="24"/>
          <w:szCs w:val="24"/>
          <w:vertAlign w:val="superscript"/>
        </w:rPr>
        <w:footnoteReference w:id="303"/>
      </w:r>
      <w:r>
        <w:rPr>
          <w:rFonts w:ascii="Arial" w:eastAsia="Arial" w:hAnsi="Arial" w:cs="Arial"/>
          <w:color w:val="000000"/>
          <w:sz w:val="24"/>
          <w:szCs w:val="24"/>
        </w:rPr>
        <w:t xml:space="preserve"> Esa reforma institucional profunda contrasta con la estabilidad de la regla de valoración que la ley introdujo.</w:t>
      </w:r>
    </w:p>
    <w:p>
      <w:pPr>
        <w:spacing w:before="0" w:after="0" w:line="360" w:lineRule="auto"/>
        <w:ind w:firstLine="709"/>
        <w:jc w:val="both"/>
      </w:pPr>
      <w:r>
        <w:rPr>
          <w:rFonts w:ascii="Arial" w:eastAsia="Arial" w:hAnsi="Arial" w:cs="Arial"/>
          <w:color w:val="000000"/>
          <w:sz w:val="24"/>
          <w:szCs w:val="24"/>
        </w:rPr>
        <w:t xml:space="preserve">La compilación oficial de la ley no registra reformas a los párrafos 1 a 3 del artículo 16. Por ello la redacción vigente de esos párrafos puede atribuirse al texto original de 1996. El análisis se limita al texto normativo, porque el examen de los antecedentes parlamentarios de 1996 excede el acervo documental de esta investigación. Esa estabilidad tiene una consecuencia relevante para la tesis. La cláusula híbrida no fue objeto de reformas durante casi tres décadas, pese a las profundas modificaciones del sistema de nulidades. La ley fue abrogada en marzo de 2023 y recuperó su vigencia tras la declaratoria de invalidez de la Suprema Corte, sin que el régimen de valoración cambiara.</w:t>
      </w:r>
      <w:r>
        <w:rPr>
          <w:rFonts w:ascii="Arial" w:eastAsia="Arial" w:hAnsi="Arial" w:cs="Arial"/>
          <w:color w:val="000000"/>
          <w:sz w:val="24"/>
          <w:szCs w:val="24"/>
          <w:vertAlign w:val="superscript"/>
        </w:rPr>
        <w:footnoteReference w:id="304"/>
      </w:r>
      <w:r>
        <w:rPr>
          <w:rFonts w:ascii="Arial" w:eastAsia="Arial" w:hAnsi="Arial" w:cs="Arial"/>
          <w:color w:val="000000"/>
          <w:sz w:val="24"/>
          <w:szCs w:val="24"/>
        </w:rPr>
        <w:t xml:space="preserve"> En consecuencia, la estabilidad del precepto contrasta con la evolución de la jurisprudencia que lo aplica. Esa estabilidad sugiere que el legislador no ha percibido la cláusula como un problema.</w:t>
      </w:r>
    </w:p>
    <w:p>
      <w:pPr>
        <w:spacing w:before="0" w:after="0" w:line="360" w:lineRule="auto"/>
        <w:ind w:firstLine="709"/>
        <w:jc w:val="both"/>
      </w:pPr>
      <w:r>
        <w:rPr>
          <w:rFonts w:ascii="Arial" w:eastAsia="Arial" w:hAnsi="Arial" w:cs="Arial"/>
          <w:color w:val="000000"/>
          <w:sz w:val="24"/>
          <w:szCs w:val="24"/>
        </w:rPr>
        <w:t xml:space="preserve">La dificultad de la cláusula híbrida reside en la ausencia de un criterio que indique cuándo la convicción es suficiente. Esa ausencia obligó a la jurisdicción a construir sus propias pautas desde los primeros casos relevantes. El caso Tabasco y la jurisprudencia 38/2002 son los primeros hitos de esa construcción. Esos hitos exigen rastrear antes la fórmula de la sana crítica, que procede del derecho español del siglo XIX. Benfeld ha reconstruido ese origen normativo con base en fuentes de la época.</w:t>
      </w:r>
      <w:r>
        <w:rPr>
          <w:rFonts w:ascii="Arial" w:eastAsia="Arial" w:hAnsi="Arial" w:cs="Arial"/>
          <w:color w:val="000000"/>
          <w:sz w:val="24"/>
          <w:szCs w:val="24"/>
          <w:vertAlign w:val="superscript"/>
        </w:rPr>
        <w:footnoteReference w:id="305"/>
      </w:r>
      <w:r>
        <w:rPr>
          <w:rFonts w:ascii="Arial" w:eastAsia="Arial" w:hAnsi="Arial" w:cs="Arial"/>
          <w:color w:val="000000"/>
          <w:sz w:val="24"/>
          <w:szCs w:val="24"/>
        </w:rPr>
        <w:t xml:space="preserve"> La expresión apareció por primera vez en el artículo 148 del Reglamento sobre el modo de proceder del Consejo Real en los negocios contenciosos de la administración, de 1846.</w:t>
      </w:r>
      <w:r>
        <w:rPr>
          <w:rFonts w:ascii="Arial" w:eastAsia="Arial" w:hAnsi="Arial" w:cs="Arial"/>
          <w:color w:val="000000"/>
          <w:sz w:val="24"/>
          <w:szCs w:val="24"/>
          <w:vertAlign w:val="superscript"/>
        </w:rPr>
        <w:footnoteReference w:id="306"/>
      </w:r>
      <w:r>
        <w:rPr>
          <w:rFonts w:ascii="Arial" w:eastAsia="Arial" w:hAnsi="Arial" w:cs="Arial"/>
          <w:color w:val="000000"/>
          <w:sz w:val="24"/>
          <w:szCs w:val="24"/>
        </w:rPr>
        <w:t xml:space="preserve"> La fórmula pasó después al artículo 317 de la </w:t>
      </w:r>
      <w:r>
        <w:rPr>
          <w:rFonts w:ascii="Arial" w:eastAsia="Arial" w:hAnsi="Arial" w:cs="Arial"/>
          <w:i/>
          <w:iCs/>
          <w:color w:val="000000"/>
          <w:sz w:val="24"/>
          <w:szCs w:val="24"/>
        </w:rPr>
        <w:t xml:space="preserve">Ley de Enjuiciamiento Civil</w:t>
      </w:r>
      <w:r>
        <w:rPr>
          <w:rFonts w:ascii="Arial" w:eastAsia="Arial" w:hAnsi="Arial" w:cs="Arial"/>
          <w:color w:val="000000"/>
          <w:sz w:val="24"/>
          <w:szCs w:val="24"/>
        </w:rPr>
        <w:t xml:space="preserve"> de 1855, que ordenó apreciar según las reglas de la sana crítica la fuerza probatoria de las declaraciones de los testigos.</w:t>
      </w:r>
      <w:r>
        <w:rPr>
          <w:rFonts w:ascii="Arial" w:eastAsia="Arial" w:hAnsi="Arial" w:cs="Arial"/>
          <w:color w:val="000000"/>
          <w:sz w:val="24"/>
          <w:szCs w:val="24"/>
          <w:vertAlign w:val="superscript"/>
        </w:rPr>
        <w:footnoteReference w:id="307"/>
      </w:r>
      <w:r>
        <w:rPr>
          <w:rFonts w:ascii="Arial" w:eastAsia="Arial" w:hAnsi="Arial" w:cs="Arial"/>
          <w:color w:val="000000"/>
          <w:sz w:val="24"/>
          <w:szCs w:val="24"/>
        </w:rPr>
        <w:t xml:space="preserve"> La legislación posterior conservó la fórmula sin precisar su contenido.</w:t>
      </w:r>
    </w:p>
    <w:p>
      <w:pPr>
        <w:spacing w:before="0" w:after="0" w:line="360" w:lineRule="auto"/>
        <w:ind w:firstLine="709"/>
        <w:jc w:val="both"/>
      </w:pPr>
      <w:r>
        <w:rPr>
          <w:rFonts w:ascii="Arial" w:eastAsia="Arial" w:hAnsi="Arial" w:cs="Arial"/>
          <w:color w:val="000000"/>
          <w:sz w:val="24"/>
          <w:szCs w:val="24"/>
        </w:rPr>
        <w:t xml:space="preserve">La Ley de Enjuiciamiento Civil de 1881 reprodujo la fórmula de la sana crítica en su artículo 659. Esa ley añadió la consideración de la razón de ciencia de los testigos y de sus circunstancias. Benfeld advierte que la fórmula nació indeterminada y que la práctica judicial española la aproximó progresivamente a la íntima convicción francesa.</w:t>
      </w:r>
      <w:r>
        <w:rPr>
          <w:rFonts w:ascii="Arial" w:eastAsia="Arial" w:hAnsi="Arial" w:cs="Arial"/>
          <w:color w:val="000000"/>
          <w:sz w:val="24"/>
          <w:szCs w:val="24"/>
          <w:vertAlign w:val="superscript"/>
        </w:rPr>
        <w:footnoteReference w:id="308"/>
      </w:r>
      <w:r>
        <w:rPr>
          <w:rFonts w:ascii="Arial" w:eastAsia="Arial" w:hAnsi="Arial" w:cs="Arial"/>
          <w:color w:val="000000"/>
          <w:sz w:val="24"/>
          <w:szCs w:val="24"/>
        </w:rPr>
        <w:t xml:space="preserve"> El presidente del Tribunal Supremo celebró en 1856 que la nueva ley hubiera emancipado la conciencia del juez. Entre 1860 y 1880, ese tribunal rechazó los recursos de casación fundados en la infracción de las reglas de la sana crítica.</w:t>
      </w:r>
      <w:r>
        <w:rPr>
          <w:rFonts w:ascii="Arial" w:eastAsia="Arial" w:hAnsi="Arial" w:cs="Arial"/>
          <w:color w:val="000000"/>
          <w:sz w:val="24"/>
          <w:szCs w:val="24"/>
          <w:vertAlign w:val="superscript"/>
        </w:rPr>
        <w:footnoteReference w:id="309"/>
      </w:r>
      <w:r>
        <w:rPr>
          <w:rFonts w:ascii="Arial" w:eastAsia="Arial" w:hAnsi="Arial" w:cs="Arial"/>
          <w:color w:val="000000"/>
          <w:sz w:val="24"/>
          <w:szCs w:val="24"/>
        </w:rPr>
        <w:t xml:space="preserve"> La comisión redactora de 1881 intentó fijar esas reglas de manera taxativa, pero concluyó que no era posible hacerlo.</w:t>
      </w:r>
      <w:r>
        <w:rPr>
          <w:rFonts w:ascii="Arial" w:eastAsia="Arial" w:hAnsi="Arial" w:cs="Arial"/>
          <w:color w:val="000000"/>
          <w:sz w:val="24"/>
          <w:szCs w:val="24"/>
          <w:vertAlign w:val="superscript"/>
        </w:rPr>
        <w:footnoteReference w:id="310"/>
      </w:r>
      <w:r>
        <w:rPr>
          <w:rFonts w:ascii="Arial" w:eastAsia="Arial" w:hAnsi="Arial" w:cs="Arial"/>
          <w:color w:val="000000"/>
          <w:sz w:val="24"/>
          <w:szCs w:val="24"/>
        </w:rPr>
        <w:t xml:space="preserve"> Por tanto, la sana crítica quedó sin contenido definido y sin control casacional desde su primera etapa. Esta genealogía ilumina el defecto del artículo 16.</w:t>
      </w:r>
    </w:p>
    <w:p>
      <w:pPr>
        <w:spacing w:before="0" w:after="0" w:line="360" w:lineRule="auto"/>
        <w:ind w:firstLine="709"/>
        <w:jc w:val="both"/>
      </w:pPr>
      <w:r>
        <w:rPr>
          <w:rFonts w:ascii="Arial" w:eastAsia="Arial" w:hAnsi="Arial" w:cs="Arial"/>
          <w:color w:val="000000"/>
          <w:sz w:val="24"/>
          <w:szCs w:val="24"/>
        </w:rPr>
        <w:t xml:space="preserve">La sana crítica no nació como un estándar de suficiencia. La fórmula nació como una regla para liberar al juez del cómputo de testigos exigido por las Partidas. Su contenido quedó indeterminado desde el origen, y la práctica tendió a identificarla con la convicción personal del juzgador. El legislador de 1996 recogió la fórmula y la combinó expresamente con la exigencia de convicción. Con ello consolidó en el texto legal la deriva que en España se había producido por vía de práctica judicial. La reconstrucción del tránsito de la fórmula hacia la legislación procesal mexicana excede los alcances de esta investigación. Basta advertir que la cláusula híbrida hereda una expresión cuyo contenido nunca fue precisado. Esa herencia se manifestó en la primera aplicación relevante de la cláusula, que corresponde al caso Tabasco.</w:t>
      </w:r>
    </w:p>
    <w:p>
      <w:pPr>
        <w:spacing w:before="0" w:after="0" w:line="360" w:lineRule="auto"/>
        <w:ind w:firstLine="709"/>
        <w:jc w:val="both"/>
      </w:pPr>
      <w:r>
        <w:rPr>
          <w:rFonts w:ascii="Arial" w:eastAsia="Arial" w:hAnsi="Arial" w:cs="Arial"/>
          <w:color w:val="000000"/>
          <w:sz w:val="24"/>
          <w:szCs w:val="24"/>
        </w:rPr>
        <w:t xml:space="preserve">El segundo plano del análisis es jurisprudencial y se centra en el caso Tabasco. La elección de gobernador de Tabasco se celebró el 15 de octubre de 2000. En el cómputo estatal, el Partido Revolucionario Institucional obtuvo 298,969 votos y el Partido de la Revolución Democrática 290,968.</w:t>
      </w:r>
      <w:r>
        <w:rPr>
          <w:rFonts w:ascii="Arial" w:eastAsia="Arial" w:hAnsi="Arial" w:cs="Arial"/>
          <w:color w:val="000000"/>
          <w:sz w:val="24"/>
          <w:szCs w:val="24"/>
          <w:vertAlign w:val="superscript"/>
        </w:rPr>
        <w:footnoteReference w:id="311"/>
      </w:r>
      <w:r>
        <w:rPr>
          <w:rFonts w:ascii="Arial" w:eastAsia="Arial" w:hAnsi="Arial" w:cs="Arial"/>
          <w:color w:val="000000"/>
          <w:sz w:val="24"/>
          <w:szCs w:val="24"/>
        </w:rPr>
        <w:t xml:space="preserve"> El Tribunal Electoral de Tabasco confirmó la validez de la elección al sostener que, conforme al principio de estricta observancia, no existía causa legal para anular la elección de gobernador.</w:t>
      </w:r>
      <w:r>
        <w:rPr>
          <w:rFonts w:ascii="Arial" w:eastAsia="Arial" w:hAnsi="Arial" w:cs="Arial"/>
          <w:color w:val="000000"/>
          <w:sz w:val="24"/>
          <w:szCs w:val="24"/>
          <w:vertAlign w:val="superscript"/>
        </w:rPr>
        <w:footnoteReference w:id="312"/>
      </w:r>
      <w:r>
        <w:rPr>
          <w:rFonts w:ascii="Arial" w:eastAsia="Arial" w:hAnsi="Arial" w:cs="Arial"/>
          <w:color w:val="000000"/>
          <w:sz w:val="24"/>
          <w:szCs w:val="24"/>
        </w:rPr>
        <w:t xml:space="preserve"> El Partido de la Revolución Democrática y el Partido Acción Nacional promovieron juicios de revisión constitucional, que se acumularon. El magistrado ponente fue Mauro Miguel Reyes Zapata.</w:t>
      </w:r>
      <w:r>
        <w:rPr>
          <w:rFonts w:ascii="Arial" w:eastAsia="Arial" w:hAnsi="Arial" w:cs="Arial"/>
          <w:color w:val="000000"/>
          <w:sz w:val="24"/>
          <w:szCs w:val="24"/>
          <w:vertAlign w:val="superscript"/>
        </w:rPr>
        <w:footnoteReference w:id="313"/>
      </w:r>
      <w:r>
        <w:rPr>
          <w:rFonts w:ascii="Arial" w:eastAsia="Arial" w:hAnsi="Arial" w:cs="Arial"/>
          <w:color w:val="000000"/>
          <w:sz w:val="24"/>
          <w:szCs w:val="24"/>
        </w:rPr>
        <w:t xml:space="preserve"> La Sala Superior revocó la sentencia local y declaró la nulidad de la elección el 29 de diciembre de 2000.</w:t>
      </w:r>
      <w:r>
        <w:rPr>
          <w:rFonts w:ascii="Arial" w:eastAsia="Arial" w:hAnsi="Arial" w:cs="Arial"/>
          <w:color w:val="000000"/>
          <w:sz w:val="24"/>
          <w:szCs w:val="24"/>
          <w:vertAlign w:val="superscript"/>
        </w:rPr>
        <w:footnoteReference w:id="314"/>
      </w:r>
      <w:r>
        <w:rPr>
          <w:rFonts w:ascii="Arial" w:eastAsia="Arial" w:hAnsi="Arial" w:cs="Arial"/>
          <w:color w:val="000000"/>
          <w:sz w:val="24"/>
          <w:szCs w:val="24"/>
        </w:rPr>
        <w:t xml:space="preserve"> La decisión se adoptó por mayoría de cuatro votos, con el voto en contra de los magistrados Eloy Fuentes Cerda y Alfonsina Berta Navarro Hidalgo.</w:t>
      </w:r>
    </w:p>
    <w:p>
      <w:pPr>
        <w:spacing w:before="0" w:after="0" w:line="360" w:lineRule="auto"/>
        <w:ind w:firstLine="709"/>
        <w:jc w:val="both"/>
      </w:pPr>
      <w:r>
        <w:rPr>
          <w:rFonts w:ascii="Arial" w:eastAsia="Arial" w:hAnsi="Arial" w:cs="Arial"/>
          <w:color w:val="000000"/>
          <w:sz w:val="24"/>
          <w:szCs w:val="24"/>
        </w:rPr>
        <w:t xml:space="preserve">La sentencia del caso Tabasco tiene una relevancia que excede la materia probatoria. Zamacona Madrigal y García Rodríguez identifican esta sentencia como el primer precedente de nulidad de elección por la llamada causa abstracta. Esa figura dio lugar a la jurisprudencia 23/2004.</w:t>
      </w:r>
      <w:r>
        <w:rPr>
          <w:rFonts w:ascii="Arial" w:eastAsia="Arial" w:hAnsi="Arial" w:cs="Arial"/>
          <w:color w:val="000000"/>
          <w:sz w:val="24"/>
          <w:szCs w:val="24"/>
          <w:vertAlign w:val="superscript"/>
        </w:rPr>
        <w:footnoteReference w:id="315"/>
      </w:r>
      <w:r>
        <w:rPr>
          <w:rFonts w:ascii="Arial" w:eastAsia="Arial" w:hAnsi="Arial" w:cs="Arial"/>
          <w:color w:val="000000"/>
          <w:sz w:val="24"/>
          <w:szCs w:val="24"/>
        </w:rPr>
        <w:t xml:space="preserve"> Los mismos autores recuerdan que la figura quedó superada por la reforma constitucional de 2007 al artículo 99.</w:t>
      </w:r>
      <w:r>
        <w:rPr>
          <w:rFonts w:ascii="Arial" w:eastAsia="Arial" w:hAnsi="Arial" w:cs="Arial"/>
          <w:color w:val="000000"/>
          <w:sz w:val="24"/>
          <w:szCs w:val="24"/>
          <w:vertAlign w:val="superscript"/>
        </w:rPr>
        <w:footnoteReference w:id="316"/>
      </w:r>
      <w:r>
        <w:rPr>
          <w:rFonts w:ascii="Arial" w:eastAsia="Arial" w:hAnsi="Arial" w:cs="Arial"/>
          <w:color w:val="000000"/>
          <w:sz w:val="24"/>
          <w:szCs w:val="24"/>
        </w:rPr>
        <w:t xml:space="preserve"> En materia de valoración, el caso Tabasco se resolvió conforme a los artículos 321 y 322 del código electoral local, aplicados junto con el artículo 16 de la ley de medios. La Sala Superior invocó expresamente la fracción II del artículo 322 del código de Tabasco y los párrafos 1 y 3 del artículo 16 federal.</w:t>
      </w:r>
      <w:r>
        <w:rPr>
          <w:rFonts w:ascii="Arial" w:eastAsia="Arial" w:hAnsi="Arial" w:cs="Arial"/>
          <w:color w:val="000000"/>
          <w:sz w:val="24"/>
          <w:szCs w:val="24"/>
          <w:vertAlign w:val="superscript"/>
        </w:rPr>
        <w:footnoteReference w:id="317"/>
      </w:r>
      <w:r>
        <w:rPr>
          <w:rFonts w:ascii="Arial" w:eastAsia="Arial" w:hAnsi="Arial" w:cs="Arial"/>
          <w:color w:val="000000"/>
          <w:sz w:val="24"/>
          <w:szCs w:val="24"/>
        </w:rPr>
        <w:t xml:space="preserve"> Ambos preceptos ordenan valorar las pruebas conforme a las reglas de la lógica, la sana crítica y la experiencia. En consecuencia, la cláusula híbrida gobernó la valoración del caso tanto por vía local como por vía federal.</w:t>
      </w:r>
    </w:p>
    <w:p>
      <w:pPr>
        <w:spacing w:before="0" w:after="0" w:line="360" w:lineRule="auto"/>
        <w:ind w:firstLine="709"/>
        <w:jc w:val="both"/>
      </w:pPr>
      <w:r>
        <w:rPr>
          <w:rFonts w:ascii="Arial" w:eastAsia="Arial" w:hAnsi="Arial" w:cs="Arial"/>
          <w:color w:val="000000"/>
          <w:sz w:val="24"/>
          <w:szCs w:val="24"/>
        </w:rPr>
        <w:t xml:space="preserve">El artículo 321, fracción II, del código de Tabasco reproducía la fórmula según la cual las documentales privadas solo tienen eficacia plena cuando generan convicción sobre la veracidad de los hechos.</w:t>
      </w:r>
      <w:r>
        <w:rPr>
          <w:rFonts w:ascii="Arial" w:eastAsia="Arial" w:hAnsi="Arial" w:cs="Arial"/>
          <w:color w:val="000000"/>
          <w:sz w:val="24"/>
          <w:szCs w:val="24"/>
          <w:vertAlign w:val="superscript"/>
        </w:rPr>
        <w:footnoteReference w:id="318"/>
      </w:r>
      <w:r>
        <w:rPr>
          <w:rFonts w:ascii="Arial" w:eastAsia="Arial" w:hAnsi="Arial" w:cs="Arial"/>
          <w:color w:val="000000"/>
          <w:sz w:val="24"/>
          <w:szCs w:val="24"/>
        </w:rPr>
        <w:t xml:space="preserve"> La cláusula híbrida operaba, por tanto, en la ley local y en la ley federal. La Sala declaró un método de valoración en dos etapas.</w:t>
      </w:r>
      <w:r>
        <w:rPr>
          <w:rFonts w:ascii="Arial" w:eastAsia="Arial" w:hAnsi="Arial" w:cs="Arial"/>
          <w:color w:val="000000"/>
          <w:sz w:val="24"/>
          <w:szCs w:val="24"/>
          <w:vertAlign w:val="superscript"/>
        </w:rPr>
        <w:footnoteReference w:id="319"/>
      </w:r>
      <w:r>
        <w:rPr>
          <w:rFonts w:ascii="Arial" w:eastAsia="Arial" w:hAnsi="Arial" w:cs="Arial"/>
          <w:color w:val="000000"/>
          <w:sz w:val="24"/>
          <w:szCs w:val="24"/>
        </w:rPr>
        <w:t xml:space="preserve"> En la primera etapa analizaba cada prueba en forma particular. En la segunda etapa valoraba las pruebas de manera concatenada para poner de relieve sus concordancias o discordancias. Este método corresponde a la adminiculación descrita en el marco teórico. El análisis individual de las pruebas muestra un uso cuidadoso de criterios racionales. Ese uso se advierte en el tratamiento que la Sala dio a los testimonios, a las denuncias penales y a los documentos privados.</w:t>
      </w:r>
    </w:p>
    <w:p>
      <w:pPr>
        <w:spacing w:before="0" w:after="0" w:line="360" w:lineRule="auto"/>
        <w:ind w:firstLine="709"/>
        <w:jc w:val="both"/>
      </w:pPr>
      <w:r>
        <w:rPr>
          <w:rFonts w:ascii="Arial" w:eastAsia="Arial" w:hAnsi="Arial" w:cs="Arial"/>
          <w:color w:val="000000"/>
          <w:sz w:val="24"/>
          <w:szCs w:val="24"/>
        </w:rPr>
        <w:t xml:space="preserve">La Sala negó valor a los testimonios notariales que no expresaban la razón del dicho y calificó como testigo de oídas al que conocía los hechos por terceros.</w:t>
      </w:r>
      <w:r>
        <w:rPr>
          <w:rFonts w:ascii="Arial" w:eastAsia="Arial" w:hAnsi="Arial" w:cs="Arial"/>
          <w:color w:val="000000"/>
          <w:sz w:val="24"/>
          <w:szCs w:val="24"/>
          <w:vertAlign w:val="superscript"/>
        </w:rPr>
        <w:footnoteReference w:id="320"/>
      </w:r>
      <w:r>
        <w:rPr>
          <w:rFonts w:ascii="Arial" w:eastAsia="Arial" w:hAnsi="Arial" w:cs="Arial"/>
          <w:color w:val="000000"/>
          <w:sz w:val="24"/>
          <w:szCs w:val="24"/>
        </w:rPr>
        <w:t xml:space="preserve"> La Sala sostuvo que las denuncias penales no prueban plenamente los hechos narrados, pero constituyen un indicio que puede robustecerse con otras pruebas.</w:t>
      </w:r>
      <w:r>
        <w:rPr>
          <w:rFonts w:ascii="Arial" w:eastAsia="Arial" w:hAnsi="Arial" w:cs="Arial"/>
          <w:color w:val="000000"/>
          <w:sz w:val="24"/>
          <w:szCs w:val="24"/>
          <w:vertAlign w:val="superscript"/>
        </w:rPr>
        <w:footnoteReference w:id="321"/>
      </w:r>
      <w:r>
        <w:rPr>
          <w:rFonts w:ascii="Arial" w:eastAsia="Arial" w:hAnsi="Arial" w:cs="Arial"/>
          <w:color w:val="000000"/>
          <w:sz w:val="24"/>
          <w:szCs w:val="24"/>
        </w:rPr>
        <w:t xml:space="preserve"> Al examinar unos recibos de entrega de materiales, la Sala advirtió que su expedición pudo obedecer a causas distintas de la compra de votos, como su comercialización o un programa social.</w:t>
      </w:r>
      <w:r>
        <w:rPr>
          <w:rFonts w:ascii="Arial" w:eastAsia="Arial" w:hAnsi="Arial" w:cs="Arial"/>
          <w:color w:val="000000"/>
          <w:sz w:val="24"/>
          <w:szCs w:val="24"/>
          <w:vertAlign w:val="superscript"/>
        </w:rPr>
        <w:footnoteReference w:id="322"/>
      </w:r>
      <w:r>
        <w:rPr>
          <w:rFonts w:ascii="Arial" w:eastAsia="Arial" w:hAnsi="Arial" w:cs="Arial"/>
          <w:color w:val="000000"/>
          <w:sz w:val="24"/>
          <w:szCs w:val="24"/>
        </w:rPr>
        <w:t xml:space="preserve"> Este razonamiento considera hipótesis alternativas. La Sala restó fuerza a un acta levantada doce días después de los hechos, por falta de inmediatez, y la calificó como un leve indicio.</w:t>
      </w:r>
      <w:r>
        <w:rPr>
          <w:rFonts w:ascii="Arial" w:eastAsia="Arial" w:hAnsi="Arial" w:cs="Arial"/>
          <w:color w:val="000000"/>
          <w:sz w:val="24"/>
          <w:szCs w:val="24"/>
          <w:vertAlign w:val="superscript"/>
        </w:rPr>
        <w:footnoteReference w:id="323"/>
      </w:r>
      <w:r>
        <w:rPr>
          <w:rFonts w:ascii="Arial" w:eastAsia="Arial" w:hAnsi="Arial" w:cs="Arial"/>
          <w:color w:val="000000"/>
          <w:sz w:val="24"/>
          <w:szCs w:val="24"/>
        </w:rPr>
        <w:t xml:space="preserve"> Respecto de las copias de notas periodísticas y sondeos, la Sala concluyó que no eran idóneas para acreditar fehacientemente las violaciones aducidas.</w:t>
      </w:r>
      <w:r>
        <w:rPr>
          <w:rFonts w:ascii="Arial" w:eastAsia="Arial" w:hAnsi="Arial" w:cs="Arial"/>
          <w:color w:val="000000"/>
          <w:sz w:val="24"/>
          <w:szCs w:val="24"/>
          <w:vertAlign w:val="superscript"/>
        </w:rPr>
        <w:footnoteReference w:id="324"/>
      </w:r>
      <w:r>
        <w:rPr>
          <w:rFonts w:ascii="Arial" w:eastAsia="Arial" w:hAnsi="Arial" w:cs="Arial"/>
          <w:color w:val="000000"/>
          <w:sz w:val="24"/>
          <w:szCs w:val="24"/>
        </w:rPr>
        <w:t xml:space="preserve"> En suma, el método fue racional y controlable en la valoración individual. El vocabulario de la suficiencia siguió otro camino.</w:t>
      </w:r>
    </w:p>
    <w:p>
      <w:pPr>
        <w:spacing w:before="0" w:after="0" w:line="360" w:lineRule="auto"/>
        <w:ind w:firstLine="709"/>
        <w:jc w:val="both"/>
      </w:pPr>
      <w:r>
        <w:rPr>
          <w:rFonts w:ascii="Arial" w:eastAsia="Arial" w:hAnsi="Arial" w:cs="Arial"/>
          <w:color w:val="000000"/>
          <w:sz w:val="24"/>
          <w:szCs w:val="24"/>
        </w:rPr>
        <w:t xml:space="preserve">El vocabulario de la suficiencia permaneció anclado en la convicción. La Sala afirmó que ciertas pruebas le permitían arribar al pleno convencimiento de un hecho.</w:t>
      </w:r>
      <w:r>
        <w:rPr>
          <w:rFonts w:ascii="Arial" w:eastAsia="Arial" w:hAnsi="Arial" w:cs="Arial"/>
          <w:color w:val="000000"/>
          <w:sz w:val="24"/>
          <w:szCs w:val="24"/>
          <w:vertAlign w:val="superscript"/>
        </w:rPr>
        <w:footnoteReference w:id="325"/>
      </w:r>
      <w:r>
        <w:rPr>
          <w:rFonts w:ascii="Arial" w:eastAsia="Arial" w:hAnsi="Arial" w:cs="Arial"/>
          <w:color w:val="000000"/>
          <w:sz w:val="24"/>
          <w:szCs w:val="24"/>
        </w:rPr>
        <w:t xml:space="preserve"> La Sala sostuvo que otras pruebas no producían convicción alguna en el órgano jurisdiccional.</w:t>
      </w:r>
      <w:r>
        <w:rPr>
          <w:rFonts w:ascii="Arial" w:eastAsia="Arial" w:hAnsi="Arial" w:cs="Arial"/>
          <w:color w:val="000000"/>
          <w:sz w:val="24"/>
          <w:szCs w:val="24"/>
          <w:vertAlign w:val="superscript"/>
        </w:rPr>
        <w:footnoteReference w:id="326"/>
      </w:r>
      <w:r>
        <w:rPr>
          <w:rFonts w:ascii="Arial" w:eastAsia="Arial" w:hAnsi="Arial" w:cs="Arial"/>
          <w:color w:val="000000"/>
          <w:sz w:val="24"/>
          <w:szCs w:val="24"/>
        </w:rPr>
        <w:t xml:space="preserve"> Para la quema de papelería electoral, el estudio conjunto de las pruebas le permitió llegar al convencimiento de que se destruyó documentación en forma dolosa o por negligencia injustificada.</w:t>
      </w:r>
      <w:r>
        <w:rPr>
          <w:rFonts w:ascii="Arial" w:eastAsia="Arial" w:hAnsi="Arial" w:cs="Arial"/>
          <w:color w:val="000000"/>
          <w:sz w:val="24"/>
          <w:szCs w:val="24"/>
          <w:vertAlign w:val="superscript"/>
        </w:rPr>
        <w:footnoteReference w:id="327"/>
      </w:r>
      <w:r>
        <w:rPr>
          <w:rFonts w:ascii="Arial" w:eastAsia="Arial" w:hAnsi="Arial" w:cs="Arial"/>
          <w:color w:val="000000"/>
          <w:sz w:val="24"/>
          <w:szCs w:val="24"/>
        </w:rPr>
        <w:t xml:space="preserve"> Estas expresiones describen el resultado del juicio del tribunal y no un umbral identificable. La sentencia muestra de ese modo la coexistencia de los dos planos de la cláusula híbrida, porque la valoración es explícita y controlable mientras la suficiencia se expresa como estado de convencimiento del órgano resolutor. Este desdoblamiento es la primera manifestación jurisprudencial documentada del problema que esta investigación examina. El desdoblamiento se aprecia con mayor claridad en la conclusión del caso, que se apoyó en la concurrencia de varias irregularidades.</w:t>
      </w:r>
    </w:p>
    <w:p>
      <w:pPr>
        <w:spacing w:before="0" w:after="0" w:line="360" w:lineRule="auto"/>
        <w:ind w:firstLine="709"/>
        <w:jc w:val="both"/>
      </w:pPr>
      <w:r>
        <w:rPr>
          <w:rFonts w:ascii="Arial" w:eastAsia="Arial" w:hAnsi="Arial" w:cs="Arial"/>
          <w:color w:val="000000"/>
          <w:sz w:val="24"/>
          <w:szCs w:val="24"/>
        </w:rPr>
        <w:t xml:space="preserve">La conclusión del caso Tabasco se apoyó en la concurrencia de varias irregularidades. La primera irregularidad fue la inequidad en el acceso a la televisión, pues el partido ganador tuvo mayor presencia en un canal cuya concesionaria pertenecía mayoritariamente al gobierno estatal.</w:t>
      </w:r>
      <w:r>
        <w:rPr>
          <w:rFonts w:ascii="Arial" w:eastAsia="Arial" w:hAnsi="Arial" w:cs="Arial"/>
          <w:color w:val="000000"/>
          <w:sz w:val="24"/>
          <w:szCs w:val="24"/>
          <w:vertAlign w:val="superscript"/>
        </w:rPr>
        <w:footnoteReference w:id="328"/>
      </w:r>
      <w:r>
        <w:rPr>
          <w:rFonts w:ascii="Arial" w:eastAsia="Arial" w:hAnsi="Arial" w:cs="Arial"/>
          <w:color w:val="000000"/>
          <w:sz w:val="24"/>
          <w:szCs w:val="24"/>
        </w:rPr>
        <w:t xml:space="preserve"> Para ponderar su impacto, la Sala invocó la experiencia a que se refiere el artículo 16, párrafo 1, y citó la obra </w:t>
      </w:r>
      <w:r>
        <w:rPr>
          <w:rFonts w:ascii="Arial" w:eastAsia="Arial" w:hAnsi="Arial" w:cs="Arial"/>
          <w:i/>
          <w:iCs/>
          <w:color w:val="000000"/>
          <w:sz w:val="24"/>
          <w:szCs w:val="24"/>
        </w:rPr>
        <w:t xml:space="preserve">Homo videns</w:t>
      </w:r>
      <w:r>
        <w:rPr>
          <w:rFonts w:ascii="Arial" w:eastAsia="Arial" w:hAnsi="Arial" w:cs="Arial"/>
          <w:color w:val="000000"/>
          <w:sz w:val="24"/>
          <w:szCs w:val="24"/>
        </w:rPr>
        <w:t xml:space="preserve"> de Giovanni Sartori. La segunda irregularidad fue la apertura de 1,338 paquetes electorales, equivalentes al 65 por ciento de las casillas, en la mayoría de los casos sin causa legal.</w:t>
      </w:r>
      <w:r>
        <w:rPr>
          <w:rFonts w:ascii="Arial" w:eastAsia="Arial" w:hAnsi="Arial" w:cs="Arial"/>
          <w:color w:val="000000"/>
          <w:sz w:val="24"/>
          <w:szCs w:val="24"/>
          <w:vertAlign w:val="superscript"/>
        </w:rPr>
        <w:footnoteReference w:id="329"/>
      </w:r>
      <w:r>
        <w:rPr>
          <w:rFonts w:ascii="Arial" w:eastAsia="Arial" w:hAnsi="Arial" w:cs="Arial"/>
          <w:color w:val="000000"/>
          <w:sz w:val="24"/>
          <w:szCs w:val="24"/>
        </w:rPr>
        <w:t xml:space="preserve"> La Sala razonó que no se trataba de una simple coincidencia, sino del acatamiento de una instrucción general.</w:t>
      </w:r>
      <w:r>
        <w:rPr>
          <w:rFonts w:ascii="Arial" w:eastAsia="Arial" w:hAnsi="Arial" w:cs="Arial"/>
          <w:color w:val="000000"/>
          <w:sz w:val="24"/>
          <w:szCs w:val="24"/>
          <w:vertAlign w:val="superscript"/>
        </w:rPr>
        <w:footnoteReference w:id="330"/>
      </w:r>
      <w:r>
        <w:rPr>
          <w:rFonts w:ascii="Arial" w:eastAsia="Arial" w:hAnsi="Arial" w:cs="Arial"/>
          <w:color w:val="000000"/>
          <w:sz w:val="24"/>
          <w:szCs w:val="24"/>
        </w:rPr>
        <w:t xml:space="preserve"> Este paso es una inferencia a partir de indicios que descarta expresamente una hipótesis alternativa. Por consiguiente, la Sala aplicó en este punto el criterio de eliminación de alternativas que exige la prueba indiciaria. Las demás irregularidades completaron el cuadro indiciario del caso.</w:t>
      </w:r>
    </w:p>
    <w:p>
      <w:pPr>
        <w:spacing w:before="0" w:after="0" w:line="360" w:lineRule="auto"/>
        <w:ind w:firstLine="709"/>
        <w:jc w:val="both"/>
      </w:pPr>
      <w:r>
        <w:rPr>
          <w:rFonts w:ascii="Arial" w:eastAsia="Arial" w:hAnsi="Arial" w:cs="Arial"/>
          <w:color w:val="000000"/>
          <w:sz w:val="24"/>
          <w:szCs w:val="24"/>
        </w:rPr>
        <w:t xml:space="preserve">Las demás irregularidades del caso Tabasco incluyeron la quema de papelería electoral y los hechos ocurridos en las instalaciones de una empresa de cómputo. El cuadro incluyó las declaraciones de un exfuncionario sobre el financiamiento de la campaña.</w:t>
      </w:r>
      <w:r>
        <w:rPr>
          <w:rFonts w:ascii="Arial" w:eastAsia="Arial" w:hAnsi="Arial" w:cs="Arial"/>
          <w:color w:val="000000"/>
          <w:sz w:val="24"/>
          <w:szCs w:val="24"/>
          <w:vertAlign w:val="superscript"/>
        </w:rPr>
        <w:footnoteReference w:id="331"/>
      </w:r>
      <w:r>
        <w:rPr>
          <w:rFonts w:ascii="Arial" w:eastAsia="Arial" w:hAnsi="Arial" w:cs="Arial"/>
          <w:color w:val="000000"/>
          <w:sz w:val="24"/>
          <w:szCs w:val="24"/>
        </w:rPr>
        <w:t xml:space="preserve"> La Sala subrayó que su conclusión no derivaba de una sola circunstancia, sino de la concurrencia de todas.</w:t>
      </w:r>
      <w:r>
        <w:rPr>
          <w:rFonts w:ascii="Arial" w:eastAsia="Arial" w:hAnsi="Arial" w:cs="Arial"/>
          <w:color w:val="000000"/>
          <w:sz w:val="24"/>
          <w:szCs w:val="24"/>
          <w:vertAlign w:val="superscript"/>
        </w:rPr>
        <w:footnoteReference w:id="332"/>
      </w:r>
      <w:r>
        <w:rPr>
          <w:rFonts w:ascii="Arial" w:eastAsia="Arial" w:hAnsi="Arial" w:cs="Arial"/>
          <w:color w:val="000000"/>
          <w:sz w:val="24"/>
          <w:szCs w:val="24"/>
        </w:rPr>
        <w:t xml:space="preserve"> Esa concurrencia daba relevancia a los indicios aportados por el resto del acervo. El razonamiento de la Sala corresponde a la valoración conjunta de un haz de indicios. La determinancia se estableció después con referencia al margen de votación. La Sala observó que, en el cómputo recompuesto, la diferencia entre los dos primeros lugares era de 7,303 votos, equivalente a 1.11 puntos porcentuales.</w:t>
      </w:r>
      <w:r>
        <w:rPr>
          <w:rFonts w:ascii="Arial" w:eastAsia="Arial" w:hAnsi="Arial" w:cs="Arial"/>
          <w:color w:val="000000"/>
          <w:sz w:val="24"/>
          <w:szCs w:val="24"/>
          <w:vertAlign w:val="superscript"/>
        </w:rPr>
        <w:footnoteReference w:id="333"/>
      </w:r>
      <w:r>
        <w:rPr>
          <w:rFonts w:ascii="Arial" w:eastAsia="Arial" w:hAnsi="Arial" w:cs="Arial"/>
          <w:color w:val="000000"/>
          <w:sz w:val="24"/>
          <w:szCs w:val="24"/>
        </w:rPr>
        <w:t xml:space="preserve"> De ese dato la Sala concluyó que el resultado podría haber sido otro si las anomalías no se hubieran producido.</w:t>
      </w:r>
    </w:p>
    <w:p>
      <w:pPr>
        <w:spacing w:before="0" w:after="0" w:line="360" w:lineRule="auto"/>
        <w:ind w:firstLine="709"/>
        <w:jc w:val="both"/>
      </w:pPr>
      <w:r>
        <w:rPr>
          <w:rFonts w:ascii="Arial" w:eastAsia="Arial" w:hAnsi="Arial" w:cs="Arial"/>
          <w:color w:val="000000"/>
          <w:sz w:val="24"/>
          <w:szCs w:val="24"/>
        </w:rPr>
        <w:t xml:space="preserve">La formulación de la determinancia en el caso Tabasco interesa directamente a esta investigación. El umbral empleado no fue la certeza ni la probabilidad seria, sino la posibilidad de un resultado distinto. Tres años después, en el caso Colima, la misma Sala exigiría una probabilidad seria, fundada y razonable. La diferencia entre ambas formulaciones obedece a la redacción de cada sentencia. Ninguna regla previa explica por qué la posibilidad bastó en 2000 y la probabilidad seria se exigió en 2003. Los magistrados disidentes sostuvieron que el acervo probatorio era insuficiente para anular la elección.</w:t>
      </w:r>
      <w:r>
        <w:rPr>
          <w:rFonts w:ascii="Arial" w:eastAsia="Arial" w:hAnsi="Arial" w:cs="Arial"/>
          <w:color w:val="000000"/>
          <w:sz w:val="24"/>
          <w:szCs w:val="24"/>
          <w:vertAlign w:val="superscript"/>
        </w:rPr>
        <w:footnoteReference w:id="334"/>
      </w:r>
      <w:r>
        <w:rPr>
          <w:rFonts w:ascii="Arial" w:eastAsia="Arial" w:hAnsi="Arial" w:cs="Arial"/>
          <w:color w:val="000000"/>
          <w:sz w:val="24"/>
          <w:szCs w:val="24"/>
        </w:rPr>
        <w:t xml:space="preserve"> En consecuencia, el desacuerdo sobre la suficiencia se formuló sobre el mismo expediente y con el mismo método de valoración. Ese desacuerdo merece un examen propio, pero antes debe analizarse el tercer plano del origen de la cláusula, que corresponde a la jurisprudencia 38/2002.</w:t>
      </w:r>
    </w:p>
    <w:p>
      <w:pPr>
        <w:spacing w:before="0" w:after="0" w:line="360" w:lineRule="auto"/>
        <w:ind w:firstLine="709"/>
        <w:jc w:val="both"/>
      </w:pPr>
      <w:r>
        <w:rPr>
          <w:rFonts w:ascii="Arial" w:eastAsia="Arial" w:hAnsi="Arial" w:cs="Arial"/>
          <w:color w:val="000000"/>
          <w:sz w:val="24"/>
          <w:szCs w:val="24"/>
        </w:rPr>
        <w:t xml:space="preserve">El tercer plano corresponde a la jurisprudencia 38/2002. Este criterio fijó los elementos para determinar la fuerza indiciaria de las notas periodísticas.</w:t>
      </w:r>
      <w:r>
        <w:rPr>
          <w:rFonts w:ascii="Arial" w:eastAsia="Arial" w:hAnsi="Arial" w:cs="Arial"/>
          <w:color w:val="000000"/>
          <w:sz w:val="24"/>
          <w:szCs w:val="24"/>
          <w:vertAlign w:val="superscript"/>
        </w:rPr>
        <w:footnoteReference w:id="335"/>
      </w:r>
      <w:r>
        <w:rPr>
          <w:rFonts w:ascii="Arial" w:eastAsia="Arial" w:hAnsi="Arial" w:cs="Arial"/>
          <w:color w:val="000000"/>
          <w:sz w:val="24"/>
          <w:szCs w:val="24"/>
        </w:rPr>
        <w:t xml:space="preserve"> Esas notas solo arrojan indicios, que el juzgador califica como simples o de mayor grado convictivo según las circunstancias del caso. Las circunstancias relevantes son la pluralidad de notas, su procedencia de distintos medios, su atribución a diferentes autores y su coincidencia sustancial. A esas circunstancias se suman la falta de un mentís del afectado y la conducta procesal de quien se limita a negar valor a las notas sin pronunciarse sobre la certeza de los hechos. Ponderadas esas circunstancias conforme a la lógica, la sana crítica y las máximas de experiencia, las notas adquieren mayor calidad indiciaria. En consecuencia, los elementos faltantes para alcanzar la fuerza probatoria plena son menores. La jurisprudencia se aprobó el 20 de mayo de 2002 y sus precedentes son tres asuntos de 2001 y 2002, no el caso Tabasco.</w:t>
      </w:r>
    </w:p>
    <w:p>
      <w:pPr>
        <w:spacing w:before="0" w:after="0" w:line="360" w:lineRule="auto"/>
        <w:ind w:firstLine="709"/>
        <w:jc w:val="both"/>
      </w:pPr>
      <w:r>
        <w:rPr>
          <w:rFonts w:ascii="Arial" w:eastAsia="Arial" w:hAnsi="Arial" w:cs="Arial"/>
          <w:color w:val="000000"/>
          <w:sz w:val="24"/>
          <w:szCs w:val="24"/>
        </w:rPr>
        <w:t xml:space="preserve">El examen de los precedentes de la jurisprudencia 38/2002 corrige una lectura frecuente de ese criterio. El SUP-JRC-170/2001 versó sobre la elegibilidad de un candidato a presidente municipal de Jerez, Zacatecas, cuya residencia se cuestionaba.</w:t>
      </w:r>
      <w:r>
        <w:rPr>
          <w:rFonts w:ascii="Arial" w:eastAsia="Arial" w:hAnsi="Arial" w:cs="Arial"/>
          <w:color w:val="000000"/>
          <w:sz w:val="24"/>
          <w:szCs w:val="24"/>
          <w:vertAlign w:val="superscript"/>
        </w:rPr>
        <w:footnoteReference w:id="336"/>
      </w:r>
      <w:r>
        <w:rPr>
          <w:rFonts w:ascii="Arial" w:eastAsia="Arial" w:hAnsi="Arial" w:cs="Arial"/>
          <w:color w:val="000000"/>
          <w:sz w:val="24"/>
          <w:szCs w:val="24"/>
        </w:rPr>
        <w:t xml:space="preserve"> La Sala sostuvo que los recibos de servicios no generaban la convicción indubitable del domicilio, sino solo indicios, y empleó las notas periodísticas para robustecer la conclusión contraria. El SUP-JRC-349/2001 se refirió a la elección municipal de Tuxtla Gutiérrez, Chiapas.</w:t>
      </w:r>
      <w:r>
        <w:rPr>
          <w:rFonts w:ascii="Arial" w:eastAsia="Arial" w:hAnsi="Arial" w:cs="Arial"/>
          <w:color w:val="000000"/>
          <w:sz w:val="24"/>
          <w:szCs w:val="24"/>
          <w:vertAlign w:val="superscript"/>
        </w:rPr>
        <w:footnoteReference w:id="337"/>
      </w:r>
      <w:r>
        <w:rPr>
          <w:rFonts w:ascii="Arial" w:eastAsia="Arial" w:hAnsi="Arial" w:cs="Arial"/>
          <w:color w:val="000000"/>
          <w:sz w:val="24"/>
          <w:szCs w:val="24"/>
        </w:rPr>
        <w:t xml:space="preserve"> En ese asunto las notas aportadas solo generaron leves indicios, porque no existía otro elemento con el cual adminicularlas. El SUP-JRC-024/2002 versó sobre el registro de una planilla municipal en Othón P. Blanco, Quintana Roo.</w:t>
      </w:r>
      <w:r>
        <w:rPr>
          <w:rFonts w:ascii="Arial" w:eastAsia="Arial" w:hAnsi="Arial" w:cs="Arial"/>
          <w:color w:val="000000"/>
          <w:sz w:val="24"/>
          <w:szCs w:val="24"/>
          <w:vertAlign w:val="superscript"/>
        </w:rPr>
        <w:footnoteReference w:id="338"/>
      </w:r>
      <w:r>
        <w:rPr>
          <w:rFonts w:ascii="Arial" w:eastAsia="Arial" w:hAnsi="Arial" w:cs="Arial"/>
          <w:color w:val="000000"/>
          <w:sz w:val="24"/>
          <w:szCs w:val="24"/>
        </w:rPr>
        <w:t xml:space="preserve"> La Sala sostuvo que los indicios de las notas, enlazados con los demás medios de prueba, dieron al tribunal local la plena convicción de que el registro fue oportuno. En ese asunto la Sala citaba ya una tesis relevante de 2001 con el mismo rubro.</w:t>
      </w:r>
    </w:p>
    <w:p>
      <w:pPr>
        <w:spacing w:before="0" w:after="0" w:line="360" w:lineRule="auto"/>
        <w:ind w:firstLine="709"/>
        <w:jc w:val="both"/>
      </w:pPr>
      <w:r>
        <w:rPr>
          <w:rFonts w:ascii="Arial" w:eastAsia="Arial" w:hAnsi="Arial" w:cs="Arial"/>
          <w:color w:val="000000"/>
          <w:sz w:val="24"/>
          <w:szCs w:val="24"/>
        </w:rPr>
        <w:t xml:space="preserve">Una lectura frecuente sostiene que la jurisprudencia 38/2002 depuró el lenguaje psicologista del artículo 16. El examen de su texto no respalda esa lectura. La jurisprudencia conserva la expresión grado convictivo y mantiene como meta la fuerza probatoria plena, que el artículo 16, párrafo 3, vincula a la generación de convicción. Sus precedentes emplean las expresiones convicción indubitable, convicción alguna y plena convicción.</w:t>
      </w:r>
      <w:r>
        <w:rPr>
          <w:rFonts w:ascii="Arial" w:eastAsia="Arial" w:hAnsi="Arial" w:cs="Arial"/>
          <w:color w:val="000000"/>
          <w:sz w:val="24"/>
          <w:szCs w:val="24"/>
          <w:vertAlign w:val="superscript"/>
        </w:rPr>
        <w:footnoteReference w:id="339"/>
      </w:r>
      <w:r>
        <w:rPr>
          <w:rFonts w:ascii="Arial" w:eastAsia="Arial" w:hAnsi="Arial" w:cs="Arial"/>
          <w:color w:val="000000"/>
          <w:sz w:val="24"/>
          <w:szCs w:val="24"/>
        </w:rPr>
        <w:t xml:space="preserve"> La aportación de la jurisprudencia es de otra naturaleza. La jurisprudencia establece criterios para graduar el peso de un tipo de indicio, como la pluralidad e independencia de las fuentes, su concordancia y la ausencia de desmentido. Esos criterios pertenecen al plano de la valoración y son compatibles con la adminiculación. En consecuencia, la jurisprudencia mejora el método sin tocar el umbral, y esa limitación se advierte en la escala que el criterio supone.</w:t>
      </w:r>
    </w:p>
    <w:p>
      <w:pPr>
        <w:spacing w:before="0" w:after="0" w:line="360" w:lineRule="auto"/>
        <w:ind w:firstLine="709"/>
        <w:jc w:val="both"/>
      </w:pPr>
      <w:r>
        <w:rPr>
          <w:rFonts w:ascii="Arial" w:eastAsia="Arial" w:hAnsi="Arial" w:cs="Arial"/>
          <w:color w:val="000000"/>
          <w:sz w:val="24"/>
          <w:szCs w:val="24"/>
        </w:rPr>
        <w:t xml:space="preserve">La jurisprudencia 38/2002 supone una escala que va del indicio simple al indicio de mayor grado y de este a la prueba plena. Sin embargo, la jurisprudencia no define en qué punto de esa escala se alcanza la plenitud. El criterio tampoco indica cuántos elementos faltantes deben reunirse para llegar a ella. Esta omisión confirma el diagnóstico de la tesis en uno de los primeros criterios obligatorios sobre prueba indiciaria en materia electoral. La jurisprudencia formaliza reglas de peso, pero deja intacto el umbral de suficiencia. Por tanto, el criterio ordena el cómo de la valoración sin determinar el cuánto de la decisión. La jurisprudencia incumple el segundo requisito metodológico, pues no identifica un resultado probatorio mínimo. El problema no se limita a las notas periodísticas, sino que se reproduce en cualquier indicio sujeto al artículo 16, párrafo 3.</w:t>
      </w:r>
    </w:p>
    <w:p>
      <w:pPr>
        <w:spacing w:before="0" w:after="0" w:line="360" w:lineRule="auto"/>
        <w:ind w:firstLine="709"/>
        <w:jc w:val="both"/>
      </w:pPr>
      <w:r>
        <w:rPr>
          <w:rFonts w:ascii="Arial" w:eastAsia="Arial" w:hAnsi="Arial" w:cs="Arial"/>
          <w:color w:val="000000"/>
          <w:sz w:val="24"/>
          <w:szCs w:val="24"/>
        </w:rPr>
        <w:t xml:space="preserve">La jurisprudencia 38/2002 tiene, con todo, un mérito que debe reconocerse. El criterio introduce elementos objetivos y controlables al exigir que se ponderen la independencia de las fuentes y la ausencia de desmentido. Su insuficiencia radica en que esos criterios gradúan el peso del indicio, pero no indican cuándo el conjunto basta para tener un hecho por probado. La tensión que se originó entre 2000 y 2002 persiste en las decisiones recientes de la Sala Superior. En el SUP-JIN-194/2025, sobre la elección de integrantes de la Suprema Corte, la Sala sostuvo que la ley de medios adopta la escuela de libre investigación o libre convencimiento.</w:t>
      </w:r>
      <w:r>
        <w:rPr>
          <w:rFonts w:ascii="Arial" w:eastAsia="Arial" w:hAnsi="Arial" w:cs="Arial"/>
          <w:color w:val="000000"/>
          <w:sz w:val="24"/>
          <w:szCs w:val="24"/>
          <w:vertAlign w:val="superscript"/>
        </w:rPr>
        <w:footnoteReference w:id="340"/>
      </w:r>
      <w:r>
        <w:rPr>
          <w:rFonts w:ascii="Arial" w:eastAsia="Arial" w:hAnsi="Arial" w:cs="Arial"/>
          <w:color w:val="000000"/>
          <w:sz w:val="24"/>
          <w:szCs w:val="24"/>
        </w:rPr>
        <w:t xml:space="preserve"> En el mismo párrafo la Sala añadió que la valoración debe guiarse por reglas lógicas y criterios que permitan su formulación racional y controlable. En consecuencia, la sentencia combina el vocabulario del convencimiento con el de la racionalidad controlable. El voto particular de ese asunto precisa el problema.</w:t>
      </w:r>
    </w:p>
    <w:p>
      <w:pPr>
        <w:spacing w:before="0" w:after="0" w:line="360" w:lineRule="auto"/>
        <w:ind w:firstLine="709"/>
        <w:jc w:val="both"/>
      </w:pPr>
      <w:r>
        <w:rPr>
          <w:rFonts w:ascii="Arial" w:eastAsia="Arial" w:hAnsi="Arial" w:cs="Arial"/>
          <w:color w:val="000000"/>
          <w:sz w:val="24"/>
          <w:szCs w:val="24"/>
        </w:rPr>
        <w:t xml:space="preserve">El magistrado Reyes Rodríguez Mondragón advirtió en su voto particular que la mayoría confundía el requisito de que las irregularidades estén plenamente acreditadas con un estándar probatorio específico.</w:t>
      </w:r>
      <w:r>
        <w:rPr>
          <w:rFonts w:ascii="Arial" w:eastAsia="Arial" w:hAnsi="Arial" w:cs="Arial"/>
          <w:color w:val="000000"/>
          <w:sz w:val="24"/>
          <w:szCs w:val="24"/>
          <w:vertAlign w:val="superscript"/>
        </w:rPr>
        <w:footnoteReference w:id="341"/>
      </w:r>
      <w:r>
        <w:rPr>
          <w:rFonts w:ascii="Arial" w:eastAsia="Arial" w:hAnsi="Arial" w:cs="Arial"/>
          <w:color w:val="000000"/>
          <w:sz w:val="24"/>
          <w:szCs w:val="24"/>
        </w:rPr>
        <w:t xml:space="preserve"> El magistrado sostuvo que la expresión plenamente acreditadas se refiere al nivel de convicción que se alcanza tras aplicar el estándar. Por ello esa expresión no es un estándar en sí misma. En otro pasaje el magistrado exigió que el conjunto probatorio genere convicción suficiente según el estándar aplicable.</w:t>
      </w:r>
      <w:r>
        <w:rPr>
          <w:rFonts w:ascii="Arial" w:eastAsia="Arial" w:hAnsi="Arial" w:cs="Arial"/>
          <w:color w:val="000000"/>
          <w:sz w:val="24"/>
          <w:szCs w:val="24"/>
          <w:vertAlign w:val="superscript"/>
        </w:rPr>
        <w:footnoteReference w:id="342"/>
      </w:r>
      <w:r>
        <w:rPr>
          <w:rFonts w:ascii="Arial" w:eastAsia="Arial" w:hAnsi="Arial" w:cs="Arial"/>
          <w:color w:val="000000"/>
          <w:sz w:val="24"/>
          <w:szCs w:val="24"/>
        </w:rPr>
        <w:t xml:space="preserve"> El voto identifica con precisión el vacío, pero conserva la convicción como medida del resultado. Veinticinco años después del caso Tabasco, la cláusula híbrida sigue sin un umbral definido. Por consiguiente, ni la mayoría ni la disidencia han superado el vocabulario heredado de 1996. Esa persistencia permite formular cuatro conclusiones sobre el origen de la cláusula híbrida.</w:t>
      </w:r>
    </w:p>
    <w:p>
      <w:pPr>
        <w:spacing w:before="0" w:after="0" w:line="360" w:lineRule="auto"/>
        <w:ind w:firstLine="709"/>
        <w:jc w:val="both"/>
      </w:pPr>
      <w:r>
        <w:rPr>
          <w:rFonts w:ascii="Arial" w:eastAsia="Arial" w:hAnsi="Arial" w:cs="Arial"/>
          <w:color w:val="000000"/>
          <w:sz w:val="24"/>
          <w:szCs w:val="24"/>
        </w:rPr>
        <w:t xml:space="preserve">La primera conclusión sostiene que el artículo 16 combina desde 1996 un método racional, una tasación legal y un umbral subjetivo sin reglas que los articulen. La segunda conclusión sostiene que la fórmula de la sana crítica llegó al texto legal con una indeterminación de origen, que la práctica española ya había aproximado a la íntima convicción. La tercera conclusión sostiene que el caso Tabasco aplicó un método racional que consideró hipótesis alternativas. Ese caso expresó, sin embargo, la suficiencia como convencimiento y como posibilidad de un resultado distinto. La cuarta conclusión sostiene que la jurisprudencia 38/2002 graduó el peso de las notas periodísticas sin eliminar el lenguaje de la convicción ni fijar un umbral de plenitud. En consecuencia, la jurisdicción electoral desarrolló el método, pero no la regla de decisión. Esas conclusiones sugieren una hipótesis sobre la manera en que las fórmulas llegaron al texto legal. Esa hipótesis explica la convivencia de lógicas distintas en un mismo precepto.</w:t>
      </w:r>
    </w:p>
    <w:p>
      <w:pPr>
        <w:spacing w:before="0" w:after="0" w:line="360" w:lineRule="auto"/>
        <w:ind w:firstLine="709"/>
        <w:jc w:val="both"/>
      </w:pPr>
      <w:r>
        <w:rPr>
          <w:rFonts w:ascii="Arial" w:eastAsia="Arial" w:hAnsi="Arial" w:cs="Arial"/>
          <w:color w:val="000000"/>
          <w:sz w:val="24"/>
          <w:szCs w:val="24"/>
        </w:rPr>
        <w:t xml:space="preserve">La cláusula híbrida parece responder más a la recepción de fórmulas de contenido impreciso que a una decisión deliberada de combinar modelos. Esa hipótesis deberá contrastarse con los antecedentes parlamentarios de la ley de medios. La recepción de fórmulas imprecisas explica que el método y el umbral convivan sin articulación. La fragilidad de ese diseño se hizo visible en el propio caso Tabasco. En ese caso dos magistrados consideraron insuficiente el mismo acervo que la mayoría estimó bastante. Por tanto, la divergencia entre mayoría y minoría no derivó de hechos distintos ni de métodos distintos. La divergencia derivó de la ausencia de un umbral común que permitiera decidir cuándo el acervo bastaba. Los argumentos del voto particular frente a la sentencia mayoritaria permiten examinar esa divergencia con mayor detalle y precisar el punto exacto del disenso.</w:t>
      </w:r>
    </w:p>
    <w:p>
      <w:pPr>
        <w:spacing w:before="0" w:after="0" w:line="360" w:lineRule="auto"/>
        <w:jc w:val="left"/>
      </w:pPr>
    </w:p>
    <w:p>
      <w:pPr>
        <w:pStyle w:val="Ttulo2"/>
        <w:keepNext/>
        <w:spacing w:before="0" w:after="0" w:line="360" w:lineRule="auto"/>
        <w:ind w:left="567" w:hanging="284"/>
        <w:jc w:val="left"/>
      </w:pPr>
      <w:bookmarkStart w:id="813" w:name="_Toc9000013"/>
      <w:r>
        <w:rPr>
          <w:rFonts w:ascii="Arial" w:eastAsia="Arial" w:hAnsi="Arial" w:cs="Arial"/>
          <w:color w:val="000000"/>
          <w:sz w:val="24"/>
          <w:szCs w:val="24"/>
        </w:rPr>
        <w:t xml:space="preserve">2.3. </w:t>
      </w:r>
      <w:r>
        <w:rPr>
          <w:rFonts w:ascii="Arial" w:eastAsia="Arial" w:hAnsi="Arial" w:cs="Arial"/>
          <w:i/>
          <w:iCs/>
          <w:color w:val="000000"/>
          <w:sz w:val="24"/>
          <w:szCs w:val="24"/>
        </w:rPr>
        <w:t xml:space="preserve">El voto particular de 2000 frente a la sentencia mayoritaria</w:t>
      </w:r>
      <w:bookmarkEnd w:id="813"/>
    </w:p>
    <w:p>
      <w:pPr>
        <w:spacing w:before="0" w:after="0" w:line="360" w:lineRule="auto"/>
        <w:jc w:val="left"/>
      </w:pPr>
    </w:p>
    <w:p>
      <w:pPr>
        <w:spacing w:before="0" w:after="0" w:line="360" w:lineRule="auto"/>
        <w:ind w:firstLine="0"/>
        <w:jc w:val="both"/>
      </w:pPr>
      <w:r>
        <w:rPr>
          <w:rFonts w:ascii="Arial" w:eastAsia="Arial" w:hAnsi="Arial" w:cs="Arial"/>
          <w:color w:val="000000"/>
          <w:sz w:val="24"/>
          <w:szCs w:val="24"/>
        </w:rPr>
        <w:t xml:space="preserve">La sentencia del caso Tabasco no fue unánime. Los magistrados Eloy Fuentes Cerda y Alfonsina Berta Navarro Hidalgo formularon un voto particular conjunto contra la declaración de nulidad.</w:t>
      </w:r>
      <w:r>
        <w:rPr>
          <w:rFonts w:ascii="Arial" w:eastAsia="Arial" w:hAnsi="Arial" w:cs="Arial"/>
          <w:color w:val="000000"/>
          <w:sz w:val="24"/>
          <w:szCs w:val="24"/>
          <w:vertAlign w:val="superscript"/>
        </w:rPr>
        <w:footnoteReference w:id="343"/>
      </w:r>
      <w:r>
        <w:rPr>
          <w:rFonts w:ascii="Arial" w:eastAsia="Arial" w:hAnsi="Arial" w:cs="Arial"/>
          <w:color w:val="000000"/>
          <w:sz w:val="24"/>
          <w:szCs w:val="24"/>
        </w:rPr>
        <w:t xml:space="preserve"> Ese voto es un disenso temprano sobre la suficiencia de la prueba indiciaria en una nulidad de elección de gobernador. Su examen permite contrastar dos lecturas del mismo acervo probatorio, formuladas por el mismo órgano y en la misma fecha. La primera tesis sostiene que el disenso discutió la solidez de cada inferencia de la mayoría y no solo la legalidad. La segunda tesis sostiene que el voto empleó el par cuantitativo y cualitativo, pero no lo creó, porque ese vocabulario ya circulaba en la jurisprudencia. La tercera tesis sostiene que mayoría y minoría compartieron el vocabulario de la convicción sin plantear un umbral. El análisis se apoya en el texto íntegro del voto, publicado por el propio Tribunal, y en la sentencia de Colima de 2003.</w:t>
      </w:r>
    </w:p>
    <w:p>
      <w:pPr>
        <w:spacing w:before="0" w:after="0" w:line="360" w:lineRule="auto"/>
        <w:ind w:firstLine="709"/>
        <w:jc w:val="both"/>
      </w:pPr>
      <w:r>
        <w:rPr>
          <w:rFonts w:ascii="Arial" w:eastAsia="Arial" w:hAnsi="Arial" w:cs="Arial"/>
          <w:color w:val="000000"/>
          <w:sz w:val="24"/>
          <w:szCs w:val="24"/>
        </w:rPr>
        <w:t xml:space="preserve">El voto se emitió con fundamento en el artículo 187 de la </w:t>
      </w:r>
      <w:r>
        <w:rPr>
          <w:rFonts w:ascii="Arial" w:eastAsia="Arial" w:hAnsi="Arial" w:cs="Arial"/>
          <w:i/>
          <w:iCs/>
          <w:color w:val="000000"/>
          <w:sz w:val="24"/>
          <w:szCs w:val="24"/>
        </w:rPr>
        <w:t xml:space="preserve">Ley Orgánica del Poder Judicial de la Federación</w:t>
      </w:r>
      <w:r>
        <w:rPr>
          <w:rFonts w:ascii="Arial" w:eastAsia="Arial" w:hAnsi="Arial" w:cs="Arial"/>
          <w:color w:val="000000"/>
          <w:sz w:val="24"/>
          <w:szCs w:val="24"/>
        </w:rPr>
        <w:t xml:space="preserve">.</w:t>
      </w:r>
      <w:r>
        <w:rPr>
          <w:rFonts w:ascii="Arial" w:eastAsia="Arial" w:hAnsi="Arial" w:cs="Arial"/>
          <w:color w:val="000000"/>
          <w:sz w:val="24"/>
          <w:szCs w:val="24"/>
          <w:vertAlign w:val="superscript"/>
        </w:rPr>
        <w:footnoteReference w:id="344"/>
      </w:r>
      <w:r>
        <w:rPr>
          <w:rFonts w:ascii="Arial" w:eastAsia="Arial" w:hAnsi="Arial" w:cs="Arial"/>
          <w:color w:val="000000"/>
          <w:sz w:val="24"/>
          <w:szCs w:val="24"/>
        </w:rPr>
        <w:t xml:space="preserve"> Sus autores declararon que el acervo probatorio aportado resultaba insuficiente para anular la elección de gobernador. El disenso no fue total, porque los magistrados coincidieron con la mayoría en que el sistema de nulidades de Tabasco comprendía la elección de gobernador, contra lo sostenido por el tribunal local. Su desacuerdo se refirió a la actualización de los supuestos de nulidad en el caso concreto. La parte medular del voto ocupa sus primeras siete páginas.</w:t>
      </w:r>
      <w:r>
        <w:rPr>
          <w:rFonts w:ascii="Arial" w:eastAsia="Arial" w:hAnsi="Arial" w:cs="Arial"/>
          <w:color w:val="000000"/>
          <w:sz w:val="24"/>
          <w:szCs w:val="24"/>
          <w:vertAlign w:val="superscript"/>
        </w:rPr>
        <w:footnoteReference w:id="345"/>
      </w:r>
      <w:r>
        <w:rPr>
          <w:rFonts w:ascii="Arial" w:eastAsia="Arial" w:hAnsi="Arial" w:cs="Arial"/>
          <w:color w:val="000000"/>
          <w:sz w:val="24"/>
          <w:szCs w:val="24"/>
        </w:rPr>
        <w:t xml:space="preserve"> En ella los disidentes enumeran los nueve elementos que la mayoría tomó en cuenta y responden a cada uno. A continuación, los disidentes examinaron los restantes agravios de los partidos actores, como si se tratara de un proyecto alternativo de sentencia.</w:t>
      </w:r>
      <w:r>
        <w:rPr>
          <w:rFonts w:ascii="Arial" w:eastAsia="Arial" w:hAnsi="Arial" w:cs="Arial"/>
          <w:color w:val="000000"/>
          <w:sz w:val="24"/>
          <w:szCs w:val="24"/>
          <w:vertAlign w:val="superscript"/>
        </w:rPr>
        <w:footnoteReference w:id="346"/>
      </w:r>
      <w:r>
        <w:rPr>
          <w:rFonts w:ascii="Arial" w:eastAsia="Arial" w:hAnsi="Arial" w:cs="Arial"/>
          <w:color w:val="000000"/>
          <w:sz w:val="24"/>
          <w:szCs w:val="24"/>
        </w:rPr>
        <w:t xml:space="preserve"> Esa extensión muestra que el disenso reconstruyó el caso completo y no se limitó a una objeción puntual.</w:t>
      </w:r>
    </w:p>
    <w:p>
      <w:pPr>
        <w:spacing w:before="0" w:after="0" w:line="360" w:lineRule="auto"/>
        <w:ind w:firstLine="709"/>
        <w:jc w:val="both"/>
      </w:pPr>
      <w:r>
        <w:rPr>
          <w:rFonts w:ascii="Arial" w:eastAsia="Arial" w:hAnsi="Arial" w:cs="Arial"/>
          <w:color w:val="000000"/>
          <w:sz w:val="24"/>
          <w:szCs w:val="24"/>
        </w:rPr>
        <w:t xml:space="preserve">El primer argumento del voto fue de legalidad. Los disidentes sostuvieron que la nulidad de la elección de gobernador solo procedía conforme a los artículos 280 y 281 del código electoral de Tabasco.</w:t>
      </w:r>
      <w:r>
        <w:rPr>
          <w:rFonts w:ascii="Arial" w:eastAsia="Arial" w:hAnsi="Arial" w:cs="Arial"/>
          <w:color w:val="000000"/>
          <w:sz w:val="24"/>
          <w:szCs w:val="24"/>
          <w:vertAlign w:val="superscript"/>
        </w:rPr>
        <w:footnoteReference w:id="347"/>
      </w:r>
      <w:r>
        <w:rPr>
          <w:rFonts w:ascii="Arial" w:eastAsia="Arial" w:hAnsi="Arial" w:cs="Arial"/>
          <w:color w:val="000000"/>
          <w:sz w:val="24"/>
          <w:szCs w:val="24"/>
        </w:rPr>
        <w:t xml:space="preserve"> Según su lectura, el legislador limitó esa nulidad a irregularidades sustanciales ocurridas durante la jornada electoral que afectaran decididamente su resultado. En consecuencia, los hechos anteriores a la jornada debían soslayarse, porque las etapas del proceso electoral adquieren definitividad conforme se avanza de una a otra. Los disidentes advirtieron que los partidos actores invocaban irregularidades de la jornada y de la etapa de resultados, junto con hechos previos al día de la elección.</w:t>
      </w:r>
      <w:r>
        <w:rPr>
          <w:rFonts w:ascii="Arial" w:eastAsia="Arial" w:hAnsi="Arial" w:cs="Arial"/>
          <w:color w:val="000000"/>
          <w:sz w:val="24"/>
          <w:szCs w:val="24"/>
          <w:vertAlign w:val="superscript"/>
        </w:rPr>
        <w:footnoteReference w:id="348"/>
      </w:r>
      <w:r>
        <w:rPr>
          <w:rFonts w:ascii="Arial" w:eastAsia="Arial" w:hAnsi="Arial" w:cs="Arial"/>
          <w:color w:val="000000"/>
          <w:sz w:val="24"/>
          <w:szCs w:val="24"/>
        </w:rPr>
        <w:t xml:space="preserve"> Precisamente en este punto los disidentes se separaron de la mayoría. Este argumento no versa sobre la prueba, sino sobre el objeto de la nulidad. Sin embargo, el argumento tiene efectos probatorios indirectos, porque excluye de la valoración la mayor parte del acervo indiciario relativo a la campaña.</w:t>
      </w:r>
    </w:p>
    <w:p>
      <w:pPr>
        <w:spacing w:before="0" w:after="0" w:line="360" w:lineRule="auto"/>
        <w:ind w:firstLine="709"/>
        <w:jc w:val="both"/>
      </w:pPr>
      <w:r>
        <w:rPr>
          <w:rFonts w:ascii="Arial" w:eastAsia="Arial" w:hAnsi="Arial" w:cs="Arial"/>
          <w:color w:val="000000"/>
          <w:sz w:val="24"/>
          <w:szCs w:val="24"/>
        </w:rPr>
        <w:t xml:space="preserve">El segundo argumento del voto, de mayor extensión, fue propiamente probatorio. Respecto de la inequidad en televisión, los disidentes calificaron las afirmaciones de la mayoría como apreciaciones subjetivas, carentes del sostén necesario para lograr una fuerza convictiva.</w:t>
      </w:r>
      <w:r>
        <w:rPr>
          <w:rFonts w:ascii="Arial" w:eastAsia="Arial" w:hAnsi="Arial" w:cs="Arial"/>
          <w:color w:val="000000"/>
          <w:sz w:val="24"/>
          <w:szCs w:val="24"/>
          <w:vertAlign w:val="superscript"/>
        </w:rPr>
        <w:footnoteReference w:id="349"/>
      </w:r>
      <w:r>
        <w:rPr>
          <w:rFonts w:ascii="Arial" w:eastAsia="Arial" w:hAnsi="Arial" w:cs="Arial"/>
          <w:color w:val="000000"/>
          <w:sz w:val="24"/>
          <w:szCs w:val="24"/>
        </w:rPr>
        <w:t xml:space="preserve"> Los disidentes observaron que se ignoraba la audiencia de los programas y que, según la experiencia, el abuso de los medios televisivos no siempre asegura el triunfo. Los disidentes cuestionaron que los testimonios notariales sobre la participación estatal en la televisora fueran de varios años atrás. Por ello reclamaron información fehaciente sobre la composición actual de la concesionaria. Los disidentes añadieron que, en la radio, el partido ganador había dispuesto de un tiempo muy inferior al de sus adversarios.</w:t>
      </w:r>
      <w:r>
        <w:rPr>
          <w:rFonts w:ascii="Arial" w:eastAsia="Arial" w:hAnsi="Arial" w:cs="Arial"/>
          <w:color w:val="000000"/>
          <w:sz w:val="24"/>
          <w:szCs w:val="24"/>
          <w:vertAlign w:val="superscript"/>
        </w:rPr>
        <w:footnoteReference w:id="350"/>
      </w:r>
      <w:r>
        <w:rPr>
          <w:rFonts w:ascii="Arial" w:eastAsia="Arial" w:hAnsi="Arial" w:cs="Arial"/>
          <w:color w:val="000000"/>
          <w:sz w:val="24"/>
          <w:szCs w:val="24"/>
        </w:rPr>
        <w:t xml:space="preserve"> Ese dato introduce un contrapeso que la mayoría no había considerado. El contrapeso se apoyó en una comparación entre la cobertura de ambos medios en los hogares de la entidad.</w:t>
      </w:r>
    </w:p>
    <w:p>
      <w:pPr>
        <w:spacing w:before="0" w:after="0" w:line="360" w:lineRule="auto"/>
        <w:ind w:firstLine="709"/>
        <w:jc w:val="both"/>
      </w:pPr>
      <w:r>
        <w:rPr>
          <w:rFonts w:ascii="Arial" w:eastAsia="Arial" w:hAnsi="Arial" w:cs="Arial"/>
          <w:color w:val="000000"/>
          <w:sz w:val="24"/>
          <w:szCs w:val="24"/>
        </w:rPr>
        <w:t xml:space="preserve">Los disidentes emplearon datos del Instituto Nacional de Estadística, Geografía e Informática. Según esos datos, la proporción de hogares con radio y con televisión era prácticamente igual. De ahí los disidentes concluyeron que el impacto atribuido a la televisión debía reconocerse a los demás partidos en la radio. Este razonamiento opone a la inferencia mayoritaria una hipótesis alternativa. El razonamiento exige un dato empírico que el expediente no contenía, que es la audiencia de los programas. En consecuencia, la objeción no discute el método de la mayoría sino la suficiencia de la base empírica de su inferencia. La objeción muestra que una máxima de experiencia puede neutralizarse con otra igualmente plausible cuando falta el dato que permitiría decidir entre ellas. El mismo método crítico se aplicó a las demás irregularidades que la mayoría tuvo por acreditadas.</w:t>
      </w:r>
    </w:p>
    <w:p>
      <w:pPr>
        <w:spacing w:before="0" w:after="0" w:line="360" w:lineRule="auto"/>
        <w:ind w:firstLine="709"/>
        <w:jc w:val="both"/>
      </w:pPr>
      <w:r>
        <w:rPr>
          <w:rFonts w:ascii="Arial" w:eastAsia="Arial" w:hAnsi="Arial" w:cs="Arial"/>
          <w:color w:val="000000"/>
          <w:sz w:val="24"/>
          <w:szCs w:val="24"/>
        </w:rPr>
        <w:t xml:space="preserve">Los disidentes sostuvieron que la instrucción general para abrir 1,338 paquetes era una conjetura sin apoyo en autos.</w:t>
      </w:r>
      <w:r>
        <w:rPr>
          <w:rFonts w:ascii="Arial" w:eastAsia="Arial" w:hAnsi="Arial" w:cs="Arial"/>
          <w:color w:val="000000"/>
          <w:sz w:val="24"/>
          <w:szCs w:val="24"/>
          <w:vertAlign w:val="superscript"/>
        </w:rPr>
        <w:footnoteReference w:id="351"/>
      </w:r>
      <w:r>
        <w:rPr>
          <w:rFonts w:ascii="Arial" w:eastAsia="Arial" w:hAnsi="Arial" w:cs="Arial"/>
          <w:color w:val="000000"/>
          <w:sz w:val="24"/>
          <w:szCs w:val="24"/>
        </w:rPr>
        <w:t xml:space="preserve"> Los disidentes propusieron una explicación alternativa, según la cual esa instrucción podría haberse girado para lograr mayor transparencia en los resultados. Los disidentes añadieron que, salvo en un número reducidísimo de casillas, los nuevos cómputos coincidieron con los de las mesas directivas. Con base en esa coincidencia invocaron la presunción de validez de los actos electorales. Sobre la quema de papelería, los disidentes subrayaron que ocurrió en noviembre, bastante tiempo después de la jornada electoral.</w:t>
      </w:r>
      <w:r>
        <w:rPr>
          <w:rFonts w:ascii="Arial" w:eastAsia="Arial" w:hAnsi="Arial" w:cs="Arial"/>
          <w:color w:val="000000"/>
          <w:sz w:val="24"/>
          <w:szCs w:val="24"/>
          <w:vertAlign w:val="superscript"/>
        </w:rPr>
        <w:footnoteReference w:id="352"/>
      </w:r>
      <w:r>
        <w:rPr>
          <w:rFonts w:ascii="Arial" w:eastAsia="Arial" w:hAnsi="Arial" w:cs="Arial"/>
          <w:color w:val="000000"/>
          <w:sz w:val="24"/>
          <w:szCs w:val="24"/>
        </w:rPr>
        <w:t xml:space="preserve"> Sobre la entrega de despensas y utensilios, exigieron que se demostrara sobre qué número de electores se ejerció la presión. Sin ese dato, según los disidentes, no habría prueba de una relación de causa a efecto. Las objeciones restantes se refirieron a la oportunidad de ciertas pruebas y a la congruencia con otros asuntos.</w:t>
      </w:r>
    </w:p>
    <w:p>
      <w:pPr>
        <w:spacing w:before="0" w:after="0" w:line="360" w:lineRule="auto"/>
        <w:ind w:firstLine="709"/>
        <w:jc w:val="both"/>
      </w:pPr>
      <w:r>
        <w:rPr>
          <w:rFonts w:ascii="Arial" w:eastAsia="Arial" w:hAnsi="Arial" w:cs="Arial"/>
          <w:color w:val="000000"/>
          <w:sz w:val="24"/>
          <w:szCs w:val="24"/>
        </w:rPr>
        <w:t xml:space="preserve">Los disidentes sostuvieron que la declaración de un exfuncionario estatal debía desecharse por haberse producido después de la sentencia local y fuera de la litis.</w:t>
      </w:r>
      <w:r>
        <w:rPr>
          <w:rFonts w:ascii="Arial" w:eastAsia="Arial" w:hAnsi="Arial" w:cs="Arial"/>
          <w:color w:val="000000"/>
          <w:sz w:val="24"/>
          <w:szCs w:val="24"/>
          <w:vertAlign w:val="superscript"/>
        </w:rPr>
        <w:footnoteReference w:id="353"/>
      </w:r>
      <w:r>
        <w:rPr>
          <w:rFonts w:ascii="Arial" w:eastAsia="Arial" w:hAnsi="Arial" w:cs="Arial"/>
          <w:color w:val="000000"/>
          <w:sz w:val="24"/>
          <w:szCs w:val="24"/>
        </w:rPr>
        <w:t xml:space="preserve"> Los disidentes invocaron la congruencia con otros asuntos resueltos ese mismo día, como la elección de diputado en Nacajuca, validada con una diferencia de 0.47 por ciento.</w:t>
      </w:r>
      <w:r>
        <w:rPr>
          <w:rFonts w:ascii="Arial" w:eastAsia="Arial" w:hAnsi="Arial" w:cs="Arial"/>
          <w:color w:val="000000"/>
          <w:sz w:val="24"/>
          <w:szCs w:val="24"/>
          <w:vertAlign w:val="superscript"/>
        </w:rPr>
        <w:footnoteReference w:id="354"/>
      </w:r>
      <w:r>
        <w:rPr>
          <w:rFonts w:ascii="Arial" w:eastAsia="Arial" w:hAnsi="Arial" w:cs="Arial"/>
          <w:color w:val="000000"/>
          <w:sz w:val="24"/>
          <w:szCs w:val="24"/>
        </w:rPr>
        <w:t xml:space="preserve"> El contraste muestra que el voto no se agota en el argumento de legalidad. Los disidentes invocaron la legalidad estricta y discutieron la solidez de cada inferencia. Ambos disidentes identificaron hipótesis alternativas, exigieron datos empíricos concretos y señalaron problemas de oportunidad y de pertinencia de las pruebas. Por tanto, el voto contiene una crítica epistémica articulada de la sentencia mayoritaria. Esa crítica apunta en una dirección que la teoría del estándar de prueba permite identificar con precisión. La dirección de esas objeciones se aprecia al compararlas con los requisitos metodológicos.</w:t>
      </w:r>
    </w:p>
    <w:p>
      <w:pPr>
        <w:spacing w:before="0" w:after="0" w:line="360" w:lineRule="auto"/>
        <w:ind w:firstLine="709"/>
        <w:jc w:val="both"/>
      </w:pPr>
      <w:r>
        <w:rPr>
          <w:rFonts w:ascii="Arial" w:eastAsia="Arial" w:hAnsi="Arial" w:cs="Arial"/>
          <w:color w:val="000000"/>
          <w:sz w:val="24"/>
          <w:szCs w:val="24"/>
        </w:rPr>
        <w:t xml:space="preserve">Varias objeciones de los disidentes apuntan a resultados probatorios mínimos, como conocer la audiencia de un canal o el número de electores presionados. Esa dirección es compatible con un estándar que exija refutar las hipótesis alternativas plausibles. Sin embargo, los disidentes no formularon esas exigencias como una regla general de suficiencia. Los disidentes presentaron esas exigencias como carencias del caso concreto y no como condiciones aplicables a cualquier nulidad. Las resolvieron en términos de fuerza convictiva y de entidad suficiente de las irregularidades.</w:t>
      </w:r>
      <w:r>
        <w:rPr>
          <w:rFonts w:ascii="Arial" w:eastAsia="Arial" w:hAnsi="Arial" w:cs="Arial"/>
          <w:color w:val="000000"/>
          <w:sz w:val="24"/>
          <w:szCs w:val="24"/>
          <w:vertAlign w:val="superscript"/>
        </w:rPr>
        <w:footnoteReference w:id="355"/>
      </w:r>
      <w:r>
        <w:rPr>
          <w:rFonts w:ascii="Arial" w:eastAsia="Arial" w:hAnsi="Arial" w:cs="Arial"/>
          <w:color w:val="000000"/>
          <w:sz w:val="24"/>
          <w:szCs w:val="24"/>
        </w:rPr>
        <w:t xml:space="preserve"> La mayoría había sostenido otra lectura del mismo acervo probatorio. Ninguna regla previa permitía decidir cuál de las dos lecturas era suficiente. En consecuencia, el voto contiene los elementos de un estándar sin llegar a formularlo, y esa omisión se aprecia en su manejo del par cuantitativo y cualitativo de la determinancia.</w:t>
      </w:r>
    </w:p>
    <w:p>
      <w:pPr>
        <w:spacing w:before="0" w:after="0" w:line="360" w:lineRule="auto"/>
        <w:ind w:firstLine="709"/>
        <w:jc w:val="both"/>
      </w:pPr>
      <w:r>
        <w:rPr>
          <w:rFonts w:ascii="Arial" w:eastAsia="Arial" w:hAnsi="Arial" w:cs="Arial"/>
          <w:color w:val="000000"/>
          <w:sz w:val="24"/>
          <w:szCs w:val="24"/>
        </w:rPr>
        <w:t xml:space="preserve">El voto emplea expresamente el par cuantitativo y cualitativo. Tras enumerar los elementos considerados por la mayoría, los disidentes afirmaron que las irregularidades existieron, pero que no resultaban determinantes cuantitativa ni cualitativamente para el resultado.</w:t>
      </w:r>
      <w:r>
        <w:rPr>
          <w:rFonts w:ascii="Arial" w:eastAsia="Arial" w:hAnsi="Arial" w:cs="Arial"/>
          <w:color w:val="000000"/>
          <w:sz w:val="24"/>
          <w:szCs w:val="24"/>
          <w:vertAlign w:val="superscript"/>
        </w:rPr>
        <w:footnoteReference w:id="356"/>
      </w:r>
      <w:r>
        <w:rPr>
          <w:rFonts w:ascii="Arial" w:eastAsia="Arial" w:hAnsi="Arial" w:cs="Arial"/>
          <w:color w:val="000000"/>
          <w:sz w:val="24"/>
          <w:szCs w:val="24"/>
        </w:rPr>
        <w:t xml:space="preserve"> En apoyo invocaron la jurisprudencia sobre la conservación de los actos públicos y la que exige la determinancia aunque la causal no la mencione. Al reseñar los criterios sostenidos con anterioridad por la Sala, los disidentes sostuvieron que la determinancia puede establecerse mediante un análisis cuantitativo o mediante un análisis cualitativo.</w:t>
      </w:r>
      <w:r>
        <w:rPr>
          <w:rFonts w:ascii="Arial" w:eastAsia="Arial" w:hAnsi="Arial" w:cs="Arial"/>
          <w:color w:val="000000"/>
          <w:sz w:val="24"/>
          <w:szCs w:val="24"/>
          <w:vertAlign w:val="superscript"/>
        </w:rPr>
        <w:footnoteReference w:id="357"/>
      </w:r>
      <w:r>
        <w:rPr>
          <w:rFonts w:ascii="Arial" w:eastAsia="Arial" w:hAnsi="Arial" w:cs="Arial"/>
          <w:color w:val="000000"/>
          <w:sz w:val="24"/>
          <w:szCs w:val="24"/>
        </w:rPr>
        <w:t xml:space="preserve"> El análisis cuantitativo procede cuando la irregularidad revela una diferencia numérica igual o mayor que la existente entre el primero y el segundo lugar. El análisis cualitativo procede cuando se vulnera alguno de los principios constitucionales del proceso electoral, como la certeza. En otro pasaje transcribieron una tesis que admitía criterios no aritméticos.</w:t>
      </w:r>
      <w:r>
        <w:rPr>
          <w:rFonts w:ascii="Arial" w:eastAsia="Arial" w:hAnsi="Arial" w:cs="Arial"/>
          <w:color w:val="000000"/>
          <w:sz w:val="24"/>
          <w:szCs w:val="24"/>
          <w:vertAlign w:val="superscript"/>
        </w:rPr>
        <w:footnoteReference w:id="358"/>
      </w:r>
      <w:r>
        <w:rPr>
          <w:rFonts w:ascii="Arial" w:eastAsia="Arial" w:hAnsi="Arial" w:cs="Arial"/>
          <w:color w:val="000000"/>
          <w:sz w:val="24"/>
          <w:szCs w:val="24"/>
        </w:rPr>
        <w:t xml:space="preserve"> Estos pasajes demuestran que el voto conocía y aplicaba el par conceptual como doctrina ya establecida.</w:t>
      </w:r>
    </w:p>
    <w:p>
      <w:pPr>
        <w:spacing w:before="0" w:after="0" w:line="360" w:lineRule="auto"/>
        <w:ind w:firstLine="709"/>
        <w:jc w:val="both"/>
      </w:pPr>
      <w:r>
        <w:rPr>
          <w:rFonts w:ascii="Arial" w:eastAsia="Arial" w:hAnsi="Arial" w:cs="Arial"/>
          <w:color w:val="000000"/>
          <w:sz w:val="24"/>
          <w:szCs w:val="24"/>
        </w:rPr>
        <w:t xml:space="preserve">El voto no puede considerarse el origen del par cuantitativo y cualitativo. La propia sentencia mayoritaria empleó la misma categoría al referirse a irregularidades que cualitativamente fueran determinantes para el resultado de la elección.</w:t>
      </w:r>
      <w:r>
        <w:rPr>
          <w:rFonts w:ascii="Arial" w:eastAsia="Arial" w:hAnsi="Arial" w:cs="Arial"/>
          <w:color w:val="000000"/>
          <w:sz w:val="24"/>
          <w:szCs w:val="24"/>
          <w:vertAlign w:val="superscript"/>
        </w:rPr>
        <w:footnoteReference w:id="359"/>
      </w:r>
      <w:r>
        <w:rPr>
          <w:rFonts w:ascii="Arial" w:eastAsia="Arial" w:hAnsi="Arial" w:cs="Arial"/>
          <w:color w:val="000000"/>
          <w:sz w:val="24"/>
          <w:szCs w:val="24"/>
        </w:rPr>
        <w:t xml:space="preserve"> La tesis XXXI/2004 no se construyó a partir del disenso de Tabasco. Sus precedentes fueron el SUP-JRC-221/2003, relativo a Colima, y el SUP-JRC-488/2003.</w:t>
      </w:r>
      <w:r>
        <w:rPr>
          <w:rFonts w:ascii="Arial" w:eastAsia="Arial" w:hAnsi="Arial" w:cs="Arial"/>
          <w:color w:val="000000"/>
          <w:sz w:val="24"/>
          <w:szCs w:val="24"/>
          <w:vertAlign w:val="superscript"/>
        </w:rPr>
        <w:footnoteReference w:id="360"/>
      </w:r>
      <w:r>
        <w:rPr>
          <w:rFonts w:ascii="Arial" w:eastAsia="Arial" w:hAnsi="Arial" w:cs="Arial"/>
          <w:color w:val="000000"/>
          <w:sz w:val="24"/>
          <w:szCs w:val="24"/>
        </w:rPr>
        <w:t xml:space="preserve"> En el caso Colima, los magistrados Fuentes Cerda y Navarro Hidalgo volvieron a quedar en minoría, junto con el magistrado José Luis de la Peza.</w:t>
      </w:r>
      <w:r>
        <w:rPr>
          <w:rFonts w:ascii="Arial" w:eastAsia="Arial" w:hAnsi="Arial" w:cs="Arial"/>
          <w:color w:val="000000"/>
          <w:sz w:val="24"/>
          <w:szCs w:val="24"/>
          <w:vertAlign w:val="superscript"/>
        </w:rPr>
        <w:footnoteReference w:id="361"/>
      </w:r>
      <w:r>
        <w:rPr>
          <w:rFonts w:ascii="Arial" w:eastAsia="Arial" w:hAnsi="Arial" w:cs="Arial"/>
          <w:color w:val="000000"/>
          <w:sz w:val="24"/>
          <w:szCs w:val="24"/>
        </w:rPr>
        <w:t xml:space="preserve"> Por tanto, la tesis recogió la doctrina de la mayoría que los derrotó, y no la de su voto. Entre el voto y la tesis existe una diferencia de contenido. El voto de 2000 presentó ambos análisis como vías alternativas, mientras que la tesis XXXI/2004 exige, por lo general, la concurrencia de los dos factores.</w:t>
      </w:r>
    </w:p>
    <w:p>
      <w:pPr>
        <w:spacing w:before="0" w:after="0" w:line="360" w:lineRule="auto"/>
        <w:ind w:firstLine="709"/>
        <w:jc w:val="both"/>
      </w:pPr>
      <w:r>
        <w:rPr>
          <w:rFonts w:ascii="Arial" w:eastAsia="Arial" w:hAnsi="Arial" w:cs="Arial"/>
          <w:color w:val="000000"/>
          <w:sz w:val="24"/>
          <w:szCs w:val="24"/>
        </w:rPr>
        <w:t xml:space="preserve">Mayoría y minoría discreparon sobre el resultado, pero compartieron el mismo vocabulario de la suficiencia. La mayoría afirmó que ciertas pruebas le permitían arribar al pleno convencimiento y que otras no producían convicción alguna.</w:t>
      </w:r>
      <w:r>
        <w:rPr>
          <w:rFonts w:ascii="Arial" w:eastAsia="Arial" w:hAnsi="Arial" w:cs="Arial"/>
          <w:color w:val="000000"/>
          <w:sz w:val="24"/>
          <w:szCs w:val="24"/>
          <w:vertAlign w:val="superscript"/>
        </w:rPr>
        <w:footnoteReference w:id="362"/>
      </w:r>
      <w:r>
        <w:rPr>
          <w:rFonts w:ascii="Arial" w:eastAsia="Arial" w:hAnsi="Arial" w:cs="Arial"/>
          <w:color w:val="000000"/>
          <w:sz w:val="24"/>
          <w:szCs w:val="24"/>
        </w:rPr>
        <w:t xml:space="preserve"> La minoría abrió su voto señalando que su conclusión era una convicción sustentada en las circunstancias del caso.</w:t>
      </w:r>
      <w:r>
        <w:rPr>
          <w:rFonts w:ascii="Arial" w:eastAsia="Arial" w:hAnsi="Arial" w:cs="Arial"/>
          <w:color w:val="000000"/>
          <w:sz w:val="24"/>
          <w:szCs w:val="24"/>
          <w:vertAlign w:val="superscript"/>
        </w:rPr>
        <w:footnoteReference w:id="363"/>
      </w:r>
      <w:r>
        <w:rPr>
          <w:rFonts w:ascii="Arial" w:eastAsia="Arial" w:hAnsi="Arial" w:cs="Arial"/>
          <w:color w:val="000000"/>
          <w:sz w:val="24"/>
          <w:szCs w:val="24"/>
        </w:rPr>
        <w:t xml:space="preserve"> La minoría reprochó a la mayoría carecer del sostén necesario para lograr una fuerza convictiva, y en su propio análisis de las casillas concluyó que de las probanzas se llegaba a la convicción de determinados hechos.</w:t>
      </w:r>
      <w:r>
        <w:rPr>
          <w:rFonts w:ascii="Arial" w:eastAsia="Arial" w:hAnsi="Arial" w:cs="Arial"/>
          <w:color w:val="000000"/>
          <w:sz w:val="24"/>
          <w:szCs w:val="24"/>
          <w:vertAlign w:val="superscript"/>
        </w:rPr>
        <w:footnoteReference w:id="364"/>
      </w:r>
      <w:r>
        <w:rPr>
          <w:rFonts w:ascii="Arial" w:eastAsia="Arial" w:hAnsi="Arial" w:cs="Arial"/>
          <w:color w:val="000000"/>
          <w:sz w:val="24"/>
          <w:szCs w:val="24"/>
        </w:rPr>
        <w:t xml:space="preserve"> Ninguna de las dos posiciones cuestionó la fórmula de valoración de los artículos 321 y 322 del código local, ni la del artículo 16 de la ley de medios. Ninguna formuló la pregunta sobre cuánta corroboración era necesaria para tener por probado el impacto de las irregularidades. Ambas discutieron el cómo de la valoración sin plantear el cuánto de la decisión. Esta coincidencia recibe aquí el nombre de ceguera compartida.</w:t>
      </w:r>
    </w:p>
    <w:p>
      <w:pPr>
        <w:spacing w:before="0" w:after="0" w:line="360" w:lineRule="auto"/>
        <w:ind w:firstLine="709"/>
        <w:jc w:val="both"/>
      </w:pPr>
      <w:r>
        <w:rPr>
          <w:rFonts w:ascii="Arial" w:eastAsia="Arial" w:hAnsi="Arial" w:cs="Arial"/>
          <w:color w:val="000000"/>
          <w:sz w:val="24"/>
          <w:szCs w:val="24"/>
        </w:rPr>
        <w:t xml:space="preserve">La ceguera compartida se manifiesta con especial claridad en el uso de las máximas de experiencia. La mayoría invocó la experiencia a que se refiere el artículo 16, párrafo 1, para sostener que la televisión constituye la vía más rápida para llegar a los electores.</w:t>
      </w:r>
      <w:r>
        <w:rPr>
          <w:rFonts w:ascii="Arial" w:eastAsia="Arial" w:hAnsi="Arial" w:cs="Arial"/>
          <w:color w:val="000000"/>
          <w:sz w:val="24"/>
          <w:szCs w:val="24"/>
          <w:vertAlign w:val="superscript"/>
        </w:rPr>
        <w:footnoteReference w:id="365"/>
      </w:r>
      <w:r>
        <w:rPr>
          <w:rFonts w:ascii="Arial" w:eastAsia="Arial" w:hAnsi="Arial" w:cs="Arial"/>
          <w:color w:val="000000"/>
          <w:sz w:val="24"/>
          <w:szCs w:val="24"/>
        </w:rPr>
        <w:t xml:space="preserve"> La minoría invocó la misma experiencia para afirmar que el abuso de los medios televisivos no siempre asegura el triunfo electoral.</w:t>
      </w:r>
      <w:r>
        <w:rPr>
          <w:rFonts w:ascii="Arial" w:eastAsia="Arial" w:hAnsi="Arial" w:cs="Arial"/>
          <w:color w:val="000000"/>
          <w:sz w:val="24"/>
          <w:szCs w:val="24"/>
          <w:vertAlign w:val="superscript"/>
        </w:rPr>
        <w:footnoteReference w:id="366"/>
      </w:r>
      <w:r>
        <w:rPr>
          <w:rFonts w:ascii="Arial" w:eastAsia="Arial" w:hAnsi="Arial" w:cs="Arial"/>
          <w:color w:val="000000"/>
          <w:sz w:val="24"/>
          <w:szCs w:val="24"/>
        </w:rPr>
        <w:t xml:space="preserve"> Ambas generalizaciones son plausibles y ninguna fue sometida a contraste empírico en el expediente. Cuando dos máximas de experiencia conducen a conclusiones opuestas, la valoración por sí sola no permite decidir entre ellas. La decisión depende entonces de cuánta corroboración se exige para tener por probado el efecto de la conducta. La cláusula híbrida deja ese punto sin regular. Por tanto, la discrepancia versó sobre la suficiencia, aunque se expresó en el lenguaje del método, y en ausencia de un estándar se resolvió por el número de votos en el pleno.</w:t>
      </w:r>
    </w:p>
    <w:p>
      <w:pPr>
        <w:spacing w:before="0" w:after="0" w:line="360" w:lineRule="auto"/>
        <w:ind w:firstLine="709"/>
        <w:jc w:val="both"/>
      </w:pPr>
      <w:r>
        <w:rPr>
          <w:rFonts w:ascii="Arial" w:eastAsia="Arial" w:hAnsi="Arial" w:cs="Arial"/>
          <w:color w:val="000000"/>
          <w:sz w:val="24"/>
          <w:szCs w:val="24"/>
        </w:rPr>
        <w:t xml:space="preserve">La misma estructura de desacuerdo reapareció tres años después en la elección de gobernador de Colima. Los disidentes coincidieron con la mayoría en que el gobernador en funciones intervino activamente en el proceso electoral.</w:t>
      </w:r>
      <w:r>
        <w:rPr>
          <w:rFonts w:ascii="Arial" w:eastAsia="Arial" w:hAnsi="Arial" w:cs="Arial"/>
          <w:color w:val="000000"/>
          <w:sz w:val="24"/>
          <w:szCs w:val="24"/>
          <w:vertAlign w:val="superscript"/>
        </w:rPr>
        <w:footnoteReference w:id="367"/>
      </w:r>
      <w:r>
        <w:rPr>
          <w:rFonts w:ascii="Arial" w:eastAsia="Arial" w:hAnsi="Arial" w:cs="Arial"/>
          <w:color w:val="000000"/>
          <w:sz w:val="24"/>
          <w:szCs w:val="24"/>
        </w:rPr>
        <w:t xml:space="preserve"> Los disidentes negaron, sin embargo, que esa intervención hubiera trascendido en la orientación del voto. Según los disidentes, la ciudadanía estaba mayormente politizada y era menos vulnerable a la influencia de los funcionarios.</w:t>
      </w:r>
      <w:r>
        <w:rPr>
          <w:rFonts w:ascii="Arial" w:eastAsia="Arial" w:hAnsi="Arial" w:cs="Arial"/>
          <w:color w:val="000000"/>
          <w:sz w:val="24"/>
          <w:szCs w:val="24"/>
          <w:vertAlign w:val="superscript"/>
        </w:rPr>
        <w:footnoteReference w:id="368"/>
      </w:r>
      <w:r>
        <w:rPr>
          <w:rFonts w:ascii="Arial" w:eastAsia="Arial" w:hAnsi="Arial" w:cs="Arial"/>
          <w:color w:val="000000"/>
          <w:sz w:val="24"/>
          <w:szCs w:val="24"/>
        </w:rPr>
        <w:t xml:space="preserve"> Esa afirmación es una máxima de experiencia opuesta a la de la mayoría. Los disidentes apoyaron su conclusión en la comparación con los resultados de las elecciones concurrentes y la presentaron como su convicción.</w:t>
      </w:r>
      <w:r>
        <w:rPr>
          <w:rFonts w:ascii="Arial" w:eastAsia="Arial" w:hAnsi="Arial" w:cs="Arial"/>
          <w:color w:val="000000"/>
          <w:sz w:val="24"/>
          <w:szCs w:val="24"/>
          <w:vertAlign w:val="superscript"/>
        </w:rPr>
        <w:footnoteReference w:id="369"/>
      </w:r>
      <w:r>
        <w:rPr>
          <w:rFonts w:ascii="Arial" w:eastAsia="Arial" w:hAnsi="Arial" w:cs="Arial"/>
          <w:color w:val="000000"/>
          <w:sz w:val="24"/>
          <w:szCs w:val="24"/>
        </w:rPr>
        <w:t xml:space="preserve"> Los disidentes concluyeron que la suma de indicios no demostrados no podía sustentar la existencia de irregularidades determinantes, más aún con una diferencia de aproximadamente siete puntos.</w:t>
      </w:r>
      <w:r>
        <w:rPr>
          <w:rFonts w:ascii="Arial" w:eastAsia="Arial" w:hAnsi="Arial" w:cs="Arial"/>
          <w:color w:val="000000"/>
          <w:sz w:val="24"/>
          <w:szCs w:val="24"/>
          <w:vertAlign w:val="superscript"/>
        </w:rPr>
        <w:footnoteReference w:id="370"/>
      </w:r>
      <w:r>
        <w:rPr>
          <w:rFonts w:ascii="Arial" w:eastAsia="Arial" w:hAnsi="Arial" w:cs="Arial"/>
          <w:color w:val="000000"/>
          <w:sz w:val="24"/>
          <w:szCs w:val="24"/>
        </w:rPr>
        <w:t xml:space="preserve"> La mayoría consideró, en cambio, que existía una probabilidad seria, fundada y razonable de que las irregularidades hubieran alterado el resultado.</w:t>
      </w:r>
    </w:p>
    <w:p>
      <w:pPr>
        <w:spacing w:before="0" w:after="0" w:line="360" w:lineRule="auto"/>
        <w:ind w:firstLine="709"/>
        <w:jc w:val="both"/>
      </w:pPr>
      <w:r>
        <w:rPr>
          <w:rFonts w:ascii="Arial" w:eastAsia="Arial" w:hAnsi="Arial" w:cs="Arial"/>
          <w:color w:val="000000"/>
          <w:sz w:val="24"/>
          <w:szCs w:val="24"/>
        </w:rPr>
        <w:t xml:space="preserve">El análisis del voto particular permite formular cuatro conclusiones. La primera conclusión sostiene que el disenso de Tabasco combinó un argumento de legalidad con una crítica de cada inferencia de la mayoría. La segunda conclusión sostiene que sus objeciones apuntaron a exigencias concretas, como la audiencia de los medios o el número de electores presionados, sin formularlas como regla general. La tercera conclusión sostiene que el voto empleó el par cuantitativo y cualitativo como doctrina establecida y que la tesis XXXI/2004 derivó de la mayoría de Colima. La cuarta conclusión sostiene que mayoría y minoría compartieron el vocabulario de la convicción y resolvieron su desacuerdo con máximas de experiencia opuestas. Ningún umbral permitía arbitrar entre esas máximas. En consecuencia, la determinancia, la cláusula híbrida y el disenso del caso Tabasco comparten el mismo déficit. Ese déficit es la falta de una regla que indique cuánta corroboración basta, y su persistencia debe verificarse en la práctica reciente de la Sala Superior.</w:t>
      </w:r>
    </w:p>
    <w:bookmarkEnd w:id="13"/>
    <w:p w14:paraId="35FB829E" w14:textId="77777777" w:rsidR="00A32EF9" w:rsidRDefault="00E354C7">
      <w:r>
        <w:br w:type="page"/>
      </w:r>
    </w:p>
    <w:p>
      <w:pPr>
        <w:spacing w:before="0" w:after="0" w:line="360" w:lineRule="auto"/>
        <w:jc w:val="left"/>
      </w:pPr>
    </w:p>
    <w:p>
      <w:pPr>
        <w:spacing w:before="0" w:after="0" w:line="360" w:lineRule="auto"/>
        <w:jc w:val="left"/>
      </w:pPr>
    </w:p>
    <w:p>
      <w:pPr>
        <w:spacing w:before="0" w:after="0" w:line="360" w:lineRule="auto"/>
        <w:jc w:val="left"/>
      </w:pPr>
    </w:p>
    <w:p>
      <w:pPr>
        <w:spacing w:before="0" w:after="0" w:line="360" w:lineRule="auto"/>
        <w:jc w:val="left"/>
      </w:pPr>
    </w:p>
    <w:p>
      <w:pPr>
        <w:spacing w:before="0" w:after="0" w:line="360" w:lineRule="auto"/>
        <w:jc w:val="left"/>
      </w:pPr>
    </w:p>
    <w:p>
      <w:pPr>
        <w:pStyle w:val="Ttulo1"/>
        <w:keepNext/>
        <w:spacing w:before="0" w:after="0" w:line="360" w:lineRule="auto"/>
        <w:jc w:val="center"/>
      </w:pPr>
      <w:bookmarkStart w:id="814" w:name="_Toc9000014"/>
      <w:r>
        <w:rPr>
          <w:rFonts w:ascii="Arial" w:eastAsia="Arial" w:hAnsi="Arial" w:cs="Arial"/>
          <w:b/>
          <w:bCs/>
          <w:color w:val="000000"/>
          <w:sz w:val="24"/>
          <w:szCs w:val="24"/>
        </w:rPr>
        <w:t xml:space="preserve">Capítulo III</w:t>
      </w:r>
      <w:r>
        <w:rPr>
          <w:rFonts w:ascii="Arial" w:eastAsia="Arial" w:hAnsi="Arial" w:cs="Arial"/>
          <w:b/>
          <w:bCs/>
          <w:color w:val="000000"/>
          <w:sz w:val="24"/>
          <w:szCs w:val="24"/>
        </w:rPr>
        <w:br/>
      </w:r>
      <w:r>
        <w:rPr>
          <w:rFonts w:ascii="Arial" w:eastAsia="Arial" w:hAnsi="Arial" w:cs="Arial"/>
          <w:b/>
          <w:bCs/>
          <w:color w:val="000000"/>
          <w:sz w:val="24"/>
          <w:szCs w:val="24"/>
        </w:rPr>
        <w:t xml:space="preserve">La persistencia de la cláusula híbrida veinticinco años después</w:t>
      </w:r>
      <w:bookmarkEnd w:id="814"/>
    </w:p>
    <w:p>
      <w:pPr>
        <w:spacing w:before="0" w:after="0" w:line="360" w:lineRule="auto"/>
        <w:jc w:val="left"/>
      </w:pPr>
    </w:p>
    <w:p>
      <w:pPr>
        <w:spacing w:before="0" w:after="0" w:line="360" w:lineRule="auto"/>
        <w:ind w:left="567" w:right="567"/>
        <w:jc w:val="both"/>
      </w:pPr>
      <w:r>
        <w:rPr>
          <w:rFonts w:ascii="Arial" w:eastAsia="Arial" w:hAnsi="Arial" w:cs="Arial"/>
          <w:smallCaps/>
          <w:color w:val="000000"/>
          <w:sz w:val="22"/>
          <w:szCs w:val="22"/>
        </w:rPr>
        <w:t xml:space="preserve">Sumario</w:t>
      </w:r>
      <w:r>
        <w:rPr>
          <w:rFonts w:ascii="Arial" w:eastAsia="Arial" w:hAnsi="Arial" w:cs="Arial"/>
          <w:color w:val="000000"/>
          <w:sz w:val="22"/>
          <w:szCs w:val="22"/>
        </w:rPr>
        <w:t xml:space="preserve">: </w:t>
      </w:r>
      <w:r>
        <w:rPr>
          <w:rFonts w:ascii="Arial" w:eastAsia="Arial" w:hAnsi="Arial" w:cs="Arial"/>
          <w:color w:val="000000"/>
          <w:sz w:val="22"/>
          <w:szCs w:val="22"/>
        </w:rPr>
        <w:t xml:space="preserve">3.1. </w:t>
      </w:r>
      <w:r>
        <w:rPr>
          <w:rFonts w:ascii="Arial" w:eastAsia="Arial" w:hAnsi="Arial" w:cs="Arial"/>
          <w:i/>
          <w:iCs/>
          <w:color w:val="000000"/>
          <w:sz w:val="22"/>
          <w:szCs w:val="22"/>
        </w:rPr>
        <w:t xml:space="preserve">La fórmula híbrida en la sentencia SUP-JIN-194/2025</w:t>
      </w:r>
      <w:r>
        <w:rPr>
          <w:rFonts w:ascii="Arial" w:eastAsia="Arial" w:hAnsi="Arial" w:cs="Arial"/>
          <w:color w:val="000000"/>
          <w:sz w:val="22"/>
          <w:szCs w:val="22"/>
        </w:rPr>
        <w:t xml:space="preserve">. </w:t>
      </w:r>
      <w:r>
        <w:rPr>
          <w:rFonts w:ascii="Arial" w:eastAsia="Arial" w:hAnsi="Arial" w:cs="Arial"/>
          <w:color w:val="000000"/>
          <w:sz w:val="22"/>
          <w:szCs w:val="22"/>
        </w:rPr>
        <w:t xml:space="preserve">3.2. </w:t>
      </w:r>
      <w:r>
        <w:rPr>
          <w:rFonts w:ascii="Arial" w:eastAsia="Arial" w:hAnsi="Arial" w:cs="Arial"/>
          <w:i/>
          <w:iCs/>
          <w:color w:val="000000"/>
          <w:sz w:val="22"/>
          <w:szCs w:val="22"/>
        </w:rPr>
        <w:t xml:space="preserve">El voto particular de 2025 frente al de 2000: la aparición de la crítica</w:t>
      </w:r>
      <w:r>
        <w:rPr>
          <w:rFonts w:ascii="Arial" w:eastAsia="Arial" w:hAnsi="Arial" w:cs="Arial"/>
          <w:color w:val="000000"/>
          <w:sz w:val="22"/>
          <w:szCs w:val="22"/>
        </w:rPr>
        <w:t xml:space="preserve">. </w:t>
      </w:r>
      <w:r>
        <w:rPr>
          <w:rFonts w:ascii="Arial" w:eastAsia="Arial" w:hAnsi="Arial" w:cs="Arial"/>
          <w:color w:val="000000"/>
          <w:sz w:val="22"/>
          <w:szCs w:val="22"/>
        </w:rPr>
        <w:t xml:space="preserve">3.3. </w:t>
      </w:r>
      <w:r>
        <w:rPr>
          <w:rFonts w:ascii="Arial" w:eastAsia="Arial" w:hAnsi="Arial" w:cs="Arial"/>
          <w:i/>
          <w:iCs/>
          <w:color w:val="000000"/>
          <w:sz w:val="22"/>
          <w:szCs w:val="22"/>
        </w:rPr>
        <w:t xml:space="preserve">Caracterización teórica de la cláusula del artículo 16 de la LGSMIME como cláusula mixta</w:t>
      </w:r>
      <w:r>
        <w:rPr>
          <w:rFonts w:ascii="Arial" w:eastAsia="Arial" w:hAnsi="Arial" w:cs="Arial"/>
          <w:color w:val="000000"/>
          <w:sz w:val="22"/>
          <w:szCs w:val="22"/>
        </w:rPr>
        <w:t xml:space="preserve">.</w:t>
      </w:r>
    </w:p>
    <w:p>
      <w:pPr>
        <w:spacing w:before="0" w:after="0" w:line="360" w:lineRule="auto"/>
        <w:jc w:val="left"/>
      </w:pPr>
    </w:p>
    <w:p>
      <w:pPr>
        <w:spacing w:before="0" w:after="0" w:line="360" w:lineRule="auto"/>
        <w:ind w:firstLine="0"/>
        <w:jc w:val="both"/>
      </w:pPr>
      <w:r>
        <w:rPr>
          <w:rFonts w:ascii="Arial" w:eastAsia="Arial" w:hAnsi="Arial" w:cs="Arial"/>
          <w:color w:val="000000"/>
          <w:sz w:val="24"/>
          <w:szCs w:val="24"/>
        </w:rPr>
        <w:t xml:space="preserve">La cláusula híbrida del artículo 16 de la LGSMIME tiene su origen documentado en la sentencia SUP-JRC-487/2000. El voto particular emitido en ese asunto no cuestionó dicha cláusula, sino el criterio de determinancia aplicado al caso. El análisis se traslada ahora veinticinco años hacia adelante, a la sentencia SUP-JIN-194/2025. El propósito de ese traslado es comprobar si la cláusula híbrida se mantuvo sin variación sustancial durante ese periodo. A partir de esa comprobación se examina el voto particular emitido en el asunto más reciente. Ese voto se contrasta con la ausencia de una crítica equivalente en el voto de dos mil. En consecuencia, la comparación entre ambos votos permite medir el grado de conciencia que el propio tribunal ha alcanzado sobre el problema. La caracterización teórica de la cláusula del artículo 16 como una cláusula mixta reúne después los hallazgos de ambos momentos históricos en una síntesis conceptual.</w:t>
      </w:r>
    </w:p>
    <w:p>
      <w:pPr>
        <w:spacing w:before="0" w:after="0" w:line="360" w:lineRule="auto"/>
        <w:jc w:val="left"/>
      </w:pPr>
    </w:p>
    <w:p>
      <w:pPr>
        <w:pStyle w:val="Ttulo2"/>
        <w:keepNext/>
        <w:spacing w:before="0" w:after="0" w:line="360" w:lineRule="auto"/>
        <w:ind w:left="567" w:hanging="284"/>
        <w:jc w:val="left"/>
      </w:pPr>
      <w:bookmarkStart w:id="815" w:name="_Toc9000015"/>
      <w:r>
        <w:rPr>
          <w:rFonts w:ascii="Arial" w:eastAsia="Arial" w:hAnsi="Arial" w:cs="Arial"/>
          <w:color w:val="000000"/>
          <w:sz w:val="24"/>
          <w:szCs w:val="24"/>
        </w:rPr>
        <w:t xml:space="preserve">3.1. </w:t>
      </w:r>
      <w:r>
        <w:rPr>
          <w:rFonts w:ascii="Arial" w:eastAsia="Arial" w:hAnsi="Arial" w:cs="Arial"/>
          <w:i/>
          <w:iCs/>
          <w:color w:val="000000"/>
          <w:sz w:val="24"/>
          <w:szCs w:val="24"/>
        </w:rPr>
        <w:t xml:space="preserve">La fórmula híbrida en la sentencia SUP-JIN-194/2025</w:t>
      </w:r>
      <w:bookmarkEnd w:id="815"/>
    </w:p>
    <w:p>
      <w:pPr>
        <w:spacing w:before="0" w:after="0" w:line="360" w:lineRule="auto"/>
        <w:jc w:val="left"/>
      </w:pPr>
    </w:p>
    <w:p>
      <w:pPr>
        <w:spacing w:before="0" w:after="0" w:line="360" w:lineRule="auto"/>
        <w:ind w:firstLine="0"/>
        <w:jc w:val="both"/>
      </w:pPr>
      <w:r>
        <w:rPr>
          <w:rFonts w:ascii="Arial" w:eastAsia="Arial" w:hAnsi="Arial" w:cs="Arial"/>
          <w:color w:val="000000"/>
          <w:sz w:val="24"/>
          <w:szCs w:val="24"/>
        </w:rPr>
        <w:t xml:space="preserve">La cláusula híbrida y la determinancia nacieron sin una regla sobre la corroboración suficiente para anular. El caso Tabasco mostró lecturas opuestas del mismo acervo sin regla para arbitrar entre ellas. Ese déficit debe verificarse en la primera elección judicial por voto popular. En el SUP-JIN-194/2025 y acumulados, la Sala Superior confirmó la validez de la elección de ministras y ministros de la Suprema Corte.</w:t>
      </w:r>
      <w:r>
        <w:rPr>
          <w:rFonts w:ascii="Arial" w:eastAsia="Arial" w:hAnsi="Arial" w:cs="Arial"/>
          <w:color w:val="000000"/>
          <w:sz w:val="24"/>
          <w:szCs w:val="24"/>
          <w:vertAlign w:val="superscript"/>
        </w:rPr>
        <w:footnoteReference w:id="371"/>
      </w:r>
      <w:r>
        <w:rPr>
          <w:rFonts w:ascii="Arial" w:eastAsia="Arial" w:hAnsi="Arial" w:cs="Arial"/>
          <w:color w:val="000000"/>
          <w:sz w:val="24"/>
          <w:szCs w:val="24"/>
        </w:rPr>
        <w:t xml:space="preserve"> La hipótesis sostiene que la sentencia avanza en el método, pero reproduce el error de categoría en la suficiencia. En el plano del método, la mayoría adoptó una doctrina de la prueba indiciaria con requisitos explícitos y controlables. En el plano de la suficiencia, la mayoría expresó el resultado en términos de convicción, certeza e irrefutabilidad, sin identificar un umbral. El análisis se apoya solo en la sentencia, los votos particulares y los preceptos aplicables.</w:t>
      </w:r>
    </w:p>
    <w:p>
      <w:pPr>
        <w:spacing w:before="0" w:after="0" w:line="360" w:lineRule="auto"/>
        <w:ind w:firstLine="709"/>
        <w:jc w:val="both"/>
      </w:pPr>
      <w:r>
        <w:rPr>
          <w:rFonts w:ascii="Arial" w:eastAsia="Arial" w:hAnsi="Arial" w:cs="Arial"/>
          <w:color w:val="000000"/>
          <w:sz w:val="24"/>
          <w:szCs w:val="24"/>
        </w:rPr>
        <w:t xml:space="preserve">El examen se desarrolla en un orden preciso. La exposición presenta primero el marco normativo, fáctico y procesal del caso. Después examina la doctrina probatoria de la mayoría, su aplicación al caudal probatorio y el umbral de suficiencia que empleó. El cotejo de la sentencia con el caso Tabasco y la verificación de la estabilidad del artículo 16 frente a las reformas posteriores cierran el examen. El marco normativo del caso se origina en la reforma constitucional publicada en el </w:t>
      </w:r>
      <w:r>
        <w:rPr>
          <w:rFonts w:ascii="Arial" w:eastAsia="Arial" w:hAnsi="Arial" w:cs="Arial"/>
          <w:i/>
          <w:iCs/>
          <w:color w:val="000000"/>
          <w:sz w:val="24"/>
          <w:szCs w:val="24"/>
        </w:rPr>
        <w:t xml:space="preserve">Diario Oficial de la Federación</w:t>
      </w:r>
      <w:r>
        <w:rPr>
          <w:rFonts w:ascii="Arial" w:eastAsia="Arial" w:hAnsi="Arial" w:cs="Arial"/>
          <w:color w:val="000000"/>
          <w:sz w:val="24"/>
          <w:szCs w:val="24"/>
        </w:rPr>
        <w:t xml:space="preserve"> el 15 de septiembre de 2024. Esa reforma dispuso que las ministras y los ministros de la Suprema Corte fueran elegidos por la ciudadanía de manera libre, directa y secreta.</w:t>
      </w:r>
      <w:r>
        <w:rPr>
          <w:rFonts w:ascii="Arial" w:eastAsia="Arial" w:hAnsi="Arial" w:cs="Arial"/>
          <w:color w:val="000000"/>
          <w:sz w:val="24"/>
          <w:szCs w:val="24"/>
          <w:vertAlign w:val="superscript"/>
        </w:rPr>
        <w:footnoteReference w:id="372"/>
      </w:r>
      <w:r>
        <w:rPr>
          <w:rFonts w:ascii="Arial" w:eastAsia="Arial" w:hAnsi="Arial" w:cs="Arial"/>
          <w:color w:val="000000"/>
          <w:sz w:val="24"/>
          <w:szCs w:val="24"/>
        </w:rPr>
        <w:t xml:space="preserve"> La reforma alcanzó a las magistraturas del Tribunal Electoral, del Tribunal de Disciplina Judicial y de los tribunales de circuito, así como a las personas juzgadoras de distrito. Esa transformación del origen de la judicatura exigió un régimen específico de nulidades para las nuevas elecciones.</w:t>
      </w:r>
    </w:p>
    <w:p>
      <w:pPr>
        <w:spacing w:before="0" w:after="0" w:line="360" w:lineRule="auto"/>
        <w:ind w:firstLine="709"/>
        <w:jc w:val="both"/>
      </w:pPr>
      <w:r>
        <w:rPr>
          <w:rFonts w:ascii="Arial" w:eastAsia="Arial" w:hAnsi="Arial" w:cs="Arial"/>
          <w:color w:val="000000"/>
          <w:sz w:val="24"/>
          <w:szCs w:val="24"/>
        </w:rPr>
        <w:t xml:space="preserve">El legislador adicionó a la ley de medios el artículo 77 Ter, que establece causales específicas de nulidad para la elección de personas juzgadoras.</w:t>
      </w:r>
      <w:r>
        <w:rPr>
          <w:rFonts w:ascii="Arial" w:eastAsia="Arial" w:hAnsi="Arial" w:cs="Arial"/>
          <w:color w:val="000000"/>
          <w:sz w:val="24"/>
          <w:szCs w:val="24"/>
          <w:vertAlign w:val="superscript"/>
        </w:rPr>
        <w:footnoteReference w:id="373"/>
      </w:r>
      <w:r>
        <w:rPr>
          <w:rFonts w:ascii="Arial" w:eastAsia="Arial" w:hAnsi="Arial" w:cs="Arial"/>
          <w:color w:val="000000"/>
          <w:sz w:val="24"/>
          <w:szCs w:val="24"/>
        </w:rPr>
        <w:t xml:space="preserve"> Entre ellas figuran el financiamiento distinto del permitido y el beneficio o perjuicio indebido de una campaña por partidos o personas servidoras públicas. El párrafo 2 del mismo precepto exige que las causales estén plenamente acreditadas y que se demuestre que fueron determinantes para el resultado. Tras la jornada de 2025, el Consejo General del Instituto Nacional Electoral realizó la sumatoria nacional, asignó los cargos y declaró la validez de la elección de ministras y ministros.</w:t>
      </w:r>
      <w:r>
        <w:rPr>
          <w:rFonts w:ascii="Arial" w:eastAsia="Arial" w:hAnsi="Arial" w:cs="Arial"/>
          <w:color w:val="000000"/>
          <w:sz w:val="24"/>
          <w:szCs w:val="24"/>
          <w:vertAlign w:val="superscript"/>
        </w:rPr>
        <w:footnoteReference w:id="374"/>
      </w:r>
      <w:r>
        <w:rPr>
          <w:rFonts w:ascii="Arial" w:eastAsia="Arial" w:hAnsi="Arial" w:cs="Arial"/>
          <w:color w:val="000000"/>
          <w:sz w:val="24"/>
          <w:szCs w:val="24"/>
        </w:rPr>
        <w:t xml:space="preserve"> Isaac de Paz González y otras personas impugnaron esos actos mediante juicios de inconformidad. Esos juicios se acumularon en un solo expediente. En consecuencia, la Sala Superior aplicó las nuevas causales a una elección nacional. Las alegaciones de los actores se centraron en un tipo de propaganda particular.</w:t>
      </w:r>
    </w:p>
    <w:p>
      <w:pPr>
        <w:spacing w:before="0" w:after="0" w:line="360" w:lineRule="auto"/>
        <w:ind w:firstLine="709"/>
        <w:jc w:val="both"/>
      </w:pPr>
      <w:r>
        <w:rPr>
          <w:rFonts w:ascii="Arial" w:eastAsia="Arial" w:hAnsi="Arial" w:cs="Arial"/>
          <w:color w:val="000000"/>
          <w:sz w:val="24"/>
          <w:szCs w:val="24"/>
        </w:rPr>
        <w:t xml:space="preserve">Los actores alegaron la producción y distribución masiva y sistemática de guías de votación, conocidas como acordeones, en las que se indicaba por qué candidaturas votar. Según los actores, participaron personas servidoras públicas y se usaron programas sociales.</w:t>
      </w:r>
      <w:r>
        <w:rPr>
          <w:rFonts w:ascii="Arial" w:eastAsia="Arial" w:hAnsi="Arial" w:cs="Arial"/>
          <w:color w:val="000000"/>
          <w:sz w:val="24"/>
          <w:szCs w:val="24"/>
          <w:vertAlign w:val="superscript"/>
        </w:rPr>
        <w:footnoteReference w:id="375"/>
      </w:r>
      <w:r>
        <w:rPr>
          <w:rFonts w:ascii="Arial" w:eastAsia="Arial" w:hAnsi="Arial" w:cs="Arial"/>
          <w:color w:val="000000"/>
          <w:sz w:val="24"/>
          <w:szCs w:val="24"/>
        </w:rPr>
        <w:t xml:space="preserve"> A partir de ello los actores sostuvieron la violación de principios constitucionales, el uso de financiamiento prohibido y el rebase de topes de gastos. Los actores pidieron que las pruebas se valoraran bajo un estándar flexible, porque a su juicio era imposible demostrar de manera directa las irregularidades.</w:t>
      </w:r>
      <w:r>
        <w:rPr>
          <w:rFonts w:ascii="Arial" w:eastAsia="Arial" w:hAnsi="Arial" w:cs="Arial"/>
          <w:color w:val="000000"/>
          <w:sz w:val="24"/>
          <w:szCs w:val="24"/>
          <w:vertAlign w:val="superscript"/>
        </w:rPr>
        <w:footnoteReference w:id="376"/>
      </w:r>
      <w:r>
        <w:rPr>
          <w:rFonts w:ascii="Arial" w:eastAsia="Arial" w:hAnsi="Arial" w:cs="Arial"/>
          <w:color w:val="000000"/>
          <w:sz w:val="24"/>
          <w:szCs w:val="24"/>
        </w:rPr>
        <w:t xml:space="preserve"> La sentencia se dictó el 20 de agosto de 2025. El proyecto original correspondió al magistrado Reyes Rodríguez Mondragón y proponía declarar la nulidad de la elección.</w:t>
      </w:r>
      <w:r>
        <w:rPr>
          <w:rFonts w:ascii="Arial" w:eastAsia="Arial" w:hAnsi="Arial" w:cs="Arial"/>
          <w:color w:val="000000"/>
          <w:sz w:val="24"/>
          <w:szCs w:val="24"/>
          <w:vertAlign w:val="superscript"/>
        </w:rPr>
        <w:footnoteReference w:id="377"/>
      </w:r>
      <w:r>
        <w:rPr>
          <w:rFonts w:ascii="Arial" w:eastAsia="Arial" w:hAnsi="Arial" w:cs="Arial"/>
          <w:color w:val="000000"/>
          <w:sz w:val="24"/>
          <w:szCs w:val="24"/>
        </w:rPr>
        <w:t xml:space="preserve"> El proyecto fue rechazado por los magistrados Felipe de la Mata Pizaña y Felipe Alfredo Fuentes Barrera y por la magistrada Mónica Aralí Soto Fregoso, y el engrose se encargó al segundo.</w:t>
      </w:r>
      <w:r>
        <w:rPr>
          <w:rFonts w:ascii="Arial" w:eastAsia="Arial" w:hAnsi="Arial" w:cs="Arial"/>
          <w:color w:val="000000"/>
          <w:sz w:val="24"/>
          <w:szCs w:val="24"/>
          <w:vertAlign w:val="superscript"/>
        </w:rPr>
        <w:footnoteReference w:id="378"/>
      </w:r>
      <w:r>
        <w:rPr>
          <w:rFonts w:ascii="Arial" w:eastAsia="Arial" w:hAnsi="Arial" w:cs="Arial"/>
          <w:color w:val="000000"/>
          <w:sz w:val="24"/>
          <w:szCs w:val="24"/>
        </w:rPr>
        <w:t xml:space="preserve"> La votación final invierte la del caso Tabasco.</w:t>
      </w:r>
    </w:p>
    <w:p>
      <w:pPr>
        <w:spacing w:before="0" w:after="0" w:line="360" w:lineRule="auto"/>
        <w:ind w:firstLine="709"/>
        <w:jc w:val="both"/>
      </w:pPr>
      <w:r>
        <w:rPr>
          <w:rFonts w:ascii="Arial" w:eastAsia="Arial" w:hAnsi="Arial" w:cs="Arial"/>
          <w:color w:val="000000"/>
          <w:sz w:val="24"/>
          <w:szCs w:val="24"/>
        </w:rPr>
        <w:t xml:space="preserve">La mayoría acumuló los juicios, desechó la demanda del SUP-JIN-270/2025 y confirmó la sumatoria, la asignación y la declaración de validez.</w:t>
      </w:r>
      <w:r>
        <w:rPr>
          <w:rFonts w:ascii="Arial" w:eastAsia="Arial" w:hAnsi="Arial" w:cs="Arial"/>
          <w:color w:val="000000"/>
          <w:sz w:val="24"/>
          <w:szCs w:val="24"/>
          <w:vertAlign w:val="superscript"/>
        </w:rPr>
        <w:footnoteReference w:id="379"/>
      </w:r>
      <w:r>
        <w:rPr>
          <w:rFonts w:ascii="Arial" w:eastAsia="Arial" w:hAnsi="Arial" w:cs="Arial"/>
          <w:color w:val="000000"/>
          <w:sz w:val="24"/>
          <w:szCs w:val="24"/>
        </w:rPr>
        <w:t xml:space="preserve"> La magistrada Janine M. Otálora Malassis y el magistrado Rodríguez Mondragón formularon votos particulares.</w:t>
      </w:r>
      <w:r>
        <w:rPr>
          <w:rFonts w:ascii="Arial" w:eastAsia="Arial" w:hAnsi="Arial" w:cs="Arial"/>
          <w:color w:val="000000"/>
          <w:sz w:val="24"/>
          <w:szCs w:val="24"/>
          <w:vertAlign w:val="superscript"/>
        </w:rPr>
        <w:footnoteReference w:id="380"/>
      </w:r>
      <w:r>
        <w:rPr>
          <w:rFonts w:ascii="Arial" w:eastAsia="Arial" w:hAnsi="Arial" w:cs="Arial"/>
          <w:color w:val="000000"/>
          <w:sz w:val="24"/>
          <w:szCs w:val="24"/>
        </w:rPr>
        <w:t xml:space="preserve"> La magistrada Otálora Malassis sostuvo que la elección debió anularse y declaró compartir los razonamientos del proyecto rechazado.</w:t>
      </w:r>
      <w:r>
        <w:rPr>
          <w:rFonts w:ascii="Arial" w:eastAsia="Arial" w:hAnsi="Arial" w:cs="Arial"/>
          <w:color w:val="000000"/>
          <w:sz w:val="24"/>
          <w:szCs w:val="24"/>
          <w:vertAlign w:val="superscript"/>
        </w:rPr>
        <w:footnoteReference w:id="381"/>
      </w:r>
      <w:r>
        <w:rPr>
          <w:rFonts w:ascii="Arial" w:eastAsia="Arial" w:hAnsi="Arial" w:cs="Arial"/>
          <w:color w:val="000000"/>
          <w:sz w:val="24"/>
          <w:szCs w:val="24"/>
        </w:rPr>
        <w:t xml:space="preserve"> Por tanto, la decisión se adoptó por tres votos contra dos, y el mismo acervo admitió lecturas opuestas dentro del órgano. Esta configuración reproduce la del caso Tabasco con el sentido invertido. En 2000 la mayoría anuló y la minoría validó. La coincidencia estructural justifica el cotejo entre ambas sentencias, separadas por un cuarto de siglo de práctica jurisdiccional. Ese cotejo exige examinar antes la doctrina probatoria que la mayoría construyó para decidir el caso y los criterios que empleó para valorar los indicios.</w:t>
      </w:r>
    </w:p>
    <w:p>
      <w:pPr>
        <w:spacing w:before="0" w:after="0" w:line="360" w:lineRule="auto"/>
        <w:ind w:firstLine="709"/>
        <w:jc w:val="both"/>
      </w:pPr>
      <w:r>
        <w:rPr>
          <w:rFonts w:ascii="Arial" w:eastAsia="Arial" w:hAnsi="Arial" w:cs="Arial"/>
          <w:color w:val="000000"/>
          <w:sz w:val="24"/>
          <w:szCs w:val="24"/>
        </w:rPr>
        <w:t xml:space="preserve">La doctrina probatoria de la mayoría partió de una premisa sobre la gravedad de la nulidad. Según la mayoría, la nulidad es la consecuencia más extrema y lesiva, pues implica desconocer la voluntad popular emitida en las urnas.</w:t>
      </w:r>
      <w:r>
        <w:rPr>
          <w:rFonts w:ascii="Arial" w:eastAsia="Arial" w:hAnsi="Arial" w:cs="Arial"/>
          <w:color w:val="000000"/>
          <w:sz w:val="24"/>
          <w:szCs w:val="24"/>
          <w:vertAlign w:val="superscript"/>
        </w:rPr>
        <w:footnoteReference w:id="382"/>
      </w:r>
      <w:r>
        <w:rPr>
          <w:rFonts w:ascii="Arial" w:eastAsia="Arial" w:hAnsi="Arial" w:cs="Arial"/>
          <w:color w:val="000000"/>
          <w:sz w:val="24"/>
          <w:szCs w:val="24"/>
        </w:rPr>
        <w:t xml:space="preserve"> Por ello la mayoría exigió la plena acreditación de los hechos y conductas que configuran el tipo normativo. A continuación enumeró siete hechos que debían comprobarse plenamente, desde la producción masiva de acordeones hasta su financiamiento.</w:t>
      </w:r>
      <w:r>
        <w:rPr>
          <w:rFonts w:ascii="Arial" w:eastAsia="Arial" w:hAnsi="Arial" w:cs="Arial"/>
          <w:color w:val="000000"/>
          <w:sz w:val="24"/>
          <w:szCs w:val="24"/>
          <w:vertAlign w:val="superscript"/>
        </w:rPr>
        <w:footnoteReference w:id="383"/>
      </w:r>
      <w:r>
        <w:rPr>
          <w:rFonts w:ascii="Arial" w:eastAsia="Arial" w:hAnsi="Arial" w:cs="Arial"/>
          <w:color w:val="000000"/>
          <w:sz w:val="24"/>
          <w:szCs w:val="24"/>
        </w:rPr>
        <w:t xml:space="preserve"> El séptimo hecho consistía en que el alcance masivo de las guías y su entrega efectiva hubieran podido tener un impacto significativo en la intención del voto. La enumeración tiene un mérito metodológico que debe reconocerse. La enumeración descompone la hipótesis de la parte actora en proposiciones fácticas susceptibles de prueba independiente. En consecuencia, la enumeración permite controlar qué se tuvo por probado y qué no, aunque deja abierta otra cuestión.</w:t>
      </w:r>
    </w:p>
    <w:p>
      <w:pPr>
        <w:spacing w:before="0" w:after="0" w:line="360" w:lineRule="auto"/>
        <w:ind w:firstLine="709"/>
        <w:jc w:val="both"/>
      </w:pPr>
      <w:r>
        <w:rPr>
          <w:rFonts w:ascii="Arial" w:eastAsia="Arial" w:hAnsi="Arial" w:cs="Arial"/>
          <w:color w:val="000000"/>
          <w:sz w:val="24"/>
          <w:szCs w:val="24"/>
        </w:rPr>
        <w:t xml:space="preserve">La enumeración de los siete hechos identifica los hechos que deben probarse, pero no el grado de corroboración exigido para cada uno. La enumeración define el objeto de la prueba, pero no el cuánto de la decisión. La exigencia de comprobar plenamente cada hecho remite al lenguaje del artículo 16, párrafo 3, y del artículo 77 Ter, párrafo 2, de la ley de medios. Esa plenitud no recibe en la sentencia una definición en términos de resultados probatorios. La sentencia construyó enseguida un marco teórico sobre la prueba. Ese marco invocó a Michele Taruffo para sostener que la averiguación de la verdad de los hechos es condición necesaria para la justicia de la decisión.</w:t>
      </w:r>
      <w:r>
        <w:rPr>
          <w:rFonts w:ascii="Arial" w:eastAsia="Arial" w:hAnsi="Arial" w:cs="Arial"/>
          <w:color w:val="000000"/>
          <w:sz w:val="24"/>
          <w:szCs w:val="24"/>
          <w:vertAlign w:val="superscript"/>
        </w:rPr>
        <w:footnoteReference w:id="384"/>
      </w:r>
      <w:r>
        <w:rPr>
          <w:rFonts w:ascii="Arial" w:eastAsia="Arial" w:hAnsi="Arial" w:cs="Arial"/>
          <w:color w:val="000000"/>
          <w:sz w:val="24"/>
          <w:szCs w:val="24"/>
        </w:rPr>
        <w:t xml:space="preserve"> La sentencia afirmó que la verdad en el proceso no deriva de la coherencia de las narraciones, sino de su correspondencia con la realidad.</w:t>
      </w:r>
      <w:r>
        <w:rPr>
          <w:rFonts w:ascii="Arial" w:eastAsia="Arial" w:hAnsi="Arial" w:cs="Arial"/>
          <w:color w:val="000000"/>
          <w:sz w:val="24"/>
          <w:szCs w:val="24"/>
          <w:vertAlign w:val="superscript"/>
        </w:rPr>
        <w:footnoteReference w:id="385"/>
      </w:r>
      <w:r>
        <w:rPr>
          <w:rFonts w:ascii="Arial" w:eastAsia="Arial" w:hAnsi="Arial" w:cs="Arial"/>
          <w:color w:val="000000"/>
          <w:sz w:val="24"/>
          <w:szCs w:val="24"/>
        </w:rPr>
        <w:t xml:space="preserve"> Esa adhesión a la verdad como correspondencia orientó la posición de la mayoría sobre el sistema de valoración.</w:t>
      </w:r>
    </w:p>
    <w:p>
      <w:pPr>
        <w:spacing w:before="0" w:after="0" w:line="360" w:lineRule="auto"/>
        <w:ind w:firstLine="709"/>
        <w:jc w:val="both"/>
      </w:pPr>
      <w:r>
        <w:rPr>
          <w:rFonts w:ascii="Arial" w:eastAsia="Arial" w:hAnsi="Arial" w:cs="Arial"/>
          <w:color w:val="000000"/>
          <w:sz w:val="24"/>
          <w:szCs w:val="24"/>
        </w:rPr>
        <w:t xml:space="preserve">La mayoría sostuvo que la ley de medios adopta la escuela de libre investigación o libre convencimiento. En la misma línea afirmó que la valoración debe guiarse por reglas lógicas y criterios que permitan su formulación racional y controlable.</w:t>
      </w:r>
      <w:r>
        <w:rPr>
          <w:rFonts w:ascii="Arial" w:eastAsia="Arial" w:hAnsi="Arial" w:cs="Arial"/>
          <w:color w:val="000000"/>
          <w:sz w:val="24"/>
          <w:szCs w:val="24"/>
          <w:vertAlign w:val="superscript"/>
        </w:rPr>
        <w:footnoteReference w:id="386"/>
      </w:r>
      <w:r>
        <w:rPr>
          <w:rFonts w:ascii="Arial" w:eastAsia="Arial" w:hAnsi="Arial" w:cs="Arial"/>
          <w:color w:val="000000"/>
          <w:sz w:val="24"/>
          <w:szCs w:val="24"/>
        </w:rPr>
        <w:t xml:space="preserve"> La mayoría reconoció que es poco probable que la parte actora disponga de pruebas directas de cada hecho. Por ello admitió que los elementos de convicción indirectos y los ejercicios inferenciales pueden arrojar certeza sobre lo que se pretende probar.</w:t>
      </w:r>
      <w:r>
        <w:rPr>
          <w:rFonts w:ascii="Arial" w:eastAsia="Arial" w:hAnsi="Arial" w:cs="Arial"/>
          <w:color w:val="000000"/>
          <w:sz w:val="24"/>
          <w:szCs w:val="24"/>
          <w:vertAlign w:val="superscript"/>
        </w:rPr>
        <w:footnoteReference w:id="387"/>
      </w:r>
      <w:r>
        <w:rPr>
          <w:rFonts w:ascii="Arial" w:eastAsia="Arial" w:hAnsi="Arial" w:cs="Arial"/>
          <w:color w:val="000000"/>
          <w:sz w:val="24"/>
          <w:szCs w:val="24"/>
        </w:rPr>
        <w:t xml:space="preserve"> Este marco supone un desplazamiento respecto del caso Tabasco, cuya sentencia se limitó a declarar un método de valoración en dos etapas. La adhesión a una concepción de la verdad como correspondencia es coherente con la concepción racionalista de la prueba. Con todo, la sentencia no cita a Ferrer Beltrán ni identifica su propio criterio de decisión como un estándar de prueba. La doctrina de la prueba indiciaria constituye, sin embargo, el núcleo del avance metodológico de la sentencia.</w:t>
      </w:r>
    </w:p>
    <w:p>
      <w:pPr>
        <w:spacing w:before="0" w:after="0" w:line="360" w:lineRule="auto"/>
        <w:ind w:firstLine="709"/>
        <w:jc w:val="both"/>
      </w:pPr>
      <w:r>
        <w:rPr>
          <w:rFonts w:ascii="Arial" w:eastAsia="Arial" w:hAnsi="Arial" w:cs="Arial"/>
          <w:color w:val="000000"/>
          <w:sz w:val="24"/>
          <w:szCs w:val="24"/>
        </w:rPr>
        <w:t xml:space="preserve">La mayoría definió la prueba indiciaria como la dirigida a demostrar la probabilidad de hechos que, aisladamente, no constituyen la infracción, pero de los que esta puede inferirse mediante la lógica y las reglas de la experiencia.</w:t>
      </w:r>
      <w:r>
        <w:rPr>
          <w:rFonts w:ascii="Arial" w:eastAsia="Arial" w:hAnsi="Arial" w:cs="Arial"/>
          <w:color w:val="000000"/>
          <w:sz w:val="24"/>
          <w:szCs w:val="24"/>
          <w:vertAlign w:val="superscript"/>
        </w:rPr>
        <w:footnoteReference w:id="388"/>
      </w:r>
      <w:r>
        <w:rPr>
          <w:rFonts w:ascii="Arial" w:eastAsia="Arial" w:hAnsi="Arial" w:cs="Arial"/>
          <w:color w:val="000000"/>
          <w:sz w:val="24"/>
          <w:szCs w:val="24"/>
        </w:rPr>
        <w:t xml:space="preserve"> La mayoría exigió que los indicios estuvieran acreditados mediante prueba directa, fueran plurales, concomitantes al hecho por probar e interrelacionados entre sí.</w:t>
      </w:r>
      <w:r>
        <w:rPr>
          <w:rFonts w:ascii="Arial" w:eastAsia="Arial" w:hAnsi="Arial" w:cs="Arial"/>
          <w:color w:val="000000"/>
          <w:sz w:val="24"/>
          <w:szCs w:val="24"/>
          <w:vertAlign w:val="superscript"/>
        </w:rPr>
        <w:footnoteReference w:id="389"/>
      </w:r>
      <w:r>
        <w:rPr>
          <w:rFonts w:ascii="Arial" w:eastAsia="Arial" w:hAnsi="Arial" w:cs="Arial"/>
          <w:color w:val="000000"/>
          <w:sz w:val="24"/>
          <w:szCs w:val="24"/>
        </w:rPr>
        <w:t xml:space="preserve"> La mayoría exigió que las inferencias fueran razonables y que la conclusión fluyera de forma natural de los hechos base, sin inferencias débiles o forzadas.</w:t>
      </w:r>
      <w:r>
        <w:rPr>
          <w:rFonts w:ascii="Arial" w:eastAsia="Arial" w:hAnsi="Arial" w:cs="Arial"/>
          <w:color w:val="000000"/>
          <w:sz w:val="24"/>
          <w:szCs w:val="24"/>
          <w:vertAlign w:val="superscript"/>
        </w:rPr>
        <w:footnoteReference w:id="390"/>
      </w:r>
      <w:r>
        <w:rPr>
          <w:rFonts w:ascii="Arial" w:eastAsia="Arial" w:hAnsi="Arial" w:cs="Arial"/>
          <w:color w:val="000000"/>
          <w:sz w:val="24"/>
          <w:szCs w:val="24"/>
        </w:rPr>
        <w:t xml:space="preserve"> La mayoría se apoyó en un criterio de la Primera Sala. Según ese criterio, la prueba circunstancial no debe confundirse con sospechas y sus conclusiones deben contrastarse con otras hipótesis probables.</w:t>
      </w:r>
      <w:r>
        <w:rPr>
          <w:rFonts w:ascii="Arial" w:eastAsia="Arial" w:hAnsi="Arial" w:cs="Arial"/>
          <w:color w:val="000000"/>
          <w:sz w:val="24"/>
          <w:szCs w:val="24"/>
          <w:vertAlign w:val="superscript"/>
        </w:rPr>
        <w:footnoteReference w:id="391"/>
      </w:r>
      <w:r>
        <w:rPr>
          <w:rFonts w:ascii="Arial" w:eastAsia="Arial" w:hAnsi="Arial" w:cs="Arial"/>
          <w:color w:val="000000"/>
          <w:sz w:val="24"/>
          <w:szCs w:val="24"/>
        </w:rPr>
        <w:t xml:space="preserve"> La mayoría añadió que el razonamiento debe expresarse de modo que pueda replicarse y reconstruirse en la sentencia.</w:t>
      </w:r>
      <w:r>
        <w:rPr>
          <w:rFonts w:ascii="Arial" w:eastAsia="Arial" w:hAnsi="Arial" w:cs="Arial"/>
          <w:color w:val="000000"/>
          <w:sz w:val="24"/>
          <w:szCs w:val="24"/>
          <w:vertAlign w:val="superscript"/>
        </w:rPr>
        <w:footnoteReference w:id="392"/>
      </w:r>
      <w:r>
        <w:rPr>
          <w:rFonts w:ascii="Arial" w:eastAsia="Arial" w:hAnsi="Arial" w:cs="Arial"/>
          <w:color w:val="000000"/>
          <w:sz w:val="24"/>
          <w:szCs w:val="24"/>
        </w:rPr>
        <w:t xml:space="preserve"> En consecuencia, la doctrina incorpora la pluralidad, la independencia y la motivación que exige la teoría. La exigencia de contrastar hipótesis completa esa doctrina.</w:t>
      </w:r>
    </w:p>
    <w:p>
      <w:pPr>
        <w:spacing w:before="0" w:after="0" w:line="360" w:lineRule="auto"/>
        <w:ind w:firstLine="709"/>
        <w:jc w:val="both"/>
      </w:pPr>
      <w:r>
        <w:rPr>
          <w:rFonts w:ascii="Arial" w:eastAsia="Arial" w:hAnsi="Arial" w:cs="Arial"/>
          <w:color w:val="000000"/>
          <w:sz w:val="24"/>
          <w:szCs w:val="24"/>
        </w:rPr>
        <w:t xml:space="preserve">La sentencia exigió contrastar la conclusión con otras hipótesis a fin de descartarlas, pues de lo contrario solo se contaría con una presunción abstracta.</w:t>
      </w:r>
      <w:r>
        <w:rPr>
          <w:rFonts w:ascii="Arial" w:eastAsia="Arial" w:hAnsi="Arial" w:cs="Arial"/>
          <w:color w:val="000000"/>
          <w:sz w:val="24"/>
          <w:szCs w:val="24"/>
          <w:vertAlign w:val="superscript"/>
        </w:rPr>
        <w:footnoteReference w:id="393"/>
      </w:r>
      <w:r>
        <w:rPr>
          <w:rFonts w:ascii="Arial" w:eastAsia="Arial" w:hAnsi="Arial" w:cs="Arial"/>
          <w:color w:val="000000"/>
          <w:sz w:val="24"/>
          <w:szCs w:val="24"/>
        </w:rPr>
        <w:t xml:space="preserve"> Estos requisitos son criterios de valoración controlables intersubjetivamente. La exigencia de refutar hipótesis alternativas se aproxima a las formulaciones de estándar que Ferrer Beltrán construye a partir de la refutación de hipótesis.</w:t>
      </w:r>
      <w:r>
        <w:rPr>
          <w:rFonts w:ascii="Arial" w:eastAsia="Arial" w:hAnsi="Arial" w:cs="Arial"/>
          <w:color w:val="000000"/>
          <w:sz w:val="24"/>
          <w:szCs w:val="24"/>
          <w:vertAlign w:val="superscript"/>
        </w:rPr>
        <w:footnoteReference w:id="394"/>
      </w:r>
      <w:r>
        <w:rPr>
          <w:rFonts w:ascii="Arial" w:eastAsia="Arial" w:hAnsi="Arial" w:cs="Arial"/>
          <w:color w:val="000000"/>
          <w:sz w:val="24"/>
          <w:szCs w:val="24"/>
        </w:rPr>
        <w:t xml:space="preserve"> Esos requisitos pueden contrastarse con los requisitos metodológicos de un estándar válido. El contraste muestra que la sentencia satisface buena parte de las exigencias en el plano de la valoración. Sus requisitos sobre los indicios y las inferencias remiten a propiedades del acervo y no al estado mental del juzgador. La exigencia de contrastar hipótesis alternativas introduce un criterio propio de la probabilidad inductiva. Las carencias de la sentencia se localizan, por tanto, en los requisitos segundo y cuarto.</w:t>
      </w:r>
    </w:p>
    <w:p>
      <w:pPr>
        <w:spacing w:before="0" w:after="0" w:line="360" w:lineRule="auto"/>
        <w:ind w:firstLine="709"/>
        <w:jc w:val="both"/>
      </w:pPr>
      <w:r>
        <w:rPr>
          <w:rFonts w:ascii="Arial" w:eastAsia="Arial" w:hAnsi="Arial" w:cs="Arial"/>
          <w:color w:val="000000"/>
          <w:sz w:val="24"/>
          <w:szCs w:val="24"/>
        </w:rPr>
        <w:t xml:space="preserve">La sentencia no identifica qué resultado probatorio mínimo debía alcanzarse para tener por probado cada uno de los siete hechos. La sentencia tampoco distingue entre la exigencia aplicable a la existencia de la propaganda y la aplicable a la atribución de su autoría a personas determinadas. Todos los hechos quedan sometidos a la misma plenitud. Esa distinción fue precisamente la que planteó el proyecto rechazado. El proyecto proponía un estándar de probabilidad prevalente para la propaganda y uno más elevado para la autoría.</w:t>
      </w:r>
      <w:r>
        <w:rPr>
          <w:rFonts w:ascii="Arial" w:eastAsia="Arial" w:hAnsi="Arial" w:cs="Arial"/>
          <w:color w:val="000000"/>
          <w:sz w:val="24"/>
          <w:szCs w:val="24"/>
          <w:vertAlign w:val="superscript"/>
        </w:rPr>
        <w:footnoteReference w:id="395"/>
      </w:r>
      <w:r>
        <w:rPr>
          <w:rFonts w:ascii="Arial" w:eastAsia="Arial" w:hAnsi="Arial" w:cs="Arial"/>
          <w:color w:val="000000"/>
          <w:sz w:val="24"/>
          <w:szCs w:val="24"/>
        </w:rPr>
        <w:t xml:space="preserve"> La valoración de esa propuesta exige un examen propio de los votos particulares. Basta advertir por ahora que la mayoría resolvió el problema de la graduación de las exigencias sin enunciarlo como tal. La doctrina así construida se aplicó a un caudal probatorio de dimensiones considerables, integrado por pruebas de naturaleza muy diversa.</w:t>
      </w:r>
    </w:p>
    <w:p>
      <w:pPr>
        <w:spacing w:before="0" w:after="0" w:line="360" w:lineRule="auto"/>
        <w:ind w:firstLine="709"/>
        <w:jc w:val="both"/>
      </w:pPr>
      <w:r>
        <w:rPr>
          <w:rFonts w:ascii="Arial" w:eastAsia="Arial" w:hAnsi="Arial" w:cs="Arial"/>
          <w:color w:val="000000"/>
          <w:sz w:val="24"/>
          <w:szCs w:val="24"/>
        </w:rPr>
        <w:t xml:space="preserve">El caudal probatorio comprendió aproximadamente 3,101 acordeones impresos con seis diseños diferentes, 14 acordeones electrónicos difundidos en redes sociales, archivos de audio y video con supuestos testimonios y alrededor de 231 notas periodísticas.</w:t>
      </w:r>
      <w:r>
        <w:rPr>
          <w:rFonts w:ascii="Arial" w:eastAsia="Arial" w:hAnsi="Arial" w:cs="Arial"/>
          <w:color w:val="000000"/>
          <w:sz w:val="24"/>
          <w:szCs w:val="24"/>
          <w:vertAlign w:val="superscript"/>
        </w:rPr>
        <w:footnoteReference w:id="396"/>
      </w:r>
      <w:r>
        <w:rPr>
          <w:rFonts w:ascii="Arial" w:eastAsia="Arial" w:hAnsi="Arial" w:cs="Arial"/>
          <w:color w:val="000000"/>
          <w:sz w:val="24"/>
          <w:szCs w:val="24"/>
        </w:rPr>
        <w:t xml:space="preserve"> El acervo incluyó expedientes de procedimientos sancionadores, de fiscalización y carpetas de investigación.</w:t>
      </w:r>
      <w:r>
        <w:rPr>
          <w:rFonts w:ascii="Arial" w:eastAsia="Arial" w:hAnsi="Arial" w:cs="Arial"/>
          <w:color w:val="000000"/>
          <w:sz w:val="24"/>
          <w:szCs w:val="24"/>
          <w:vertAlign w:val="superscript"/>
        </w:rPr>
        <w:footnoteReference w:id="397"/>
      </w:r>
      <w:r>
        <w:rPr>
          <w:rFonts w:ascii="Arial" w:eastAsia="Arial" w:hAnsi="Arial" w:cs="Arial"/>
          <w:color w:val="000000"/>
          <w:sz w:val="24"/>
          <w:szCs w:val="24"/>
        </w:rPr>
        <w:t xml:space="preserve"> La mayoría asignó a las documentales privadas, ligas electrónicas y notas periodísticas un valor indiciario que debía adminicularse con otros elementos para arrojar convicción de un hecho.</w:t>
      </w:r>
      <w:r>
        <w:rPr>
          <w:rFonts w:ascii="Arial" w:eastAsia="Arial" w:hAnsi="Arial" w:cs="Arial"/>
          <w:color w:val="000000"/>
          <w:sz w:val="24"/>
          <w:szCs w:val="24"/>
          <w:vertAlign w:val="superscript"/>
        </w:rPr>
        <w:footnoteReference w:id="398"/>
      </w:r>
      <w:r>
        <w:rPr>
          <w:rFonts w:ascii="Arial" w:eastAsia="Arial" w:hAnsi="Arial" w:cs="Arial"/>
          <w:color w:val="000000"/>
          <w:sz w:val="24"/>
          <w:szCs w:val="24"/>
        </w:rPr>
        <w:t xml:space="preserve"> Los procedimientos sancionadores y las denuncias penales no eran prueba directa. Ninguno tenía resolución firme sobre la distribución masiva.</w:t>
      </w:r>
      <w:r>
        <w:rPr>
          <w:rFonts w:ascii="Arial" w:eastAsia="Arial" w:hAnsi="Arial" w:cs="Arial"/>
          <w:color w:val="000000"/>
          <w:sz w:val="24"/>
          <w:szCs w:val="24"/>
          <w:vertAlign w:val="superscript"/>
        </w:rPr>
        <w:footnoteReference w:id="399"/>
      </w:r>
      <w:r>
        <w:rPr>
          <w:rFonts w:ascii="Arial" w:eastAsia="Arial" w:hAnsi="Arial" w:cs="Arial"/>
          <w:color w:val="000000"/>
          <w:sz w:val="24"/>
          <w:szCs w:val="24"/>
        </w:rPr>
        <w:t xml:space="preserve"> En apoyo la mayoría invocó la tesis III/2010, según la cual las conductas sancionadas en procedimientos administrativos son insuficientes, por sí mismas, para actualizar la nulidad.</w:t>
      </w:r>
      <w:r>
        <w:rPr>
          <w:rFonts w:ascii="Arial" w:eastAsia="Arial" w:hAnsi="Arial" w:cs="Arial"/>
          <w:color w:val="000000"/>
          <w:sz w:val="24"/>
          <w:szCs w:val="24"/>
          <w:vertAlign w:val="superscript"/>
        </w:rPr>
        <w:footnoteReference w:id="400"/>
      </w:r>
      <w:r>
        <w:rPr>
          <w:rFonts w:ascii="Arial" w:eastAsia="Arial" w:hAnsi="Arial" w:cs="Arial"/>
          <w:color w:val="000000"/>
          <w:sz w:val="24"/>
          <w:szCs w:val="24"/>
        </w:rPr>
        <w:t xml:space="preserve"> Respecto de los acordeones impresos, la mayoría concluyó que solo se tenía convicción sobre la existencia de algunos de ellos.</w:t>
      </w:r>
      <w:r>
        <w:rPr>
          <w:rFonts w:ascii="Arial" w:eastAsia="Arial" w:hAnsi="Arial" w:cs="Arial"/>
          <w:color w:val="000000"/>
          <w:sz w:val="24"/>
          <w:szCs w:val="24"/>
          <w:vertAlign w:val="superscript"/>
        </w:rPr>
        <w:footnoteReference w:id="401"/>
      </w:r>
      <w:r>
        <w:rPr>
          <w:rFonts w:ascii="Arial" w:eastAsia="Arial" w:hAnsi="Arial" w:cs="Arial"/>
          <w:color w:val="000000"/>
          <w:sz w:val="24"/>
          <w:szCs w:val="24"/>
        </w:rPr>
        <w:t xml:space="preserve"> Esa conclusión condicionó el resto del análisis.</w:t>
      </w:r>
    </w:p>
    <w:p>
      <w:pPr>
        <w:spacing w:before="0" w:after="0" w:line="360" w:lineRule="auto"/>
        <w:ind w:firstLine="709"/>
        <w:jc w:val="both"/>
      </w:pPr>
      <w:r>
        <w:rPr>
          <w:rFonts w:ascii="Arial" w:eastAsia="Arial" w:hAnsi="Arial" w:cs="Arial"/>
          <w:color w:val="000000"/>
          <w:sz w:val="24"/>
          <w:szCs w:val="24"/>
        </w:rPr>
        <w:t xml:space="preserve">De la existencia de algunos acordeones no podía inferirse razonablemente su distribución, autoría, financiamiento y entrega a la ciudadanía a nivel nacional. El mismo razonamiento se extendió a los acordeones electrónicos y a los demás elementos del acervo. Con ello la mayoría concluyó que el único hecho probado era la existencia limitada de las guías aportadas. La mayoría examinó después si los indicios satisfacían los requisitos de la prueba indiciaria. La mayoría observó que, en un universo de más de 100 millones de habitantes y de 13 millones de personas que votaron, solo estaba acreditada la existencia de poco más de 3,000 acordeones no homogéneos.</w:t>
      </w:r>
      <w:r>
        <w:rPr>
          <w:rFonts w:ascii="Arial" w:eastAsia="Arial" w:hAnsi="Arial" w:cs="Arial"/>
          <w:color w:val="000000"/>
          <w:sz w:val="24"/>
          <w:szCs w:val="24"/>
          <w:vertAlign w:val="superscript"/>
        </w:rPr>
        <w:footnoteReference w:id="402"/>
      </w:r>
      <w:r>
        <w:rPr>
          <w:rFonts w:ascii="Arial" w:eastAsia="Arial" w:hAnsi="Arial" w:cs="Arial"/>
          <w:color w:val="000000"/>
          <w:sz w:val="24"/>
          <w:szCs w:val="24"/>
        </w:rPr>
        <w:t xml:space="preserve"> La mayoría sostuvo que no existía indicio alguno sobre la distribución efectiva y nacional, ni sobre la autoría y el financiamiento.</w:t>
      </w:r>
      <w:r>
        <w:rPr>
          <w:rFonts w:ascii="Arial" w:eastAsia="Arial" w:hAnsi="Arial" w:cs="Arial"/>
          <w:color w:val="000000"/>
          <w:sz w:val="24"/>
          <w:szCs w:val="24"/>
          <w:vertAlign w:val="superscript"/>
        </w:rPr>
        <w:footnoteReference w:id="403"/>
      </w:r>
      <w:r>
        <w:rPr>
          <w:rFonts w:ascii="Arial" w:eastAsia="Arial" w:hAnsi="Arial" w:cs="Arial"/>
          <w:color w:val="000000"/>
          <w:sz w:val="24"/>
          <w:szCs w:val="24"/>
        </w:rPr>
        <w:t xml:space="preserve"> En consecuencia, la mayoría declaró incumplidos los requisitos de prueba directa de los hechos indiciarios, pluralidad y concomitancia.</w:t>
      </w:r>
      <w:r>
        <w:rPr>
          <w:rFonts w:ascii="Arial" w:eastAsia="Arial" w:hAnsi="Arial" w:cs="Arial"/>
          <w:color w:val="000000"/>
          <w:sz w:val="24"/>
          <w:szCs w:val="24"/>
          <w:vertAlign w:val="superscript"/>
        </w:rPr>
        <w:footnoteReference w:id="404"/>
      </w:r>
      <w:r>
        <w:rPr>
          <w:rFonts w:ascii="Arial" w:eastAsia="Arial" w:hAnsi="Arial" w:cs="Arial"/>
          <w:color w:val="000000"/>
          <w:sz w:val="24"/>
          <w:szCs w:val="24"/>
        </w:rPr>
        <w:t xml:space="preserve"> El paso siguiente de la sentencia tiene especial importancia para esta investigación.</w:t>
      </w:r>
    </w:p>
    <w:p>
      <w:pPr>
        <w:spacing w:before="0" w:after="0" w:line="360" w:lineRule="auto"/>
        <w:ind w:firstLine="709"/>
        <w:jc w:val="both"/>
      </w:pPr>
      <w:r>
        <w:rPr>
          <w:rFonts w:ascii="Arial" w:eastAsia="Arial" w:hAnsi="Arial" w:cs="Arial"/>
          <w:color w:val="000000"/>
          <w:sz w:val="24"/>
          <w:szCs w:val="24"/>
        </w:rPr>
        <w:t xml:space="preserve">La mayoría enumeró las pruebas que habrían permitido acreditar los hechos. Entre ellas mencionó testimonios de distribuciones masivas, certificaciones de páginas y redes, y actas o fe de hechos levantadas en diversos puntos del país.</w:t>
      </w:r>
      <w:r>
        <w:rPr>
          <w:rFonts w:ascii="Arial" w:eastAsia="Arial" w:hAnsi="Arial" w:cs="Arial"/>
          <w:color w:val="000000"/>
          <w:sz w:val="24"/>
          <w:szCs w:val="24"/>
          <w:vertAlign w:val="superscript"/>
        </w:rPr>
        <w:footnoteReference w:id="405"/>
      </w:r>
      <w:r>
        <w:rPr>
          <w:rFonts w:ascii="Arial" w:eastAsia="Arial" w:hAnsi="Arial" w:cs="Arial"/>
          <w:color w:val="000000"/>
          <w:sz w:val="24"/>
          <w:szCs w:val="24"/>
        </w:rPr>
        <w:t xml:space="preserve"> La mayoría calificó esas probanzas como ejemplos de lo que pudo aportarse y contrastó con ellas los elementos mínimos que acompañaban el expediente.</w:t>
      </w:r>
      <w:r>
        <w:rPr>
          <w:rFonts w:ascii="Arial" w:eastAsia="Arial" w:hAnsi="Arial" w:cs="Arial"/>
          <w:color w:val="000000"/>
          <w:sz w:val="24"/>
          <w:szCs w:val="24"/>
          <w:vertAlign w:val="superscript"/>
        </w:rPr>
        <w:footnoteReference w:id="406"/>
      </w:r>
      <w:r>
        <w:rPr>
          <w:rFonts w:ascii="Arial" w:eastAsia="Arial" w:hAnsi="Arial" w:cs="Arial"/>
          <w:color w:val="000000"/>
          <w:sz w:val="24"/>
          <w:szCs w:val="24"/>
        </w:rPr>
        <w:t xml:space="preserve"> Esta enumeración se aproxima a la identificación de resultados probatorios mínimos que Ferrer Beltrán propone como vía para formular estándares.</w:t>
      </w:r>
      <w:r>
        <w:rPr>
          <w:rFonts w:ascii="Arial" w:eastAsia="Arial" w:hAnsi="Arial" w:cs="Arial"/>
          <w:color w:val="000000"/>
          <w:sz w:val="24"/>
          <w:szCs w:val="24"/>
          <w:vertAlign w:val="superscript"/>
        </w:rPr>
        <w:footnoteReference w:id="407"/>
      </w:r>
      <w:r>
        <w:rPr>
          <w:rFonts w:ascii="Arial" w:eastAsia="Arial" w:hAnsi="Arial" w:cs="Arial"/>
          <w:color w:val="000000"/>
          <w:sz w:val="24"/>
          <w:szCs w:val="24"/>
        </w:rPr>
        <w:t xml:space="preserve"> Sin embargo, la sentencia presenta esa enumeración como una ilustración casuística y no como una regla general. Por ello resulta imposible saber cuántas de esas pruebas habrían bastado. La mayoría concluyó que ningún razonamiento lógico resistía una hipótesis alternativa, de modo que los elementos resultaban insuficientes aun mediante la prueba indiciaria.</w:t>
      </w:r>
      <w:r>
        <w:rPr>
          <w:rFonts w:ascii="Arial" w:eastAsia="Arial" w:hAnsi="Arial" w:cs="Arial"/>
          <w:color w:val="000000"/>
          <w:sz w:val="24"/>
          <w:szCs w:val="24"/>
          <w:vertAlign w:val="superscript"/>
        </w:rPr>
        <w:footnoteReference w:id="408"/>
      </w:r>
      <w:r>
        <w:rPr>
          <w:rFonts w:ascii="Arial" w:eastAsia="Arial" w:hAnsi="Arial" w:cs="Arial"/>
          <w:color w:val="000000"/>
          <w:sz w:val="24"/>
          <w:szCs w:val="24"/>
        </w:rPr>
        <w:t xml:space="preserve"> La sentencia rechazó después la inferencia estadística propuesta por la parte actora.</w:t>
      </w:r>
    </w:p>
    <w:p>
      <w:pPr>
        <w:spacing w:before="0" w:after="0" w:line="360" w:lineRule="auto"/>
        <w:ind w:firstLine="709"/>
        <w:jc w:val="both"/>
      </w:pPr>
      <w:r>
        <w:rPr>
          <w:rFonts w:ascii="Arial" w:eastAsia="Arial" w:hAnsi="Arial" w:cs="Arial"/>
          <w:color w:val="000000"/>
          <w:sz w:val="24"/>
          <w:szCs w:val="24"/>
        </w:rPr>
        <w:t xml:space="preserve">La sentencia sostuvo que no era razonable concluir, con ese caudal, la existencia de una operación indebida con impacto en trece millones de votantes.</w:t>
      </w:r>
      <w:r>
        <w:rPr>
          <w:rFonts w:ascii="Arial" w:eastAsia="Arial" w:hAnsi="Arial" w:cs="Arial"/>
          <w:color w:val="000000"/>
          <w:sz w:val="24"/>
          <w:szCs w:val="24"/>
          <w:vertAlign w:val="superscript"/>
        </w:rPr>
        <w:footnoteReference w:id="409"/>
      </w:r>
      <w:r>
        <w:rPr>
          <w:rFonts w:ascii="Arial" w:eastAsia="Arial" w:hAnsi="Arial" w:cs="Arial"/>
          <w:color w:val="000000"/>
          <w:sz w:val="24"/>
          <w:szCs w:val="24"/>
        </w:rPr>
        <w:t xml:space="preserve"> La sentencia añadió que un ejercicio estadístico solo aporta conclusiones sobre fenómenos sociales complejos cuando la variable se presenta de manera reiterada y sistemática a través del tiempo.</w:t>
      </w:r>
      <w:r>
        <w:rPr>
          <w:rFonts w:ascii="Arial" w:eastAsia="Arial" w:hAnsi="Arial" w:cs="Arial"/>
          <w:color w:val="000000"/>
          <w:sz w:val="24"/>
          <w:szCs w:val="24"/>
          <w:vertAlign w:val="superscript"/>
        </w:rPr>
        <w:footnoteReference w:id="410"/>
      </w:r>
      <w:r>
        <w:rPr>
          <w:rFonts w:ascii="Arial" w:eastAsia="Arial" w:hAnsi="Arial" w:cs="Arial"/>
          <w:color w:val="000000"/>
          <w:sz w:val="24"/>
          <w:szCs w:val="24"/>
        </w:rPr>
        <w:t xml:space="preserve"> La sentencia mencionó las pruebas de White, de Breusch-Pagan y de Shapiro-Wilk. Ninguna podía aplicarse, según la sentencia, a un modelo construido a partir de sospechas sin soporte probatorio.</w:t>
      </w:r>
      <w:r>
        <w:rPr>
          <w:rFonts w:ascii="Arial" w:eastAsia="Arial" w:hAnsi="Arial" w:cs="Arial"/>
          <w:color w:val="000000"/>
          <w:sz w:val="24"/>
          <w:szCs w:val="24"/>
          <w:vertAlign w:val="superscript"/>
        </w:rPr>
        <w:footnoteReference w:id="411"/>
      </w:r>
      <w:r>
        <w:rPr>
          <w:rFonts w:ascii="Arial" w:eastAsia="Arial" w:hAnsi="Arial" w:cs="Arial"/>
          <w:color w:val="000000"/>
          <w:sz w:val="24"/>
          <w:szCs w:val="24"/>
        </w:rPr>
        <w:t xml:space="preserve"> La sentencia reiteró, con apoyo en precedentes de la misma elección, que la coincidencia entre las personas ganadoras y las que figuraban en los acordeones era una apreciación subjetiva.</w:t>
      </w:r>
      <w:r>
        <w:rPr>
          <w:rFonts w:ascii="Arial" w:eastAsia="Arial" w:hAnsi="Arial" w:cs="Arial"/>
          <w:color w:val="000000"/>
          <w:sz w:val="24"/>
          <w:szCs w:val="24"/>
          <w:vertAlign w:val="superscript"/>
        </w:rPr>
        <w:footnoteReference w:id="412"/>
      </w:r>
      <w:r>
        <w:rPr>
          <w:rFonts w:ascii="Arial" w:eastAsia="Arial" w:hAnsi="Arial" w:cs="Arial"/>
          <w:color w:val="000000"/>
          <w:sz w:val="24"/>
          <w:szCs w:val="24"/>
        </w:rPr>
        <w:t xml:space="preserve"> La mayoría rechazó una inferencia estadística sin base empírica y no la probabilidad como tal. Esa distinción es compatible con el tercer requisito metodológico, que privilegia la probabilidad inductiva sobre la matemática. El problema del razonamiento mayoritario se encuentra en otro lugar.</w:t>
      </w:r>
    </w:p>
    <w:p>
      <w:pPr>
        <w:spacing w:before="0" w:after="0" w:line="360" w:lineRule="auto"/>
        <w:ind w:firstLine="709"/>
        <w:jc w:val="both"/>
      </w:pPr>
      <w:r>
        <w:rPr>
          <w:rFonts w:ascii="Arial" w:eastAsia="Arial" w:hAnsi="Arial" w:cs="Arial"/>
          <w:color w:val="000000"/>
          <w:sz w:val="24"/>
          <w:szCs w:val="24"/>
        </w:rPr>
        <w:t xml:space="preserve">La sentencia descartó cada inferencia por separado sin indicar qué grado de corroboración del conjunto habría sido suficiente. El voto de Rodríguez Mondragón calificó esa operación como una fragmentación artificial del análisis probatorio.</w:t>
      </w:r>
      <w:r>
        <w:rPr>
          <w:rFonts w:ascii="Arial" w:eastAsia="Arial" w:hAnsi="Arial" w:cs="Arial"/>
          <w:color w:val="000000"/>
          <w:sz w:val="24"/>
          <w:szCs w:val="24"/>
          <w:vertAlign w:val="superscript"/>
        </w:rPr>
        <w:footnoteReference w:id="413"/>
      </w:r>
      <w:r>
        <w:rPr>
          <w:rFonts w:ascii="Arial" w:eastAsia="Arial" w:hAnsi="Arial" w:cs="Arial"/>
          <w:color w:val="000000"/>
          <w:sz w:val="24"/>
          <w:szCs w:val="24"/>
        </w:rPr>
        <w:t xml:space="preserve"> Las consideraciones conclusivas de la mayoría permiten identificar el umbral que efectivamente aplicó. Según la sentencia, las pruebas eran a lo sumo una presunción abstracta, lejos de los medios de convicción irrefutables que denominó presunción concreta.</w:t>
      </w:r>
      <w:r>
        <w:rPr>
          <w:rFonts w:ascii="Arial" w:eastAsia="Arial" w:hAnsi="Arial" w:cs="Arial"/>
          <w:color w:val="000000"/>
          <w:sz w:val="24"/>
          <w:szCs w:val="24"/>
          <w:vertAlign w:val="superscript"/>
        </w:rPr>
        <w:footnoteReference w:id="414"/>
      </w:r>
      <w:r>
        <w:rPr>
          <w:rFonts w:ascii="Arial" w:eastAsia="Arial" w:hAnsi="Arial" w:cs="Arial"/>
          <w:color w:val="000000"/>
          <w:sz w:val="24"/>
          <w:szCs w:val="24"/>
        </w:rPr>
        <w:t xml:space="preserve"> La sentencia afirmó que no existían elementos de convicción inequívocos sobre la elaboración masiva, la distribución nacional y el impacto objetivo en el resultado. La sentencia sostuvo que la valoración racional descarta tener por existentes los hechos por la simple creencia de que ocurrieron o por un grado de probabilidad de su configuración. La sentencia agregó que la pluralidad de indicios no satisfacía el estándar de armonía y concordancia, y que la prueba indiciaria no producía convicción sobre un hecho verdadero y materializado. La sentencia añadió después un vocabulario distinto.</w:t>
      </w:r>
    </w:p>
    <w:p>
      <w:pPr>
        <w:spacing w:before="0" w:after="0" w:line="360" w:lineRule="auto"/>
        <w:ind w:firstLine="709"/>
        <w:jc w:val="both"/>
      </w:pPr>
      <w:r>
        <w:rPr>
          <w:rFonts w:ascii="Arial" w:eastAsia="Arial" w:hAnsi="Arial" w:cs="Arial"/>
          <w:color w:val="000000"/>
          <w:sz w:val="24"/>
          <w:szCs w:val="24"/>
        </w:rPr>
        <w:t xml:space="preserve">En los párrafos siguientes la sentencia exigió una reconstrucción racional y coherente que justificara epistemológicamente la acreditación del hecho.</w:t>
      </w:r>
      <w:r>
        <w:rPr>
          <w:rFonts w:ascii="Arial" w:eastAsia="Arial" w:hAnsi="Arial" w:cs="Arial"/>
          <w:color w:val="000000"/>
          <w:sz w:val="24"/>
          <w:szCs w:val="24"/>
          <w:vertAlign w:val="superscript"/>
        </w:rPr>
        <w:footnoteReference w:id="415"/>
      </w:r>
      <w:r>
        <w:rPr>
          <w:rFonts w:ascii="Arial" w:eastAsia="Arial" w:hAnsi="Arial" w:cs="Arial"/>
          <w:color w:val="000000"/>
          <w:sz w:val="24"/>
          <w:szCs w:val="24"/>
        </w:rPr>
        <w:t xml:space="preserve"> La mayoría concluyó que el acervo, aunque extenso, no aportaba elementos fiables, pertinentes, creíbles ni suficientes para justificar racionalmente la verdad del hecho afirmado.</w:t>
      </w:r>
      <w:r>
        <w:rPr>
          <w:rFonts w:ascii="Arial" w:eastAsia="Arial" w:hAnsi="Arial" w:cs="Arial"/>
          <w:color w:val="000000"/>
          <w:sz w:val="24"/>
          <w:szCs w:val="24"/>
          <w:vertAlign w:val="superscript"/>
        </w:rPr>
        <w:footnoteReference w:id="416"/>
      </w:r>
      <w:r>
        <w:rPr>
          <w:rFonts w:ascii="Arial" w:eastAsia="Arial" w:hAnsi="Arial" w:cs="Arial"/>
          <w:color w:val="000000"/>
          <w:sz w:val="24"/>
          <w:szCs w:val="24"/>
        </w:rPr>
        <w:t xml:space="preserve"> En este conjunto de expresiones coexisten tres vocabularios distintos. El primer vocabulario es psicológico y habla de la convicción que el acervo produce en el órgano. El segundo vocabulario es epistémico y habla de la justificación racional que las pruebas prestan a la hipótesis. El tercer vocabulario es de certeza absoluta y habla de irrefutabilidad e inequivocidad de los medios de convicción. La coexistencia de esos vocabularios tiene consecuencias precisas. El vocabulario epistémico de los párrafos 111 a 113 satisface el primer requisito metodológico, porque remite a la justificación que el acervo presta a la hipótesis.</w:t>
      </w:r>
    </w:p>
    <w:p>
      <w:pPr>
        <w:spacing w:before="0" w:after="0" w:line="360" w:lineRule="auto"/>
        <w:ind w:firstLine="709"/>
        <w:jc w:val="both"/>
      </w:pPr>
      <w:r>
        <w:rPr>
          <w:rFonts w:ascii="Arial" w:eastAsia="Arial" w:hAnsi="Arial" w:cs="Arial"/>
          <w:color w:val="000000"/>
          <w:sz w:val="24"/>
          <w:szCs w:val="24"/>
        </w:rPr>
        <w:t xml:space="preserve">El vocabulario psicológico incumple el primer requisito metodológico, porque remite al estado mental del órgano, del mismo modo que el artículo 16, párrafo 3, de la ley de medios. El vocabulario de la irrefutabilidad plantea un problema distinto. Exigir medios de convicción irrefutables e inequívocos equivale a exigir certeza. Esa exigencia resulta incompatible con el carácter siempre probabilístico de la conclusión probatoria que Ferrer Beltrán subraya.</w:t>
      </w:r>
      <w:r>
        <w:rPr>
          <w:rFonts w:ascii="Arial" w:eastAsia="Arial" w:hAnsi="Arial" w:cs="Arial"/>
          <w:color w:val="000000"/>
          <w:sz w:val="24"/>
          <w:szCs w:val="24"/>
          <w:vertAlign w:val="superscript"/>
        </w:rPr>
        <w:footnoteReference w:id="417"/>
      </w:r>
      <w:r>
        <w:rPr>
          <w:rFonts w:ascii="Arial" w:eastAsia="Arial" w:hAnsi="Arial" w:cs="Arial"/>
          <w:color w:val="000000"/>
          <w:sz w:val="24"/>
          <w:szCs w:val="24"/>
        </w:rPr>
        <w:t xml:space="preserve"> La misma sentencia afirmó que la valoración racional descarta tener por probado un hecho por un grado de probabilidad de su configuración. Esta afirmación, tomada literalmente, haría imposible cualquier prueba indiciaria, porque todo indicio solo aporta un grado de probabilidad. La propia mayoría definió la prueba indiciaria como la dirigida a demostrar la probabilidad de los indicios. La contradicción entre ambas afirmaciones de la sentencia admite una sola salida razonable desde la teoría de la prueba.</w:t>
      </w:r>
    </w:p>
    <w:p>
      <w:pPr>
        <w:spacing w:before="0" w:after="0" w:line="360" w:lineRule="auto"/>
        <w:ind w:firstLine="709"/>
        <w:jc w:val="both"/>
      </w:pPr>
      <w:r>
        <w:rPr>
          <w:rFonts w:ascii="Arial" w:eastAsia="Arial" w:hAnsi="Arial" w:cs="Arial"/>
          <w:color w:val="000000"/>
          <w:sz w:val="24"/>
          <w:szCs w:val="24"/>
        </w:rPr>
        <w:t xml:space="preserve">La contradicción se disuelve si se entiende que la mayoría rechazó la mera posibilidad y no la probabilidad cualificada. Esa lectura exige, sin embargo, una reconstrucción que la sentencia no ofrece. Ninguno de los tres vocabularios indica qué resultado probatorio mínimo debía alcanzarse. En consecuencia, el umbral queda sin definición. El voto particular del magistrado Rodríguez Mondragón formuló este diagnóstico en términos explícitos. El magistrado sostuvo que la mayoría confundió el requisito legal de que las irregularidades estén plenamente acreditadas con la aplicación de un estándar probatorio específico.</w:t>
      </w:r>
      <w:r>
        <w:rPr>
          <w:rFonts w:ascii="Arial" w:eastAsia="Arial" w:hAnsi="Arial" w:cs="Arial"/>
          <w:color w:val="000000"/>
          <w:sz w:val="24"/>
          <w:szCs w:val="24"/>
          <w:vertAlign w:val="superscript"/>
        </w:rPr>
        <w:footnoteReference w:id="418"/>
      </w:r>
      <w:r>
        <w:rPr>
          <w:rFonts w:ascii="Arial" w:eastAsia="Arial" w:hAnsi="Arial" w:cs="Arial"/>
          <w:color w:val="000000"/>
          <w:sz w:val="24"/>
          <w:szCs w:val="24"/>
        </w:rPr>
        <w:t xml:space="preserve"> El magistrado afirmó que resulta revelador que la mayoría nunca explicite qué estándar aplica, pues solo exige prueba plena o un convencimiento pleno. El magistrado agregó que la ausencia de una definición del estándar encubre una aplicación mecánica e irreflexiva de certeza absoluta.</w:t>
      </w:r>
      <w:r>
        <w:rPr>
          <w:rFonts w:ascii="Arial" w:eastAsia="Arial" w:hAnsi="Arial" w:cs="Arial"/>
          <w:color w:val="000000"/>
          <w:sz w:val="24"/>
          <w:szCs w:val="24"/>
          <w:vertAlign w:val="superscript"/>
        </w:rPr>
        <w:footnoteReference w:id="419"/>
      </w:r>
    </w:p>
    <w:p>
      <w:pPr>
        <w:spacing w:before="0" w:after="0" w:line="360" w:lineRule="auto"/>
        <w:ind w:firstLine="709"/>
        <w:jc w:val="both"/>
      </w:pPr>
      <w:r>
        <w:rPr>
          <w:rFonts w:ascii="Arial" w:eastAsia="Arial" w:hAnsi="Arial" w:cs="Arial"/>
          <w:color w:val="000000"/>
          <w:sz w:val="24"/>
          <w:szCs w:val="24"/>
        </w:rPr>
        <w:t xml:space="preserve">El análisis de los tres vocabularios respalda la lectura del magistrado en lo que se refiere a la ausencia de definición. Sin embargo, el alcance de esa lectura debe matizarse. La mayoría sí enunció criterios de valoración controlables sobre los indicios, las inferencias y el contraste de hipótesis. Por ello el déficit está en la determinación del umbral y no en la racionalidad del método. La sentencia ordenó el cómo de la valoración con un rigor mayor que el de los precedentes anteriores, pero dejó indeterminado el cuánto de la decisión. Esa es la forma que adopta el error de categoría en 2025. El cotejo con el SUP-JRC-487/2000 permite medir qué cambió y qué permaneció en veinticinco años. En el plano del método, el cambio entre ambas sentencias es notable y revela una maduración de la doctrina jurisdiccional.</w:t>
      </w:r>
    </w:p>
    <w:p>
      <w:pPr>
        <w:spacing w:before="0" w:after="0" w:line="360" w:lineRule="auto"/>
        <w:ind w:firstLine="709"/>
        <w:jc w:val="both"/>
      </w:pPr>
      <w:r>
        <w:rPr>
          <w:rFonts w:ascii="Arial" w:eastAsia="Arial" w:hAnsi="Arial" w:cs="Arial"/>
          <w:color w:val="000000"/>
          <w:sz w:val="24"/>
          <w:szCs w:val="24"/>
        </w:rPr>
        <w:t xml:space="preserve">La sentencia de Tabasco declaró un método de valoración en dos etapas, individual y concatenada, y aplicó criterios racionales caso por caso.</w:t>
      </w:r>
      <w:r>
        <w:rPr>
          <w:rFonts w:ascii="Arial" w:eastAsia="Arial" w:hAnsi="Arial" w:cs="Arial"/>
          <w:color w:val="000000"/>
          <w:sz w:val="24"/>
          <w:szCs w:val="24"/>
          <w:vertAlign w:val="superscript"/>
        </w:rPr>
        <w:footnoteReference w:id="420"/>
      </w:r>
      <w:r>
        <w:rPr>
          <w:rFonts w:ascii="Arial" w:eastAsia="Arial" w:hAnsi="Arial" w:cs="Arial"/>
          <w:color w:val="000000"/>
          <w:sz w:val="24"/>
          <w:szCs w:val="24"/>
        </w:rPr>
        <w:t xml:space="preserve"> La sentencia de 2025 formuló, en cambio, un catálogo general de requisitos sobre la prueba de los indicios, su pluralidad, su concomitancia y su interrelación. Ese catálogo comprende la razonabilidad de las inferencias y el contraste de hipótesis. En el plano de la suficiencia, el vocabulario permaneció. En 2000 la Sala afirmó que ciertas pruebas le permitían arribar al pleno convencimiento y que otras no producían convicción alguna.</w:t>
      </w:r>
      <w:r>
        <w:rPr>
          <w:rFonts w:ascii="Arial" w:eastAsia="Arial" w:hAnsi="Arial" w:cs="Arial"/>
          <w:color w:val="000000"/>
          <w:sz w:val="24"/>
          <w:szCs w:val="24"/>
          <w:vertAlign w:val="superscript"/>
        </w:rPr>
        <w:footnoteReference w:id="421"/>
      </w:r>
      <w:r>
        <w:rPr>
          <w:rFonts w:ascii="Arial" w:eastAsia="Arial" w:hAnsi="Arial" w:cs="Arial"/>
          <w:color w:val="000000"/>
          <w:sz w:val="24"/>
          <w:szCs w:val="24"/>
        </w:rPr>
        <w:t xml:space="preserve"> En 2025 la mayoría afirmó que únicamente tenía convicción sobre la existencia de algunos acordeones y que la prueba indiciaria no producía convicción.</w:t>
      </w:r>
      <w:r>
        <w:rPr>
          <w:rFonts w:ascii="Arial" w:eastAsia="Arial" w:hAnsi="Arial" w:cs="Arial"/>
          <w:color w:val="000000"/>
          <w:sz w:val="24"/>
          <w:szCs w:val="24"/>
          <w:vertAlign w:val="superscript"/>
        </w:rPr>
        <w:footnoteReference w:id="422"/>
      </w:r>
      <w:r>
        <w:rPr>
          <w:rFonts w:ascii="Arial" w:eastAsia="Arial" w:hAnsi="Arial" w:cs="Arial"/>
          <w:color w:val="000000"/>
          <w:sz w:val="24"/>
          <w:szCs w:val="24"/>
        </w:rPr>
        <w:t xml:space="preserve"> Por tanto, el lenguaje de la convicción atravesó intacto el cuarto de siglo que separa ambas decisiones. La formulación del impacto sobre el resultado sí cambió entre ambas sentencias.</w:t>
      </w:r>
    </w:p>
    <w:p>
      <w:pPr>
        <w:spacing w:before="0" w:after="0" w:line="360" w:lineRule="auto"/>
        <w:ind w:firstLine="709"/>
        <w:jc w:val="both"/>
      </w:pPr>
      <w:r>
        <w:rPr>
          <w:rFonts w:ascii="Arial" w:eastAsia="Arial" w:hAnsi="Arial" w:cs="Arial"/>
          <w:color w:val="000000"/>
          <w:sz w:val="24"/>
          <w:szCs w:val="24"/>
        </w:rPr>
        <w:t xml:space="preserve">En Tabasco bastó que el resultado pudiera haber sido otro. En 2025 se exigió comprobar plenamente que el alcance de las guías hubiera podido tener un impacto significativo en la intención del voto.</w:t>
      </w:r>
      <w:r>
        <w:rPr>
          <w:rFonts w:ascii="Arial" w:eastAsia="Arial" w:hAnsi="Arial" w:cs="Arial"/>
          <w:color w:val="000000"/>
          <w:sz w:val="24"/>
          <w:szCs w:val="24"/>
          <w:vertAlign w:val="superscript"/>
        </w:rPr>
        <w:footnoteReference w:id="423"/>
      </w:r>
      <w:r>
        <w:rPr>
          <w:rFonts w:ascii="Arial" w:eastAsia="Arial" w:hAnsi="Arial" w:cs="Arial"/>
          <w:color w:val="000000"/>
          <w:sz w:val="24"/>
          <w:szCs w:val="24"/>
        </w:rPr>
        <w:t xml:space="preserve"> Ambas formulaciones emplean el lenguaje de la posibilidad y ninguna deriva de una regla general previa. La comparación confirma la hipótesis del análisis. El avance en el método es real y debe reconocerse, pues la sentencia de 2025 ofrece criterios que permiten reconstruir y controlar las inferencias. Ese avance no se trasladó, sin embargo, al plano de la suficiencia. En ambos casos la Sala expresó el resultado como estado de convicción y dejó sin definir el grado de corroboración exigido. En ambos casos el órgano se dividió sobre el mismo acervo, sin que una regla previa permitiera arbitrar entre las lecturas opuestas.</w:t>
      </w:r>
    </w:p>
    <w:p>
      <w:pPr>
        <w:spacing w:before="0" w:after="0" w:line="360" w:lineRule="auto"/>
        <w:ind w:firstLine="709"/>
        <w:jc w:val="both"/>
      </w:pPr>
      <w:r>
        <w:rPr>
          <w:rFonts w:ascii="Arial" w:eastAsia="Arial" w:hAnsi="Arial" w:cs="Arial"/>
          <w:color w:val="000000"/>
          <w:sz w:val="24"/>
          <w:szCs w:val="24"/>
        </w:rPr>
        <w:t xml:space="preserve">La diferencia de sentido entre las sentencias de 2000 y 2025 no altera esta conclusión. Lo que persiste es una estructura de decisión en la que el método racional convive con un umbral indefinido. Esa persistencia es lo que esta investigación denomina error de categoría. El error consiste en tratar los criterios de valoración como si resolvieran por sí mismos la suficiencia de la prueba. La persistencia del error no puede atribuirse únicamente a la jurisprudencia. El texto legal que sustenta esa jurisprudencia no ha cambiado. En consecuencia, la responsabilidad del déficit se comparte entre el legislador, que no definió el umbral, y los tribunales, que no lo formularon por vía interpretativa. La historia legislativa de la ley de medios confirma que el legislador tuvo múltiples ocasiones para corregir la cláusula y no lo hizo.</w:t>
      </w:r>
    </w:p>
    <w:p>
      <w:pPr>
        <w:spacing w:before="0" w:after="0" w:line="360" w:lineRule="auto"/>
        <w:ind w:firstLine="709"/>
        <w:jc w:val="both"/>
      </w:pPr>
      <w:r>
        <w:rPr>
          <w:rFonts w:ascii="Arial" w:eastAsia="Arial" w:hAnsi="Arial" w:cs="Arial"/>
          <w:color w:val="000000"/>
          <w:sz w:val="24"/>
          <w:szCs w:val="24"/>
        </w:rPr>
        <w:t xml:space="preserve">La ley de medios ha sido reformada en numerosas ocasiones desde 2008. Entre ellas figuran los decretos publicados en el </w:t>
      </w:r>
      <w:r>
        <w:rPr>
          <w:rFonts w:ascii="Arial" w:eastAsia="Arial" w:hAnsi="Arial" w:cs="Arial"/>
          <w:i/>
          <w:iCs/>
          <w:color w:val="000000"/>
          <w:sz w:val="24"/>
          <w:szCs w:val="24"/>
        </w:rPr>
        <w:t xml:space="preserve">Diario Oficial</w:t>
      </w:r>
      <w:r>
        <w:rPr>
          <w:rFonts w:ascii="Arial" w:eastAsia="Arial" w:hAnsi="Arial" w:cs="Arial"/>
          <w:color w:val="000000"/>
          <w:sz w:val="24"/>
          <w:szCs w:val="24"/>
        </w:rPr>
        <w:t xml:space="preserve"> el 1 de julio de 2008, el 23 de mayo de 2014, el 19 de enero de 2018, el 13 de abril de 2020, el 15 de octubre de 2024 y el 14 de noviembre de 2025.</w:t>
      </w:r>
      <w:r>
        <w:rPr>
          <w:rFonts w:ascii="Arial" w:eastAsia="Arial" w:hAnsi="Arial" w:cs="Arial"/>
          <w:color w:val="000000"/>
          <w:sz w:val="24"/>
          <w:szCs w:val="24"/>
          <w:vertAlign w:val="superscript"/>
        </w:rPr>
        <w:footnoteReference w:id="424"/>
      </w:r>
      <w:r>
        <w:rPr>
          <w:rFonts w:ascii="Arial" w:eastAsia="Arial" w:hAnsi="Arial" w:cs="Arial"/>
          <w:color w:val="000000"/>
          <w:sz w:val="24"/>
          <w:szCs w:val="24"/>
        </w:rPr>
        <w:t xml:space="preserve"> La compilación oficial no registra reformas a los párrafos 1 a 3 del artículo 16. La reforma constitucional de 2014 incorporó a la base VI del artículo 41 un sistema de nulidades por violaciones graves, dolosas y determinantes.</w:t>
      </w:r>
      <w:r>
        <w:rPr>
          <w:rFonts w:ascii="Arial" w:eastAsia="Arial" w:hAnsi="Arial" w:cs="Arial"/>
          <w:color w:val="000000"/>
          <w:sz w:val="24"/>
          <w:szCs w:val="24"/>
          <w:vertAlign w:val="superscript"/>
        </w:rPr>
        <w:footnoteReference w:id="425"/>
      </w:r>
      <w:r>
        <w:rPr>
          <w:rFonts w:ascii="Arial" w:eastAsia="Arial" w:hAnsi="Arial" w:cs="Arial"/>
          <w:color w:val="000000"/>
          <w:sz w:val="24"/>
          <w:szCs w:val="24"/>
        </w:rPr>
        <w:t xml:space="preserve"> Esas violaciones deben acreditarse de manera objetiva y material. El precepto presumió la determinancia cuando la diferencia entre el primero y el segundo lugar sea menor al cinco por ciento. El artículo 78 bis de la ley de medios, adicionado en mayo de 2014, reprodujo esas fórmulas.</w:t>
      </w:r>
      <w:r>
        <w:rPr>
          <w:rFonts w:ascii="Arial" w:eastAsia="Arial" w:hAnsi="Arial" w:cs="Arial"/>
          <w:color w:val="000000"/>
          <w:sz w:val="24"/>
          <w:szCs w:val="24"/>
          <w:vertAlign w:val="superscript"/>
        </w:rPr>
        <w:footnoteReference w:id="426"/>
      </w:r>
      <w:r>
        <w:rPr>
          <w:rFonts w:ascii="Arial" w:eastAsia="Arial" w:hAnsi="Arial" w:cs="Arial"/>
          <w:color w:val="000000"/>
          <w:sz w:val="24"/>
          <w:szCs w:val="24"/>
        </w:rPr>
        <w:t xml:space="preserve"> Esas fórmulas constitucionales y legales no alteraron la cláusula híbrida del artículo 16.</w:t>
      </w:r>
    </w:p>
    <w:p>
      <w:pPr>
        <w:spacing w:before="0" w:after="0" w:line="360" w:lineRule="auto"/>
        <w:ind w:firstLine="709"/>
        <w:jc w:val="both"/>
      </w:pPr>
      <w:r>
        <w:rPr>
          <w:rFonts w:ascii="Arial" w:eastAsia="Arial" w:hAnsi="Arial" w:cs="Arial"/>
          <w:color w:val="000000"/>
          <w:sz w:val="24"/>
          <w:szCs w:val="24"/>
        </w:rPr>
        <w:t xml:space="preserve">La exigencia de acreditación objetiva y material pudo haber orientado el umbral hacia propiedades del acervo. Esa exigencia, sin embargo, no identifica los resultados probatorios mínimos que deben alcanzarse. La presunción del cinco por ciento distribuye la carga respecto de la determinancia, pero no define la suficiencia de la prueba de las violaciones. En 2024, el artículo 77 Ter reprodujo para la elección judicial la fórmula de las causales plenamente acreditadas y determinantes, presente en el artículo 78 vigente.</w:t>
      </w:r>
      <w:r>
        <w:rPr>
          <w:rFonts w:ascii="Arial" w:eastAsia="Arial" w:hAnsi="Arial" w:cs="Arial"/>
          <w:color w:val="000000"/>
          <w:sz w:val="24"/>
          <w:szCs w:val="24"/>
          <w:vertAlign w:val="superscript"/>
        </w:rPr>
        <w:footnoteReference w:id="427"/>
      </w:r>
      <w:r>
        <w:rPr>
          <w:rFonts w:ascii="Arial" w:eastAsia="Arial" w:hAnsi="Arial" w:cs="Arial"/>
          <w:color w:val="000000"/>
          <w:sz w:val="24"/>
          <w:szCs w:val="24"/>
        </w:rPr>
        <w:t xml:space="preserve"> Ninguna de estas reformas modificó la cláusula híbrida ni introdujo un estándar de prueba. En consecuencia, cada reforma reprodujo la indeterminación del umbral en lugar de corregirla. La reforma judicial de 2024 agravó incluso el problema en lugar de resolverlo. Ese agravamiento se explica por el tipo de conductas que la nueva causal sanciona.</w:t>
      </w:r>
    </w:p>
    <w:p>
      <w:pPr>
        <w:spacing w:before="0" w:after="0" w:line="360" w:lineRule="auto"/>
        <w:ind w:firstLine="709"/>
        <w:jc w:val="both"/>
      </w:pPr>
      <w:r>
        <w:rPr>
          <w:rFonts w:ascii="Arial" w:eastAsia="Arial" w:hAnsi="Arial" w:cs="Arial"/>
          <w:color w:val="000000"/>
          <w:sz w:val="24"/>
          <w:szCs w:val="24"/>
        </w:rPr>
        <w:t xml:space="preserve">El artículo 77 Ter sanciona conductas como el uso de financiamiento distinto del legalmente permitido y el beneficio o perjuicio indebido de una campaña por partidos políticos o personas servidoras públicas. Estas conductas suelen ser de difícil prueba directa. La propia mayoría reconoció esa dificultad al admitir que era poco probable que la parte actora contara con pruebas directas de cada hecho.</w:t>
      </w:r>
      <w:r>
        <w:rPr>
          <w:rFonts w:ascii="Arial" w:eastAsia="Arial" w:hAnsi="Arial" w:cs="Arial"/>
          <w:color w:val="000000"/>
          <w:sz w:val="24"/>
          <w:szCs w:val="24"/>
          <w:vertAlign w:val="superscript"/>
        </w:rPr>
        <w:footnoteReference w:id="428"/>
      </w:r>
      <w:r>
        <w:rPr>
          <w:rFonts w:ascii="Arial" w:eastAsia="Arial" w:hAnsi="Arial" w:cs="Arial"/>
          <w:color w:val="000000"/>
          <w:sz w:val="24"/>
          <w:szCs w:val="24"/>
        </w:rPr>
        <w:t xml:space="preserve"> El legislador conservó, sin embargo, la plena acreditación sin precisar la corroboración que la satisface con prueba indiciaria. El SUP-JIN-194/2025 muestra el efecto de esa omisión. La parte actora pidió un estándar flexible, el proyecto rechazado propuso la probabilidad prevalente y la mayoría exigió medios de convicción irrefutables. Tres umbrales distintos se sostuvieron sobre el mismo texto legal, sin que este permitiera preferir uno sobre otro. Por consiguiente, la indeterminación se resolvió por mayoría de votos, como en el caso Tabasco.</w:t>
      </w:r>
    </w:p>
    <w:p>
      <w:pPr>
        <w:spacing w:before="0" w:after="0" w:line="360" w:lineRule="auto"/>
        <w:ind w:firstLine="709"/>
        <w:jc w:val="both"/>
      </w:pPr>
      <w:r>
        <w:rPr>
          <w:rFonts w:ascii="Arial" w:eastAsia="Arial" w:hAnsi="Arial" w:cs="Arial"/>
          <w:color w:val="000000"/>
          <w:sz w:val="24"/>
          <w:szCs w:val="24"/>
        </w:rPr>
        <w:t xml:space="preserve">El análisis del SUP-JIN-194/2025 permite formular cuatro conclusiones. La primera conclusión sostiene que la sentencia avanza respecto del caso Tabasco en el método, pues enuncia requisitos controlables y exige el contraste de hipótesis. La segunda conclusión sostiene que ese avance no alcanzó el plano de la suficiencia. El resultado se expresó en tres vocabularios, psicológico, epistémico y de certeza, sin identificar resultados probatorios mínimos. La tercera conclusión sostiene que la enumeración de las pruebas que pudieron aportarse insinúa un estándar formulado en términos de resultados, pero la sentencia no lo generalizó. La cuarta conclusión sostiene que el artículo 16 no ha cambiado desde 1996 y que las reformas reprodujeron la plena acreditación sin definirla. Un cuarto de siglo después, el error de categoría persiste en su forma más depurada, que es un método racional sin regla de decisión. El propio órgano dejó constancia de esa carencia a través de los votos particulares.</w:t>
      </w:r>
    </w:p>
    <w:p>
      <w:pPr>
        <w:spacing w:before="0" w:after="0" w:line="360" w:lineRule="auto"/>
        <w:ind w:firstLine="709"/>
        <w:jc w:val="both"/>
      </w:pPr>
      <w:r>
        <w:rPr>
          <w:rFonts w:ascii="Arial" w:eastAsia="Arial" w:hAnsi="Arial" w:cs="Arial"/>
          <w:color w:val="000000"/>
          <w:sz w:val="24"/>
          <w:szCs w:val="24"/>
        </w:rPr>
        <w:t xml:space="preserve">El voto del magistrado Rodríguez Mondragón identificó la ausencia de un estándar explícito. Ese voto propuso estándares diferenciados para los distintos hechos del caso. El voto criticó la fragmentación del análisis probatorio que practicó la mayoría al examinar cada indicio. Esas tres aportaciones colocan al voto de 2025 en un plano distinto del disenso formulado en el caso Tabasco. El voto de Tabasco discutió la solidez de cada inferencia de la mayoría, pero no planteó la necesidad de un umbral general. El voto de 2025, en cambio, plantea expresamente esa necesidad. Por consiguiente, el voto de 2025 formula una crítica interna al estándar de prueba que el voto de 2000 no formuló. La pregunta decisiva es si esa propuesta supera el error de categoría o si conserva la convicción como medida del resultado.</w:t>
      </w:r>
    </w:p>
    <w:p>
      <w:pPr>
        <w:spacing w:before="0" w:after="0" w:line="360" w:lineRule="auto"/>
        <w:jc w:val="left"/>
      </w:pPr>
    </w:p>
    <w:p>
      <w:pPr>
        <w:pStyle w:val="Ttulo2"/>
        <w:keepNext/>
        <w:spacing w:before="0" w:after="0" w:line="360" w:lineRule="auto"/>
        <w:ind w:left="567" w:hanging="284"/>
        <w:jc w:val="left"/>
      </w:pPr>
      <w:bookmarkStart w:id="816" w:name="_Toc9000016"/>
      <w:r>
        <w:rPr>
          <w:rFonts w:ascii="Arial" w:eastAsia="Arial" w:hAnsi="Arial" w:cs="Arial"/>
          <w:color w:val="000000"/>
          <w:sz w:val="24"/>
          <w:szCs w:val="24"/>
        </w:rPr>
        <w:t xml:space="preserve">3.2. </w:t>
      </w:r>
      <w:r>
        <w:rPr>
          <w:rFonts w:ascii="Arial" w:eastAsia="Arial" w:hAnsi="Arial" w:cs="Arial"/>
          <w:i/>
          <w:iCs/>
          <w:color w:val="000000"/>
          <w:sz w:val="24"/>
          <w:szCs w:val="24"/>
        </w:rPr>
        <w:t xml:space="preserve">El voto particular de 2025 frente al de 2000: la aparición de la crítica</w:t>
      </w:r>
      <w:bookmarkEnd w:id="816"/>
    </w:p>
    <w:p>
      <w:pPr>
        <w:spacing w:before="0" w:after="0" w:line="360" w:lineRule="auto"/>
        <w:jc w:val="left"/>
      </w:pPr>
    </w:p>
    <w:p>
      <w:pPr>
        <w:spacing w:before="0" w:after="0" w:line="360" w:lineRule="auto"/>
        <w:ind w:firstLine="0"/>
        <w:jc w:val="both"/>
      </w:pPr>
      <w:r>
        <w:rPr>
          <w:rFonts w:ascii="Arial" w:eastAsia="Arial" w:hAnsi="Arial" w:cs="Arial"/>
          <w:color w:val="000000"/>
          <w:sz w:val="24"/>
          <w:szCs w:val="24"/>
        </w:rPr>
        <w:t xml:space="preserve">El voto particular del magistrado Reyes Rodríguez Mondragón en el expediente SUP-JIN-194/2025 incorpora la reproducción íntegra del proyecto de sentencia que la mayoría rechazó. Ese voto constituye un punto de inflexión dogmático. El voto denuncia formalmente la ausencia de un estándar de prueba y estructura una teoría explícita sobre los umbrales de suficiencia aplicables a la nulidad de comicios. La postura disidente alberga, sin embargo, tres tensiones internas. La primera tensión es que el voto preserva el vocabulario psicologista de la convicción para describir el resultado probatorio. La segunda tensión es que el voto supedita el estándar a la potestad del juzgador de modularlo caso por caso según la naturaleza de la irregularidad. La tercera tensión es que el voto formula la acreditación del impacto determinante mediante pautas que no se ajustan al umbral que el propio proyecto postula como aplicable. Los requisitos metodológicos permiten precisar el alcance y los límites de esa construcción.</w:t>
      </w:r>
    </w:p>
    <w:p>
      <w:pPr>
        <w:spacing w:before="0" w:after="0" w:line="360" w:lineRule="auto"/>
        <w:ind w:firstLine="709"/>
        <w:jc w:val="both"/>
      </w:pPr>
      <w:r>
        <w:rPr>
          <w:rFonts w:ascii="Arial" w:eastAsia="Arial" w:hAnsi="Arial" w:cs="Arial"/>
          <w:color w:val="000000"/>
          <w:sz w:val="24"/>
          <w:szCs w:val="24"/>
        </w:rPr>
        <w:t xml:space="preserve">La sentencia del SUP-JIN-194/2025 fue acompañada por dos votos particulares. Los formularon la magistrada Janine M. Otálora Malassis y el magistrado Reyes Rodríguez Mondragón, que quedaron en minoría.</w:t>
      </w:r>
      <w:r>
        <w:rPr>
          <w:rFonts w:ascii="Arial" w:eastAsia="Arial" w:hAnsi="Arial" w:cs="Arial"/>
          <w:color w:val="000000"/>
          <w:sz w:val="24"/>
          <w:szCs w:val="24"/>
          <w:vertAlign w:val="superscript"/>
        </w:rPr>
        <w:footnoteReference w:id="429"/>
      </w:r>
      <w:r>
        <w:rPr>
          <w:rFonts w:ascii="Arial" w:eastAsia="Arial" w:hAnsi="Arial" w:cs="Arial"/>
          <w:color w:val="000000"/>
          <w:sz w:val="24"/>
          <w:szCs w:val="24"/>
        </w:rPr>
        <w:t xml:space="preserve"> Ambos disidentes habían presentado proyectos que proponían la nulidad de la elección. El de Rodríguez Mondragón correspondía al SUP-JIN-194/2025 y acumulados, y el de Otálora Malassis al SUP-JIN-250/2025 y al SUP-JIN-255/2025, y ambos se rechazaron el 20 de agosto de 2025.</w:t>
      </w:r>
      <w:r>
        <w:rPr>
          <w:rFonts w:ascii="Arial" w:eastAsia="Arial" w:hAnsi="Arial" w:cs="Arial"/>
          <w:color w:val="000000"/>
          <w:sz w:val="24"/>
          <w:szCs w:val="24"/>
          <w:vertAlign w:val="superscript"/>
        </w:rPr>
        <w:footnoteReference w:id="430"/>
      </w:r>
      <w:r>
        <w:rPr>
          <w:rFonts w:ascii="Arial" w:eastAsia="Arial" w:hAnsi="Arial" w:cs="Arial"/>
          <w:color w:val="000000"/>
          <w:sz w:val="24"/>
          <w:szCs w:val="24"/>
        </w:rPr>
        <w:t xml:space="preserve"> El voto de la magistrada Otálora Malassis es breve y sostiene que la elección debió anularse por la vulneración de los principios de libertad y autenticidad del sufragio.</w:t>
      </w:r>
      <w:r>
        <w:rPr>
          <w:rFonts w:ascii="Arial" w:eastAsia="Arial" w:hAnsi="Arial" w:cs="Arial"/>
          <w:color w:val="000000"/>
          <w:sz w:val="24"/>
          <w:szCs w:val="24"/>
          <w:vertAlign w:val="superscript"/>
        </w:rPr>
        <w:footnoteReference w:id="431"/>
      </w:r>
      <w:r>
        <w:rPr>
          <w:rFonts w:ascii="Arial" w:eastAsia="Arial" w:hAnsi="Arial" w:cs="Arial"/>
          <w:color w:val="000000"/>
          <w:sz w:val="24"/>
          <w:szCs w:val="24"/>
        </w:rPr>
        <w:t xml:space="preserve"> En lo sustancial, la magistrada declara compartir los razonamientos del proyecto rechazado de Rodríguez Mondragón. La magistrada afirma que los acordeones evidencian una operación estructural con probable participación de partidos y personas servidoras públicas, aunque sin prueba plena de su responsabilidad directa. La magistrada sostiene que la estrategia tuvo un impacto determinante tanto cuantitativa como cualitativamente.</w:t>
      </w:r>
    </w:p>
    <w:p>
      <w:pPr>
        <w:spacing w:before="0" w:after="0" w:line="360" w:lineRule="auto"/>
        <w:ind w:firstLine="709"/>
        <w:jc w:val="both"/>
      </w:pPr>
      <w:r>
        <w:rPr>
          <w:rFonts w:ascii="Arial" w:eastAsia="Arial" w:hAnsi="Arial" w:cs="Arial"/>
          <w:color w:val="000000"/>
          <w:sz w:val="24"/>
          <w:szCs w:val="24"/>
        </w:rPr>
        <w:t xml:space="preserve">El voto del magistrado Rodríguez Mondragón es, en cambio, extenso y se compone de dos partes. La primera parte, de 51 páginas, contiene el disenso y se funda en el artículo 254, último párrafo, de la </w:t>
      </w:r>
      <w:r>
        <w:rPr>
          <w:rFonts w:ascii="Arial" w:eastAsia="Arial" w:hAnsi="Arial" w:cs="Arial"/>
          <w:i/>
          <w:iCs/>
          <w:color w:val="000000"/>
          <w:sz w:val="24"/>
          <w:szCs w:val="24"/>
        </w:rPr>
        <w:t xml:space="preserve">Ley Orgánica del Poder Judicial de la Federación</w:t>
      </w:r>
      <w:r>
        <w:rPr>
          <w:rFonts w:ascii="Arial" w:eastAsia="Arial" w:hAnsi="Arial" w:cs="Arial"/>
          <w:color w:val="000000"/>
          <w:sz w:val="24"/>
          <w:szCs w:val="24"/>
        </w:rPr>
        <w:t xml:space="preserve">.</w:t>
      </w:r>
      <w:r>
        <w:rPr>
          <w:rFonts w:ascii="Arial" w:eastAsia="Arial" w:hAnsi="Arial" w:cs="Arial"/>
          <w:color w:val="000000"/>
          <w:sz w:val="24"/>
          <w:szCs w:val="24"/>
          <w:vertAlign w:val="superscript"/>
        </w:rPr>
        <w:footnoteReference w:id="432"/>
      </w:r>
      <w:r>
        <w:rPr>
          <w:rFonts w:ascii="Arial" w:eastAsia="Arial" w:hAnsi="Arial" w:cs="Arial"/>
          <w:color w:val="000000"/>
          <w:sz w:val="24"/>
          <w:szCs w:val="24"/>
        </w:rPr>
        <w:t xml:space="preserve"> El autor examina en conjunto las sentencias de la mayoría, porque difieren en su redacción pero convergen en el sentido y en la explicación.</w:t>
      </w:r>
      <w:r>
        <w:rPr>
          <w:rFonts w:ascii="Arial" w:eastAsia="Arial" w:hAnsi="Arial" w:cs="Arial"/>
          <w:color w:val="000000"/>
          <w:sz w:val="24"/>
          <w:szCs w:val="24"/>
          <w:vertAlign w:val="superscript"/>
        </w:rPr>
        <w:footnoteReference w:id="433"/>
      </w:r>
      <w:r>
        <w:rPr>
          <w:rFonts w:ascii="Arial" w:eastAsia="Arial" w:hAnsi="Arial" w:cs="Arial"/>
          <w:color w:val="000000"/>
          <w:sz w:val="24"/>
          <w:szCs w:val="24"/>
        </w:rPr>
        <w:t xml:space="preserve"> El magistrado organiza su disenso en siete puntos, entre los que figuran los estándares probatorios, la valoración de las pruebas, el impacto determinante y la omisión legislativa en la regulación de la elección judicial.</w:t>
      </w:r>
      <w:r>
        <w:rPr>
          <w:rFonts w:ascii="Arial" w:eastAsia="Arial" w:hAnsi="Arial" w:cs="Arial"/>
          <w:color w:val="000000"/>
          <w:sz w:val="24"/>
          <w:szCs w:val="24"/>
          <w:vertAlign w:val="superscript"/>
        </w:rPr>
        <w:footnoteReference w:id="434"/>
      </w:r>
      <w:r>
        <w:rPr>
          <w:rFonts w:ascii="Arial" w:eastAsia="Arial" w:hAnsi="Arial" w:cs="Arial"/>
          <w:color w:val="000000"/>
          <w:sz w:val="24"/>
          <w:szCs w:val="24"/>
        </w:rPr>
        <w:t xml:space="preserve"> La segunda parte reproduce íntegramente las consideraciones del proyecto que sometió al Pleno.</w:t>
      </w:r>
      <w:r>
        <w:rPr>
          <w:rFonts w:ascii="Arial" w:eastAsia="Arial" w:hAnsi="Arial" w:cs="Arial"/>
          <w:color w:val="000000"/>
          <w:sz w:val="24"/>
          <w:szCs w:val="24"/>
          <w:vertAlign w:val="superscript"/>
        </w:rPr>
        <w:footnoteReference w:id="435"/>
      </w:r>
      <w:r>
        <w:rPr>
          <w:rFonts w:ascii="Arial" w:eastAsia="Arial" w:hAnsi="Arial" w:cs="Arial"/>
          <w:color w:val="000000"/>
          <w:sz w:val="24"/>
          <w:szCs w:val="24"/>
        </w:rPr>
        <w:t xml:space="preserve"> Ese proyecto dedica una sección específica al estándar de valoración probatoria.</w:t>
      </w:r>
      <w:r>
        <w:rPr>
          <w:rFonts w:ascii="Arial" w:eastAsia="Arial" w:hAnsi="Arial" w:cs="Arial"/>
          <w:color w:val="000000"/>
          <w:sz w:val="24"/>
          <w:szCs w:val="24"/>
          <w:vertAlign w:val="superscript"/>
        </w:rPr>
        <w:footnoteReference w:id="436"/>
      </w:r>
      <w:r>
        <w:rPr>
          <w:rFonts w:ascii="Arial" w:eastAsia="Arial" w:hAnsi="Arial" w:cs="Arial"/>
          <w:color w:val="000000"/>
          <w:sz w:val="24"/>
          <w:szCs w:val="24"/>
        </w:rPr>
        <w:t xml:space="preserve"> En consecuencia, el voto ofrece una crítica y una alternativa completa de decisión. Esa alternativa descansa en una tesis central sobre los acordeones.</w:t>
      </w:r>
    </w:p>
    <w:p>
      <w:pPr>
        <w:spacing w:before="0" w:after="0" w:line="360" w:lineRule="auto"/>
        <w:ind w:firstLine="709"/>
        <w:jc w:val="both"/>
      </w:pPr>
      <w:r>
        <w:rPr>
          <w:rFonts w:ascii="Arial" w:eastAsia="Arial" w:hAnsi="Arial" w:cs="Arial"/>
          <w:color w:val="000000"/>
          <w:sz w:val="24"/>
          <w:szCs w:val="24"/>
        </w:rPr>
        <w:t xml:space="preserve">La tesis central del voto sostiene que se acreditó una estrategia coordinada, sistemática y generalizada de distribución de acordeones, constitutiva de propaganda electoral prohibida y determinante para el resultado.</w:t>
      </w:r>
      <w:r>
        <w:rPr>
          <w:rFonts w:ascii="Arial" w:eastAsia="Arial" w:hAnsi="Arial" w:cs="Arial"/>
          <w:color w:val="000000"/>
          <w:sz w:val="24"/>
          <w:szCs w:val="24"/>
          <w:vertAlign w:val="superscript"/>
        </w:rPr>
        <w:footnoteReference w:id="437"/>
      </w:r>
      <w:r>
        <w:rPr>
          <w:rFonts w:ascii="Arial" w:eastAsia="Arial" w:hAnsi="Arial" w:cs="Arial"/>
          <w:color w:val="000000"/>
          <w:sz w:val="24"/>
          <w:szCs w:val="24"/>
        </w:rPr>
        <w:t xml:space="preserve"> A juicio del disidente, esa operación actualizó la causal de financiamiento no permitido y la de violación de principios constitucionales. Esa misma operación no actualizó, según el voto, la causal de intervención de partidos políticos o personas servidoras públicas.</w:t>
      </w:r>
      <w:r>
        <w:rPr>
          <w:rFonts w:ascii="Arial" w:eastAsia="Arial" w:hAnsi="Arial" w:cs="Arial"/>
          <w:color w:val="000000"/>
          <w:sz w:val="24"/>
          <w:szCs w:val="24"/>
          <w:vertAlign w:val="superscript"/>
        </w:rPr>
        <w:footnoteReference w:id="438"/>
      </w:r>
      <w:r>
        <w:rPr>
          <w:rFonts w:ascii="Arial" w:eastAsia="Arial" w:hAnsi="Arial" w:cs="Arial"/>
          <w:color w:val="000000"/>
          <w:sz w:val="24"/>
          <w:szCs w:val="24"/>
        </w:rPr>
        <w:t xml:space="preserve"> Esta última conclusión es relevante, porque muestra que el disidente aplicó un estándar diferenciado que en un punto le resultó desfavorable. El análisis sigue ese orden temático. La denuncia se formula en el punto del voto dedicado a los estándares probatorios. Ese punto parte de un diagnóstico de la decisión mayoritaria. Según el disidente, las sentencias exigen una certeza absoluta sobre las irregularidades, pues requieren que las violaciones estén plenamente acreditadas con pruebas que generen convicción total.</w:t>
      </w:r>
      <w:r>
        <w:rPr>
          <w:rFonts w:ascii="Arial" w:eastAsia="Arial" w:hAnsi="Arial" w:cs="Arial"/>
          <w:color w:val="000000"/>
          <w:sz w:val="24"/>
          <w:szCs w:val="24"/>
          <w:vertAlign w:val="superscript"/>
        </w:rPr>
        <w:footnoteReference w:id="439"/>
      </w:r>
    </w:p>
    <w:p>
      <w:pPr>
        <w:spacing w:before="0" w:after="0" w:line="360" w:lineRule="auto"/>
        <w:ind w:firstLine="709"/>
        <w:jc w:val="both"/>
      </w:pPr>
      <w:r>
        <w:rPr>
          <w:rFonts w:ascii="Arial" w:eastAsia="Arial" w:hAnsi="Arial" w:cs="Arial"/>
          <w:color w:val="000000"/>
          <w:sz w:val="24"/>
          <w:szCs w:val="24"/>
        </w:rPr>
        <w:t xml:space="preserve">Según el disidente, las sentencias carecen de metodología probatoria. El voto añade que ignoran la naturaleza de las irregularidades denunciadas y el marco normativo específico de la elección judicial. El núcleo de la crítica es, sin embargo, conceptual. El voto sostiene que la mayoría confunde el requisito legal de que las irregularidades estén plenamente acreditadas con la aplicación de un estándar probatorio específico.</w:t>
      </w:r>
      <w:r>
        <w:rPr>
          <w:rFonts w:ascii="Arial" w:eastAsia="Arial" w:hAnsi="Arial" w:cs="Arial"/>
          <w:color w:val="000000"/>
          <w:sz w:val="24"/>
          <w:szCs w:val="24"/>
          <w:vertAlign w:val="superscript"/>
        </w:rPr>
        <w:footnoteReference w:id="440"/>
      </w:r>
      <w:r>
        <w:rPr>
          <w:rFonts w:ascii="Arial" w:eastAsia="Arial" w:hAnsi="Arial" w:cs="Arial"/>
          <w:color w:val="000000"/>
          <w:sz w:val="24"/>
          <w:szCs w:val="24"/>
        </w:rPr>
        <w:t xml:space="preserve"> Según el voto, esa expresión designa el nivel que se alcanza tras aplicar el estándar y no es un estándar en sí misma. El voto considera revelador que la mayoría nunca explicite qué estándar aplica y se limite a exigir prueba plena o un convencimiento pleno. El voto concluye que la ausencia de definición encubre una aplicación mecánica e irreflexiva de certeza absoluta.</w:t>
      </w:r>
      <w:r>
        <w:rPr>
          <w:rFonts w:ascii="Arial" w:eastAsia="Arial" w:hAnsi="Arial" w:cs="Arial"/>
          <w:color w:val="000000"/>
          <w:sz w:val="24"/>
          <w:szCs w:val="24"/>
          <w:vertAlign w:val="superscript"/>
        </w:rPr>
        <w:footnoteReference w:id="441"/>
      </w:r>
      <w:r>
        <w:rPr>
          <w:rFonts w:ascii="Arial" w:eastAsia="Arial" w:hAnsi="Arial" w:cs="Arial"/>
          <w:color w:val="000000"/>
          <w:sz w:val="24"/>
          <w:szCs w:val="24"/>
        </w:rPr>
        <w:t xml:space="preserve"> Esta formulación coincide con el diagnóstico de la sentencia mayoritaria, en la que se identificaron expresiones como medios de convicción irrefutables y elementos de convicción inequívocos.</w:t>
      </w:r>
    </w:p>
    <w:p>
      <w:pPr>
        <w:spacing w:before="0" w:after="0" w:line="360" w:lineRule="auto"/>
        <w:ind w:firstLine="709"/>
        <w:jc w:val="both"/>
      </w:pPr>
      <w:r>
        <w:rPr>
          <w:rFonts w:ascii="Arial" w:eastAsia="Arial" w:hAnsi="Arial" w:cs="Arial"/>
          <w:color w:val="000000"/>
          <w:sz w:val="24"/>
          <w:szCs w:val="24"/>
        </w:rPr>
        <w:t xml:space="preserve">Entre los materiales examinados en esta investigación, ningún pronunciamiento anterior había distinguido con esa claridad entre la plena acreditación y el estándar que permite alcanzarla. La distinción que propone el voto es correcta a la luz del marco teórico de la investigación. La plena acreditación que exigen los artículos 77 Ter, párrafo 2, y 78, párrafo 1, de la ley de medios designa el resultado de la decisión, no la regla que indica cuándo se alcanza.</w:t>
      </w:r>
      <w:r>
        <w:rPr>
          <w:rFonts w:ascii="Arial" w:eastAsia="Arial" w:hAnsi="Arial" w:cs="Arial"/>
          <w:color w:val="000000"/>
          <w:sz w:val="24"/>
          <w:szCs w:val="24"/>
          <w:vertAlign w:val="superscript"/>
        </w:rPr>
        <w:footnoteReference w:id="442"/>
      </w:r>
      <w:r>
        <w:rPr>
          <w:rFonts w:ascii="Arial" w:eastAsia="Arial" w:hAnsi="Arial" w:cs="Arial"/>
          <w:color w:val="000000"/>
          <w:sz w:val="24"/>
          <w:szCs w:val="24"/>
        </w:rPr>
        <w:t xml:space="preserve"> El proyecto incorporado al voto expresa esa idea con mayor precisión. Según el proyecto, las causales plenamente acreditadas son las que superan sin excepción el estándar de prueba previamente fijado.</w:t>
      </w:r>
      <w:r>
        <w:rPr>
          <w:rFonts w:ascii="Arial" w:eastAsia="Arial" w:hAnsi="Arial" w:cs="Arial"/>
          <w:color w:val="000000"/>
          <w:sz w:val="24"/>
          <w:szCs w:val="24"/>
          <w:vertAlign w:val="superscript"/>
        </w:rPr>
        <w:footnoteReference w:id="443"/>
      </w:r>
      <w:r>
        <w:rPr>
          <w:rFonts w:ascii="Arial" w:eastAsia="Arial" w:hAnsi="Arial" w:cs="Arial"/>
          <w:color w:val="000000"/>
          <w:sz w:val="24"/>
          <w:szCs w:val="24"/>
        </w:rPr>
        <w:t xml:space="preserve"> Esa definición traslada la plenitud del estado mental del juzgador a la relación entre el acervo y un umbral establecido de antemano. Por tanto, la definición del proyecto satisface el primer requisito metodológico. El cuerpo del voto emplea, sin embargo, otra definición de la plena acreditación.</w:t>
      </w:r>
    </w:p>
    <w:p>
      <w:pPr>
        <w:spacing w:before="0" w:after="0" w:line="360" w:lineRule="auto"/>
        <w:ind w:firstLine="709"/>
        <w:jc w:val="both"/>
      </w:pPr>
      <w:r>
        <w:rPr>
          <w:rFonts w:ascii="Arial" w:eastAsia="Arial" w:hAnsi="Arial" w:cs="Arial"/>
          <w:color w:val="000000"/>
          <w:sz w:val="24"/>
          <w:szCs w:val="24"/>
        </w:rPr>
        <w:t xml:space="preserve">El cuerpo del voto describe la plena acreditación como el nivel de convicción que debe alcanzar la persona juzgadora.</w:t>
      </w:r>
      <w:r>
        <w:rPr>
          <w:rFonts w:ascii="Arial" w:eastAsia="Arial" w:hAnsi="Arial" w:cs="Arial"/>
          <w:color w:val="000000"/>
          <w:sz w:val="24"/>
          <w:szCs w:val="24"/>
          <w:vertAlign w:val="superscript"/>
        </w:rPr>
        <w:footnoteReference w:id="444"/>
      </w:r>
      <w:r>
        <w:rPr>
          <w:rFonts w:ascii="Arial" w:eastAsia="Arial" w:hAnsi="Arial" w:cs="Arial"/>
          <w:color w:val="000000"/>
          <w:sz w:val="24"/>
          <w:szCs w:val="24"/>
        </w:rPr>
        <w:t xml:space="preserve"> El mismo cuerpo del voto exige que el conjunto probatorio genere convicción suficiente según el estándar aplicable.</w:t>
      </w:r>
      <w:r>
        <w:rPr>
          <w:rFonts w:ascii="Arial" w:eastAsia="Arial" w:hAnsi="Arial" w:cs="Arial"/>
          <w:color w:val="000000"/>
          <w:sz w:val="24"/>
          <w:szCs w:val="24"/>
          <w:vertAlign w:val="superscript"/>
        </w:rPr>
        <w:footnoteReference w:id="445"/>
      </w:r>
      <w:r>
        <w:rPr>
          <w:rFonts w:ascii="Arial" w:eastAsia="Arial" w:hAnsi="Arial" w:cs="Arial"/>
          <w:color w:val="000000"/>
          <w:sz w:val="24"/>
          <w:szCs w:val="24"/>
        </w:rPr>
        <w:t xml:space="preserve"> Ambas formulaciones reintroducen el elemento psicológico que el primer requisito metodológico excluye.</w:t>
      </w:r>
      <w:r>
        <w:rPr>
          <w:rFonts w:ascii="Arial" w:eastAsia="Arial" w:hAnsi="Arial" w:cs="Arial"/>
          <w:color w:val="000000"/>
          <w:sz w:val="24"/>
          <w:szCs w:val="24"/>
          <w:vertAlign w:val="superscript"/>
        </w:rPr>
        <w:footnoteReference w:id="446"/>
      </w:r>
      <w:r>
        <w:rPr>
          <w:rFonts w:ascii="Arial" w:eastAsia="Arial" w:hAnsi="Arial" w:cs="Arial"/>
          <w:color w:val="000000"/>
          <w:sz w:val="24"/>
          <w:szCs w:val="24"/>
        </w:rPr>
        <w:t xml:space="preserve"> El voto contiene, por tanto, dos definiciones de la plena acreditación que no son equivalentes. La definición del proyecto es compatible con una concepción racionalista de la prueba. La definición del cuerpo del voto conserva el lenguaje del artículo 16, párrafo 3. En consecuencia, la primera tensión interna del voto se manifiesta ya en la definición del concepto que el propio voto pretende depurar. La teoría de los estándares, desarrollada en el proyecto incorporado al voto, ofrece la versión más depurada de la propuesta.</w:t>
      </w:r>
    </w:p>
    <w:p>
      <w:pPr>
        <w:spacing w:before="0" w:after="0" w:line="360" w:lineRule="auto"/>
        <w:ind w:firstLine="709"/>
        <w:jc w:val="both"/>
      </w:pPr>
      <w:r>
        <w:rPr>
          <w:rFonts w:ascii="Arial" w:eastAsia="Arial" w:hAnsi="Arial" w:cs="Arial"/>
          <w:color w:val="000000"/>
          <w:sz w:val="24"/>
          <w:szCs w:val="24"/>
        </w:rPr>
        <w:t xml:space="preserve">El proyecto define el estándar en términos afines a esta investigación. El proyecto afirma que los estándares son reglas que establecen el nivel de suficiencia probatoria para que una hipótesis fáctica pueda considerarse probada o suficientemente corroborada.</w:t>
      </w:r>
      <w:r>
        <w:rPr>
          <w:rFonts w:ascii="Arial" w:eastAsia="Arial" w:hAnsi="Arial" w:cs="Arial"/>
          <w:color w:val="000000"/>
          <w:sz w:val="24"/>
          <w:szCs w:val="24"/>
          <w:vertAlign w:val="superscript"/>
        </w:rPr>
        <w:footnoteReference w:id="447"/>
      </w:r>
      <w:r>
        <w:rPr>
          <w:rFonts w:ascii="Arial" w:eastAsia="Arial" w:hAnsi="Arial" w:cs="Arial"/>
          <w:color w:val="000000"/>
          <w:sz w:val="24"/>
          <w:szCs w:val="24"/>
        </w:rPr>
        <w:t xml:space="preserve"> El proyecto les atribuye tres funciones, que son justificar la decisión, garantizar a las partes y distribuir el riesgo de error.</w:t>
      </w:r>
      <w:r>
        <w:rPr>
          <w:rFonts w:ascii="Arial" w:eastAsia="Arial" w:hAnsi="Arial" w:cs="Arial"/>
          <w:color w:val="000000"/>
          <w:sz w:val="24"/>
          <w:szCs w:val="24"/>
          <w:vertAlign w:val="superscript"/>
        </w:rPr>
        <w:footnoteReference w:id="448"/>
      </w:r>
      <w:r>
        <w:rPr>
          <w:rFonts w:ascii="Arial" w:eastAsia="Arial" w:hAnsi="Arial" w:cs="Arial"/>
          <w:color w:val="000000"/>
          <w:sz w:val="24"/>
          <w:szCs w:val="24"/>
        </w:rPr>
        <w:t xml:space="preserve"> Según el proyecto, la prueba de una hipótesis depende del grado de corroboración que le aportan las pruebas y no del convencimiento del órgano.</w:t>
      </w:r>
      <w:r>
        <w:rPr>
          <w:rFonts w:ascii="Arial" w:eastAsia="Arial" w:hAnsi="Arial" w:cs="Arial"/>
          <w:color w:val="000000"/>
          <w:sz w:val="24"/>
          <w:szCs w:val="24"/>
          <w:vertAlign w:val="superscript"/>
        </w:rPr>
        <w:footnoteReference w:id="449"/>
      </w:r>
      <w:r>
        <w:rPr>
          <w:rFonts w:ascii="Arial" w:eastAsia="Arial" w:hAnsi="Arial" w:cs="Arial"/>
          <w:color w:val="000000"/>
          <w:sz w:val="24"/>
          <w:szCs w:val="24"/>
        </w:rPr>
        <w:t xml:space="preserve"> El proyecto distingue, con apoyo expreso en Ferrer Beltrán, entre la justificación material y la justificación procedimental de la decisión sobre los hechos.</w:t>
      </w:r>
      <w:r>
        <w:rPr>
          <w:rFonts w:ascii="Arial" w:eastAsia="Arial" w:hAnsi="Arial" w:cs="Arial"/>
          <w:color w:val="000000"/>
          <w:sz w:val="24"/>
          <w:szCs w:val="24"/>
          <w:vertAlign w:val="superscript"/>
        </w:rPr>
        <w:footnoteReference w:id="450"/>
      </w:r>
      <w:r>
        <w:rPr>
          <w:rFonts w:ascii="Arial" w:eastAsia="Arial" w:hAnsi="Arial" w:cs="Arial"/>
          <w:color w:val="000000"/>
          <w:sz w:val="24"/>
          <w:szCs w:val="24"/>
        </w:rPr>
        <w:t xml:space="preserve"> El proyecto adopta la probabilidad inductiva y excluye la subjetiva y la matemática.</w:t>
      </w:r>
      <w:r>
        <w:rPr>
          <w:rFonts w:ascii="Arial" w:eastAsia="Arial" w:hAnsi="Arial" w:cs="Arial"/>
          <w:color w:val="000000"/>
          <w:sz w:val="24"/>
          <w:szCs w:val="24"/>
          <w:vertAlign w:val="superscript"/>
        </w:rPr>
        <w:footnoteReference w:id="451"/>
      </w:r>
      <w:r>
        <w:rPr>
          <w:rFonts w:ascii="Arial" w:eastAsia="Arial" w:hAnsi="Arial" w:cs="Arial"/>
          <w:color w:val="000000"/>
          <w:sz w:val="24"/>
          <w:szCs w:val="24"/>
        </w:rPr>
        <w:t xml:space="preserve"> Estas tesis coinciden con las que Ferrer Beltrán sostiene en la obra que el proyecto cita.</w:t>
      </w:r>
      <w:r>
        <w:rPr>
          <w:rFonts w:ascii="Arial" w:eastAsia="Arial" w:hAnsi="Arial" w:cs="Arial"/>
          <w:color w:val="000000"/>
          <w:sz w:val="24"/>
          <w:szCs w:val="24"/>
          <w:vertAlign w:val="superscript"/>
        </w:rPr>
        <w:footnoteReference w:id="452"/>
      </w:r>
      <w:r>
        <w:rPr>
          <w:rFonts w:ascii="Arial" w:eastAsia="Arial" w:hAnsi="Arial" w:cs="Arial"/>
          <w:color w:val="000000"/>
          <w:sz w:val="24"/>
          <w:szCs w:val="24"/>
        </w:rPr>
        <w:t xml:space="preserve"> El voto incorpora de ese modo al debate jurisdiccional el aparato que diagnostica el error de categoría.</w:t>
      </w:r>
    </w:p>
    <w:p>
      <w:pPr>
        <w:spacing w:before="0" w:after="0" w:line="360" w:lineRule="auto"/>
        <w:ind w:firstLine="709"/>
        <w:jc w:val="both"/>
      </w:pPr>
      <w:r>
        <w:rPr>
          <w:rFonts w:ascii="Arial" w:eastAsia="Arial" w:hAnsi="Arial" w:cs="Arial"/>
          <w:color w:val="000000"/>
          <w:sz w:val="24"/>
          <w:szCs w:val="24"/>
        </w:rPr>
        <w:t xml:space="preserve">La mayoría, en contraste con el voto, no citó a Ferrer Beltrán y remitió a la escuela de libre convencimiento. Sobre la base de su teoría, el proyecto adopta dos estándares. Algunos hechos exigen acreditar la autoría, lo que requiere un umbral más alto.</w:t>
      </w:r>
      <w:r>
        <w:rPr>
          <w:rFonts w:ascii="Arial" w:eastAsia="Arial" w:hAnsi="Arial" w:cs="Arial"/>
          <w:color w:val="000000"/>
          <w:sz w:val="24"/>
          <w:szCs w:val="24"/>
          <w:vertAlign w:val="superscript"/>
        </w:rPr>
        <w:footnoteReference w:id="453"/>
      </w:r>
      <w:r>
        <w:rPr>
          <w:rFonts w:ascii="Arial" w:eastAsia="Arial" w:hAnsi="Arial" w:cs="Arial"/>
          <w:color w:val="000000"/>
          <w:sz w:val="24"/>
          <w:szCs w:val="24"/>
        </w:rPr>
        <w:t xml:space="preserve"> El primer estándar es el de probabilidad prevalente, aplicable a la existencia de la propaganda prohibida y a su impacto en la validez de la elección. Conforme a ese estándar, debe determinarse si la hipótesis de la parte actora es más razonable y tiene más apoyo o corroboración en las pruebas que la hipótesis opuesta.</w:t>
      </w:r>
      <w:r>
        <w:rPr>
          <w:rFonts w:ascii="Arial" w:eastAsia="Arial" w:hAnsi="Arial" w:cs="Arial"/>
          <w:color w:val="000000"/>
          <w:sz w:val="24"/>
          <w:szCs w:val="24"/>
          <w:vertAlign w:val="superscript"/>
        </w:rPr>
        <w:footnoteReference w:id="454"/>
      </w:r>
      <w:r>
        <w:rPr>
          <w:rFonts w:ascii="Arial" w:eastAsia="Arial" w:hAnsi="Arial" w:cs="Arial"/>
          <w:color w:val="000000"/>
          <w:sz w:val="24"/>
          <w:szCs w:val="24"/>
        </w:rPr>
        <w:t xml:space="preserve"> El proyecto precisa que basta que el conjunto de elementos probatorios haga más probable la existencia de la propaganda irregular que su inexistencia, sin requerir certeza absoluta.</w:t>
      </w:r>
      <w:r>
        <w:rPr>
          <w:rFonts w:ascii="Arial" w:eastAsia="Arial" w:hAnsi="Arial" w:cs="Arial"/>
          <w:color w:val="000000"/>
          <w:sz w:val="24"/>
          <w:szCs w:val="24"/>
          <w:vertAlign w:val="superscript"/>
        </w:rPr>
        <w:footnoteReference w:id="455"/>
      </w:r>
      <w:r>
        <w:rPr>
          <w:rFonts w:ascii="Arial" w:eastAsia="Arial" w:hAnsi="Arial" w:cs="Arial"/>
          <w:color w:val="000000"/>
          <w:sz w:val="24"/>
          <w:szCs w:val="24"/>
        </w:rPr>
        <w:t xml:space="preserve"> En consecuencia, el estándar prevalente se formula como una comparación entre hipótesis y no como un estado de convencimiento. El proyecto ofrece cuatro razones para justificar ese estándar.</w:t>
      </w:r>
    </w:p>
    <w:p>
      <w:pPr>
        <w:spacing w:before="0" w:after="0" w:line="360" w:lineRule="auto"/>
        <w:ind w:firstLine="709"/>
        <w:jc w:val="both"/>
      </w:pPr>
      <w:r>
        <w:rPr>
          <w:rFonts w:ascii="Arial" w:eastAsia="Arial" w:hAnsi="Arial" w:cs="Arial"/>
          <w:color w:val="000000"/>
          <w:sz w:val="24"/>
          <w:szCs w:val="24"/>
        </w:rPr>
        <w:t xml:space="preserve">El proyecto justifica el estándar prevalente en el diseño cerrado de la elección judicial y en que la causal de financiamiento prohibido no exige probar la autoría. El proyecto invoca el carácter objetivamente verificable de la propaganda y el riesgo de impunidad.</w:t>
      </w:r>
      <w:r>
        <w:rPr>
          <w:rFonts w:ascii="Arial" w:eastAsia="Arial" w:hAnsi="Arial" w:cs="Arial"/>
          <w:color w:val="000000"/>
          <w:sz w:val="24"/>
          <w:szCs w:val="24"/>
          <w:vertAlign w:val="superscript"/>
        </w:rPr>
        <w:footnoteReference w:id="456"/>
      </w:r>
      <w:r>
        <w:rPr>
          <w:rFonts w:ascii="Arial" w:eastAsia="Arial" w:hAnsi="Arial" w:cs="Arial"/>
          <w:color w:val="000000"/>
          <w:sz w:val="24"/>
          <w:szCs w:val="24"/>
        </w:rPr>
        <w:t xml:space="preserve"> Esta formulación coincide con el menos exigente de los estándares que propone Ferrer Beltrán, según el cual la hipótesis debe ser más probable que la de la parte contraria.</w:t>
      </w:r>
      <w:r>
        <w:rPr>
          <w:rFonts w:ascii="Arial" w:eastAsia="Arial" w:hAnsi="Arial" w:cs="Arial"/>
          <w:color w:val="000000"/>
          <w:sz w:val="24"/>
          <w:szCs w:val="24"/>
          <w:vertAlign w:val="superscript"/>
        </w:rPr>
        <w:footnoteReference w:id="457"/>
      </w:r>
      <w:r>
        <w:rPr>
          <w:rFonts w:ascii="Arial" w:eastAsia="Arial" w:hAnsi="Arial" w:cs="Arial"/>
          <w:color w:val="000000"/>
          <w:sz w:val="24"/>
          <w:szCs w:val="24"/>
        </w:rPr>
        <w:t xml:space="preserve"> La formulación remite a una relación entre el acervo y las hipótesis en conflicto, y no a un estado mental. Por tanto, la formulación satisface el primer requisito metodológico. La formulación satisface el segundo requisito, porque identifica el resultado probatorio mínimo, que es la prevalencia de la hipótesis actora sobre su negación. El estándar prevalente constituye, por ello, la parte más sólida de la propuesta del voto. El segundo estándar presenta rasgos distintos, porque se aplica a una cuestión de mayor gravedad.</w:t>
      </w:r>
    </w:p>
    <w:p>
      <w:pPr>
        <w:spacing w:before="0" w:after="0" w:line="360" w:lineRule="auto"/>
        <w:ind w:firstLine="709"/>
        <w:jc w:val="both"/>
      </w:pPr>
      <w:r>
        <w:rPr>
          <w:rFonts w:ascii="Arial" w:eastAsia="Arial" w:hAnsi="Arial" w:cs="Arial"/>
          <w:color w:val="000000"/>
          <w:sz w:val="24"/>
          <w:szCs w:val="24"/>
        </w:rPr>
        <w:t xml:space="preserve">El segundo estándar se aplica a la autoría de la propaganda por partidos políticos o personas servidoras públicas. El proyecto lo describe como más elevado y próximo al de presunción de inocencia penal.</w:t>
      </w:r>
      <w:r>
        <w:rPr>
          <w:rFonts w:ascii="Arial" w:eastAsia="Arial" w:hAnsi="Arial" w:cs="Arial"/>
          <w:color w:val="000000"/>
          <w:sz w:val="24"/>
          <w:szCs w:val="24"/>
          <w:vertAlign w:val="superscript"/>
        </w:rPr>
        <w:footnoteReference w:id="458"/>
      </w:r>
      <w:r>
        <w:rPr>
          <w:rFonts w:ascii="Arial" w:eastAsia="Arial" w:hAnsi="Arial" w:cs="Arial"/>
          <w:color w:val="000000"/>
          <w:sz w:val="24"/>
          <w:szCs w:val="24"/>
        </w:rPr>
        <w:t xml:space="preserve"> El proyecto justifica el estándar por la gravedad de atribuir responsabilidad a actores institucionales y por las consecuencias jurídicas y políticas de esa atribución.</w:t>
      </w:r>
      <w:r>
        <w:rPr>
          <w:rFonts w:ascii="Arial" w:eastAsia="Arial" w:hAnsi="Arial" w:cs="Arial"/>
          <w:color w:val="000000"/>
          <w:sz w:val="24"/>
          <w:szCs w:val="24"/>
          <w:vertAlign w:val="superscript"/>
        </w:rPr>
        <w:footnoteReference w:id="459"/>
      </w:r>
      <w:r>
        <w:rPr>
          <w:rFonts w:ascii="Arial" w:eastAsia="Arial" w:hAnsi="Arial" w:cs="Arial"/>
          <w:color w:val="000000"/>
          <w:sz w:val="24"/>
          <w:szCs w:val="24"/>
        </w:rPr>
        <w:t xml:space="preserve"> A diferencia de lo que ocurre con las fórmulas legales examinadas, el proyecto enuncia los elementos que deben acreditarse para satisfacerlo.</w:t>
      </w:r>
      <w:r>
        <w:rPr>
          <w:rFonts w:ascii="Arial" w:eastAsia="Arial" w:hAnsi="Arial" w:cs="Arial"/>
          <w:color w:val="000000"/>
          <w:sz w:val="24"/>
          <w:szCs w:val="24"/>
          <w:vertAlign w:val="superscript"/>
        </w:rPr>
        <w:footnoteReference w:id="460"/>
      </w:r>
      <w:r>
        <w:rPr>
          <w:rFonts w:ascii="Arial" w:eastAsia="Arial" w:hAnsi="Arial" w:cs="Arial"/>
          <w:color w:val="000000"/>
          <w:sz w:val="24"/>
          <w:szCs w:val="24"/>
        </w:rPr>
        <w:t xml:space="preserve"> Deben probarse la autoría intelectual o material, los vínculos orgánicos o funcionales con las instituciones, el conocimiento y la voluntad institucionales y el uso de recursos públicos. El proyecto añade que las pruebas indirectas deben presentar una coherencia, solidez y convergencia tales que descarten de manera razonable cualquier explicación alternativa.</w:t>
      </w:r>
      <w:r>
        <w:rPr>
          <w:rFonts w:ascii="Arial" w:eastAsia="Arial" w:hAnsi="Arial" w:cs="Arial"/>
          <w:color w:val="000000"/>
          <w:sz w:val="24"/>
          <w:szCs w:val="24"/>
          <w:vertAlign w:val="superscript"/>
        </w:rPr>
        <w:footnoteReference w:id="461"/>
      </w:r>
      <w:r>
        <w:rPr>
          <w:rFonts w:ascii="Arial" w:eastAsia="Arial" w:hAnsi="Arial" w:cs="Arial"/>
          <w:color w:val="000000"/>
          <w:sz w:val="24"/>
          <w:szCs w:val="24"/>
        </w:rPr>
        <w:t xml:space="preserve"> Esta exigencia corresponde a la lógica de los estándares más exigentes que propone Ferrer Beltrán, construidos en torno a la refutación de hipótesis alternativas.</w:t>
      </w:r>
      <w:r>
        <w:rPr>
          <w:rFonts w:ascii="Arial" w:eastAsia="Arial" w:hAnsi="Arial" w:cs="Arial"/>
          <w:color w:val="000000"/>
          <w:sz w:val="24"/>
          <w:szCs w:val="24"/>
          <w:vertAlign w:val="superscript"/>
        </w:rPr>
        <w:footnoteReference w:id="462"/>
      </w:r>
      <w:r>
        <w:rPr>
          <w:rFonts w:ascii="Arial" w:eastAsia="Arial" w:hAnsi="Arial" w:cs="Arial"/>
          <w:color w:val="000000"/>
          <w:sz w:val="24"/>
          <w:szCs w:val="24"/>
        </w:rPr>
        <w:t xml:space="preserve"> Su aplicación revela su carácter normativo.</w:t>
      </w:r>
    </w:p>
    <w:p>
      <w:pPr>
        <w:spacing w:before="0" w:after="0" w:line="360" w:lineRule="auto"/>
        <w:ind w:firstLine="709"/>
        <w:jc w:val="both"/>
      </w:pPr>
      <w:r>
        <w:rPr>
          <w:rFonts w:ascii="Arial" w:eastAsia="Arial" w:hAnsi="Arial" w:cs="Arial"/>
          <w:color w:val="000000"/>
          <w:sz w:val="24"/>
          <w:szCs w:val="24"/>
        </w:rPr>
        <w:t xml:space="preserve">El proyecto aplicó el estándar elevado y concluyó que los indicios sobre la participación de partidos y personas servidoras públicas no lo superaban.</w:t>
      </w:r>
      <w:r>
        <w:rPr>
          <w:rFonts w:ascii="Arial" w:eastAsia="Arial" w:hAnsi="Arial" w:cs="Arial"/>
          <w:color w:val="000000"/>
          <w:sz w:val="24"/>
          <w:szCs w:val="24"/>
          <w:vertAlign w:val="superscript"/>
        </w:rPr>
        <w:footnoteReference w:id="463"/>
      </w:r>
      <w:r>
        <w:rPr>
          <w:rFonts w:ascii="Arial" w:eastAsia="Arial" w:hAnsi="Arial" w:cs="Arial"/>
          <w:color w:val="000000"/>
          <w:sz w:val="24"/>
          <w:szCs w:val="24"/>
        </w:rPr>
        <w:t xml:space="preserve"> La evidencia no descartaba actuaciones individuales sin respaldo institucional, y el proyecto ordenó dar vista al Instituto Nacional Electoral.</w:t>
      </w:r>
      <w:r>
        <w:rPr>
          <w:rFonts w:ascii="Arial" w:eastAsia="Arial" w:hAnsi="Arial" w:cs="Arial"/>
          <w:color w:val="000000"/>
          <w:sz w:val="24"/>
          <w:szCs w:val="24"/>
          <w:vertAlign w:val="superscript"/>
        </w:rPr>
        <w:footnoteReference w:id="464"/>
      </w:r>
      <w:r>
        <w:rPr>
          <w:rFonts w:ascii="Arial" w:eastAsia="Arial" w:hAnsi="Arial" w:cs="Arial"/>
          <w:color w:val="000000"/>
          <w:sz w:val="24"/>
          <w:szCs w:val="24"/>
        </w:rPr>
        <w:t xml:space="preserve"> La aplicación del estándar en contra de la pretensión que el propio proyecto sostenía es un indicio de que opera como regla y no como fórmula retórica. El estándar elevado presenta, sin embargo, una formulación menos depurada que el prevalente. El proyecto exige que las pruebas permitan establecer los elementos de manera convincente y con alto grado de certeza.</w:t>
      </w:r>
      <w:r>
        <w:rPr>
          <w:rFonts w:ascii="Arial" w:eastAsia="Arial" w:hAnsi="Arial" w:cs="Arial"/>
          <w:color w:val="000000"/>
          <w:sz w:val="24"/>
          <w:szCs w:val="24"/>
          <w:vertAlign w:val="superscript"/>
        </w:rPr>
        <w:footnoteReference w:id="465"/>
      </w:r>
      <w:r>
        <w:rPr>
          <w:rFonts w:ascii="Arial" w:eastAsia="Arial" w:hAnsi="Arial" w:cs="Arial"/>
          <w:color w:val="000000"/>
          <w:sz w:val="24"/>
          <w:szCs w:val="24"/>
        </w:rPr>
        <w:t xml:space="preserve"> El proyecto requiere que la cadena de inferencias conduzca de manera inexorable a la conclusión y que la valoración integral genere la certeza requerida.</w:t>
      </w:r>
      <w:r>
        <w:rPr>
          <w:rFonts w:ascii="Arial" w:eastAsia="Arial" w:hAnsi="Arial" w:cs="Arial"/>
          <w:color w:val="000000"/>
          <w:sz w:val="24"/>
          <w:szCs w:val="24"/>
          <w:vertAlign w:val="superscript"/>
        </w:rPr>
        <w:footnoteReference w:id="466"/>
      </w:r>
      <w:r>
        <w:rPr>
          <w:rFonts w:ascii="Arial" w:eastAsia="Arial" w:hAnsi="Arial" w:cs="Arial"/>
          <w:color w:val="000000"/>
          <w:sz w:val="24"/>
          <w:szCs w:val="24"/>
        </w:rPr>
        <w:t xml:space="preserve"> Esas expresiones mezclan un criterio epistémico con la certeza y la convicción del decisor. La exigencia de inexorabilidad se aproxima a la certeza que el propio voto reprocha a la mayoría.</w:t>
      </w:r>
    </w:p>
    <w:p>
      <w:pPr>
        <w:spacing w:before="0" w:after="0" w:line="360" w:lineRule="auto"/>
        <w:ind w:firstLine="709"/>
        <w:jc w:val="both"/>
      </w:pPr>
      <w:r>
        <w:rPr>
          <w:rFonts w:ascii="Arial" w:eastAsia="Arial" w:hAnsi="Arial" w:cs="Arial"/>
          <w:color w:val="000000"/>
          <w:sz w:val="24"/>
          <w:szCs w:val="24"/>
        </w:rPr>
        <w:t xml:space="preserve">El estándar elevado cumple el segundo requisito metodológico, pero solo de manera parcial el primero. La diferenciación entre ambos estándares responde a la naturaleza del hecho y a la gravedad de sus consecuencias. Esa diferenciación no responde a la sucesión de decisiones de un procedimiento que contempla el cuarto requisito.</w:t>
      </w:r>
      <w:r>
        <w:rPr>
          <w:rFonts w:ascii="Arial" w:eastAsia="Arial" w:hAnsi="Arial" w:cs="Arial"/>
          <w:color w:val="000000"/>
          <w:sz w:val="24"/>
          <w:szCs w:val="24"/>
          <w:vertAlign w:val="superscript"/>
        </w:rPr>
        <w:footnoteReference w:id="467"/>
      </w:r>
      <w:r>
        <w:rPr>
          <w:rFonts w:ascii="Arial" w:eastAsia="Arial" w:hAnsi="Arial" w:cs="Arial"/>
          <w:color w:val="000000"/>
          <w:sz w:val="24"/>
          <w:szCs w:val="24"/>
        </w:rPr>
        <w:t xml:space="preserve"> La diferenciación es compatible, en cambio, con la tesis según la cual el nivel de exigencia expresa una decisión sobre la distribución del riesgo de error. En consecuencia, el voto aplica correctamente la función distributiva del estándar, aunque no la progresión procesal. La mayor dificultad de la propuesta no se encuentra, sin embargo, en la formulación de los estándares. La dificultad principal se encuentra en la fuente de la que el voto deriva la potestad de fijarlos. Esa fuente es el propio artículo 16 de la ley de medios, que el voto interpreta como una autorización para modular la exigencia.</w:t>
      </w:r>
    </w:p>
    <w:p>
      <w:pPr>
        <w:spacing w:before="0" w:after="0" w:line="360" w:lineRule="auto"/>
        <w:ind w:firstLine="709"/>
        <w:jc w:val="both"/>
      </w:pPr>
      <w:r>
        <w:rPr>
          <w:rFonts w:ascii="Arial" w:eastAsia="Arial" w:hAnsi="Arial" w:cs="Arial"/>
          <w:color w:val="000000"/>
          <w:sz w:val="24"/>
          <w:szCs w:val="24"/>
        </w:rPr>
        <w:t xml:space="preserve">El proyecto sostiene que el artículo 16 de la ley de medios configura un sistema de libre valoración. Ese sistema permitiría al órgano fijar el estándar y modular la exigencia según la naturaleza, gravedad y contexto de las violaciones.</w:t>
      </w:r>
      <w:r>
        <w:rPr>
          <w:rFonts w:ascii="Arial" w:eastAsia="Arial" w:hAnsi="Arial" w:cs="Arial"/>
          <w:color w:val="000000"/>
          <w:sz w:val="24"/>
          <w:szCs w:val="24"/>
          <w:vertAlign w:val="superscript"/>
        </w:rPr>
        <w:footnoteReference w:id="468"/>
      </w:r>
      <w:r>
        <w:rPr>
          <w:rFonts w:ascii="Arial" w:eastAsia="Arial" w:hAnsi="Arial" w:cs="Arial"/>
          <w:color w:val="000000"/>
          <w:sz w:val="24"/>
          <w:szCs w:val="24"/>
        </w:rPr>
        <w:t xml:space="preserve"> El cuerpo del voto reitera esa tesis.</w:t>
      </w:r>
      <w:r>
        <w:rPr>
          <w:rFonts w:ascii="Arial" w:eastAsia="Arial" w:hAnsi="Arial" w:cs="Arial"/>
          <w:color w:val="000000"/>
          <w:sz w:val="24"/>
          <w:szCs w:val="24"/>
          <w:vertAlign w:val="superscript"/>
        </w:rPr>
        <w:footnoteReference w:id="469"/>
      </w:r>
      <w:r>
        <w:rPr>
          <w:rFonts w:ascii="Arial" w:eastAsia="Arial" w:hAnsi="Arial" w:cs="Arial"/>
          <w:color w:val="000000"/>
          <w:sz w:val="24"/>
          <w:szCs w:val="24"/>
        </w:rPr>
        <w:t xml:space="preserve"> El proyecto matiza, no obstante, que la decisión sobre la suficiencia no puede ser particularista ni libérrima, porque es una decisión político-moral que debe preservar la previsibilidad y la seguridad jurídica.</w:t>
      </w:r>
      <w:r>
        <w:rPr>
          <w:rFonts w:ascii="Arial" w:eastAsia="Arial" w:hAnsi="Arial" w:cs="Arial"/>
          <w:color w:val="000000"/>
          <w:sz w:val="24"/>
          <w:szCs w:val="24"/>
          <w:vertAlign w:val="superscript"/>
        </w:rPr>
        <w:footnoteReference w:id="470"/>
      </w:r>
      <w:r>
        <w:rPr>
          <w:rFonts w:ascii="Arial" w:eastAsia="Arial" w:hAnsi="Arial" w:cs="Arial"/>
          <w:color w:val="000000"/>
          <w:sz w:val="24"/>
          <w:szCs w:val="24"/>
        </w:rPr>
        <w:t xml:space="preserve"> El proyecto añade que los estándares aplicables deben ser los mismos que la Sala ha usado en casos anteriores, por congruencia con la línea jurisprudencial.</w:t>
      </w:r>
      <w:r>
        <w:rPr>
          <w:rFonts w:ascii="Arial" w:eastAsia="Arial" w:hAnsi="Arial" w:cs="Arial"/>
          <w:color w:val="000000"/>
          <w:sz w:val="24"/>
          <w:szCs w:val="24"/>
          <w:vertAlign w:val="superscript"/>
        </w:rPr>
        <w:footnoteReference w:id="471"/>
      </w:r>
      <w:r>
        <w:rPr>
          <w:rFonts w:ascii="Arial" w:eastAsia="Arial" w:hAnsi="Arial" w:cs="Arial"/>
          <w:color w:val="000000"/>
          <w:sz w:val="24"/>
          <w:szCs w:val="24"/>
        </w:rPr>
        <w:t xml:space="preserve"> Esta precisión es coherente con la tesis de Ferrer Beltrán de que el estándar es una regla general y abstracta.</w:t>
      </w:r>
      <w:r>
        <w:rPr>
          <w:rFonts w:ascii="Arial" w:eastAsia="Arial" w:hAnsi="Arial" w:cs="Arial"/>
          <w:color w:val="000000"/>
          <w:sz w:val="24"/>
          <w:szCs w:val="24"/>
          <w:vertAlign w:val="superscript"/>
        </w:rPr>
        <w:footnoteReference w:id="472"/>
      </w:r>
      <w:r>
        <w:rPr>
          <w:rFonts w:ascii="Arial" w:eastAsia="Arial" w:hAnsi="Arial" w:cs="Arial"/>
          <w:color w:val="000000"/>
          <w:sz w:val="24"/>
          <w:szCs w:val="24"/>
        </w:rPr>
        <w:t xml:space="preserve"> La eficacia de esa precisión depende, sin embargo, de que tales precedentes hayan fijado estándares. La jurisprudencia electoral, como se ha mostrado, no los fijó.</w:t>
      </w:r>
    </w:p>
    <w:p>
      <w:pPr>
        <w:spacing w:before="0" w:after="0" w:line="360" w:lineRule="auto"/>
        <w:ind w:firstLine="709"/>
        <w:jc w:val="both"/>
      </w:pPr>
      <w:r>
        <w:rPr>
          <w:rFonts w:ascii="Arial" w:eastAsia="Arial" w:hAnsi="Arial" w:cs="Arial"/>
          <w:color w:val="000000"/>
          <w:sz w:val="24"/>
          <w:szCs w:val="24"/>
        </w:rPr>
        <w:t xml:space="preserve">El propio proyecto cita como precedente, entre otros asuntos de la Sala Superior, el caso Tabasco. Ese caso resolvió la suficiencia en términos de convencimiento y de posibilidad de un resultado distinto.</w:t>
      </w:r>
      <w:r>
        <w:rPr>
          <w:rFonts w:ascii="Arial" w:eastAsia="Arial" w:hAnsi="Arial" w:cs="Arial"/>
          <w:color w:val="000000"/>
          <w:sz w:val="24"/>
          <w:szCs w:val="24"/>
          <w:vertAlign w:val="superscript"/>
        </w:rPr>
        <w:footnoteReference w:id="473"/>
      </w:r>
      <w:r>
        <w:rPr>
          <w:rFonts w:ascii="Arial" w:eastAsia="Arial" w:hAnsi="Arial" w:cs="Arial"/>
          <w:color w:val="000000"/>
          <w:sz w:val="24"/>
          <w:szCs w:val="24"/>
        </w:rPr>
        <w:t xml:space="preserve"> La mayoría invocó, por su parte, la escuela de libre convencimiento que atribuye a la ley de medios para fundar su propia exigencia.</w:t>
      </w:r>
      <w:r>
        <w:rPr>
          <w:rFonts w:ascii="Arial" w:eastAsia="Arial" w:hAnsi="Arial" w:cs="Arial"/>
          <w:color w:val="000000"/>
          <w:sz w:val="24"/>
          <w:szCs w:val="24"/>
          <w:vertAlign w:val="superscript"/>
        </w:rPr>
        <w:footnoteReference w:id="474"/>
      </w:r>
      <w:r>
        <w:rPr>
          <w:rFonts w:ascii="Arial" w:eastAsia="Arial" w:hAnsi="Arial" w:cs="Arial"/>
          <w:color w:val="000000"/>
          <w:sz w:val="24"/>
          <w:szCs w:val="24"/>
        </w:rPr>
        <w:t xml:space="preserve"> Ambas posiciones descansan en el silencio del artículo 16 sobre la suficiencia. El texto legal no permite preferir una posición sobre otra, porque no contiene ningún criterio de suficiencia. En consecuencia, la segunda tensión del voto consiste en fundar una regla general en un precepto que no la contiene. La misma tensión se advierte en el vocabulario del proyecto. El proyecto afirma que la gravedad del impacto de una resolución determina el grado de convencimiento necesario para adoptarla.</w:t>
      </w:r>
      <w:r>
        <w:rPr>
          <w:rFonts w:ascii="Arial" w:eastAsia="Arial" w:hAnsi="Arial" w:cs="Arial"/>
          <w:color w:val="000000"/>
          <w:sz w:val="24"/>
          <w:szCs w:val="24"/>
          <w:vertAlign w:val="superscript"/>
        </w:rPr>
        <w:footnoteReference w:id="475"/>
      </w:r>
    </w:p>
    <w:p>
      <w:pPr>
        <w:spacing w:before="0" w:after="0" w:line="360" w:lineRule="auto"/>
        <w:ind w:firstLine="709"/>
        <w:jc w:val="both"/>
      </w:pPr>
      <w:r>
        <w:rPr>
          <w:rFonts w:ascii="Arial" w:eastAsia="Arial" w:hAnsi="Arial" w:cs="Arial"/>
          <w:color w:val="000000"/>
          <w:sz w:val="24"/>
          <w:szCs w:val="24"/>
        </w:rPr>
        <w:t xml:space="preserve">El proyecto sostiene que las dificultades probatorias no justifican disminuir el estándar, sino admitir pruebas indirectas que puedan generar el grado de convicción plena que la norma demanda.</w:t>
      </w:r>
      <w:r>
        <w:rPr>
          <w:rFonts w:ascii="Arial" w:eastAsia="Arial" w:hAnsi="Arial" w:cs="Arial"/>
          <w:color w:val="000000"/>
          <w:sz w:val="24"/>
          <w:szCs w:val="24"/>
          <w:vertAlign w:val="superscript"/>
        </w:rPr>
        <w:footnoteReference w:id="476"/>
      </w:r>
      <w:r>
        <w:rPr>
          <w:rFonts w:ascii="Arial" w:eastAsia="Arial" w:hAnsi="Arial" w:cs="Arial"/>
          <w:color w:val="000000"/>
          <w:sz w:val="24"/>
          <w:szCs w:val="24"/>
        </w:rPr>
        <w:t xml:space="preserve"> Estas expresiones coexisten con la afirmación de que la prueba no depende del convencimiento del órgano decisor. La coexistencia no invalida la teoría del proyecto. Esa coexistencia muestra que el lenguaje del artículo 16, párrafo 3, condiciona incluso a quien lo critica. El proyecto separa con claridad el cómo de la valoración y el cuánto de la decisión. Al expresar el cuánto, sin embargo, el proyecto alterna entre la corroboración y la convicción. Esta alternancia confirma que la corrección del error de categoría exige modificar el texto legal y no solo su interpretación. El segundo eje del voto se aparta de la teoría de los estándares y se dirige al método de valoración de la mayoría.</w:t>
      </w:r>
    </w:p>
    <w:p>
      <w:pPr>
        <w:spacing w:before="0" w:after="0" w:line="360" w:lineRule="auto"/>
        <w:ind w:firstLine="709"/>
        <w:jc w:val="both"/>
      </w:pPr>
      <w:r>
        <w:rPr>
          <w:rFonts w:ascii="Arial" w:eastAsia="Arial" w:hAnsi="Arial" w:cs="Arial"/>
          <w:color w:val="000000"/>
          <w:sz w:val="24"/>
          <w:szCs w:val="24"/>
        </w:rPr>
        <w:t xml:space="preserve">El segundo eje del voto es metodológico. El disidente sostiene que las sentencias fragmentan artificialmente el análisis probatorio, porque descalifican cada prueba individualmente y, con las mismas premisas, descalifican el conjunto.</w:t>
      </w:r>
      <w:r>
        <w:rPr>
          <w:rFonts w:ascii="Arial" w:eastAsia="Arial" w:hAnsi="Arial" w:cs="Arial"/>
          <w:color w:val="000000"/>
          <w:sz w:val="24"/>
          <w:szCs w:val="24"/>
          <w:vertAlign w:val="superscript"/>
        </w:rPr>
        <w:footnoteReference w:id="477"/>
      </w:r>
      <w:r>
        <w:rPr>
          <w:rFonts w:ascii="Arial" w:eastAsia="Arial" w:hAnsi="Arial" w:cs="Arial"/>
          <w:color w:val="000000"/>
          <w:sz w:val="24"/>
          <w:szCs w:val="24"/>
        </w:rPr>
        <w:t xml:space="preserve"> El disidente recuerda que el artículo 16 de la ley de medios ordena valorar las pruebas en conjunto conforme a las reglas de la lógica, de la sana crítica y de la experiencia. El disidente califica la valoración mayoritaria como atomizada, superficial y formalista. La mayoría descalificó los acordeones por su buen estado, las publicaciones digitales por su fácil alteración, las notas por su leve fuerza indiciaria y los procedimientos sancionadores por su autonomía. Frente a ello el disidente expone el acervo que, a su juicio, debía valorarse de manera conjunta y adminiculada.</w:t>
      </w:r>
      <w:r>
        <w:rPr>
          <w:rFonts w:ascii="Arial" w:eastAsia="Arial" w:hAnsi="Arial" w:cs="Arial"/>
          <w:color w:val="000000"/>
          <w:sz w:val="24"/>
          <w:szCs w:val="24"/>
          <w:vertAlign w:val="superscript"/>
        </w:rPr>
        <w:footnoteReference w:id="478"/>
      </w:r>
      <w:r>
        <w:rPr>
          <w:rFonts w:ascii="Arial" w:eastAsia="Arial" w:hAnsi="Arial" w:cs="Arial"/>
          <w:color w:val="000000"/>
          <w:sz w:val="24"/>
          <w:szCs w:val="24"/>
        </w:rPr>
        <w:t xml:space="preserve"> En consecuencia, la crítica a la fragmentación opone una lectura integral del acervo a una lectura atomizada. Las dimensiones de ese acervo explican la importancia de la crítica.</w:t>
      </w:r>
    </w:p>
    <w:p>
      <w:pPr>
        <w:spacing w:before="0" w:after="0" w:line="360" w:lineRule="auto"/>
        <w:ind w:firstLine="709"/>
        <w:jc w:val="both"/>
      </w:pPr>
      <w:r>
        <w:rPr>
          <w:rFonts w:ascii="Arial" w:eastAsia="Arial" w:hAnsi="Arial" w:cs="Arial"/>
          <w:color w:val="000000"/>
          <w:sz w:val="24"/>
          <w:szCs w:val="24"/>
        </w:rPr>
        <w:t xml:space="preserve">El acervo comprendía 3,188 acordeones impresos de siete modelos, 374 imágenes, videos, audios y enlaces, 45 procedimientos especiales sancionadores, 7 procedimientos de fiscalización y 38 carpetas de investigación. Se sumaban 156 medios de impugnación resueltos por la Sala Superior que aludían a los acordeones y que el voto considera hechos notorios. Según el disidente, estos elementos acreditan la dispersión de las guías en todas las entidades federativas. Los mismos elementos acreditan, según el voto, su concentración en el final de la campaña, la veda y la jornada electoral. El proyecto invoca el criterio reiterado de la Sala de analizar las irregularidades de manera integral, sin seccionar los hechos. El proyecto cita como precedente de ese criterio el SUP-JRC-221/2003.</w:t>
      </w:r>
      <w:r>
        <w:rPr>
          <w:rFonts w:ascii="Arial" w:eastAsia="Arial" w:hAnsi="Arial" w:cs="Arial"/>
          <w:color w:val="000000"/>
          <w:sz w:val="24"/>
          <w:szCs w:val="24"/>
          <w:vertAlign w:val="superscript"/>
        </w:rPr>
        <w:footnoteReference w:id="479"/>
      </w:r>
      <w:r>
        <w:rPr>
          <w:rFonts w:ascii="Arial" w:eastAsia="Arial" w:hAnsi="Arial" w:cs="Arial"/>
          <w:color w:val="000000"/>
          <w:sz w:val="24"/>
          <w:szCs w:val="24"/>
        </w:rPr>
        <w:t xml:space="preserve"> Por tanto, la crítica del voto invoca la propia doctrina de la Sala contra la decisión mayoritaria. El voto formula reproches concretos a la valoración individual.</w:t>
      </w:r>
    </w:p>
    <w:p>
      <w:pPr>
        <w:spacing w:before="0" w:after="0" w:line="360" w:lineRule="auto"/>
        <w:ind w:firstLine="709"/>
        <w:jc w:val="both"/>
      </w:pPr>
      <w:r>
        <w:rPr>
          <w:rFonts w:ascii="Arial" w:eastAsia="Arial" w:hAnsi="Arial" w:cs="Arial"/>
          <w:color w:val="000000"/>
          <w:sz w:val="24"/>
          <w:szCs w:val="24"/>
        </w:rPr>
        <w:t xml:space="preserve">El voto considera absurdo desestimar los acordeones físicos por su buen estado. Según el voto, sus claves territoriales, su diseño uniforme y sus combinaciones consistentes prueban su producción masiva.</w:t>
      </w:r>
      <w:r>
        <w:rPr>
          <w:rFonts w:ascii="Arial" w:eastAsia="Arial" w:hAnsi="Arial" w:cs="Arial"/>
          <w:color w:val="000000"/>
          <w:sz w:val="24"/>
          <w:szCs w:val="24"/>
          <w:vertAlign w:val="superscript"/>
        </w:rPr>
        <w:footnoteReference w:id="480"/>
      </w:r>
      <w:r>
        <w:rPr>
          <w:rFonts w:ascii="Arial" w:eastAsia="Arial" w:hAnsi="Arial" w:cs="Arial"/>
          <w:color w:val="000000"/>
          <w:sz w:val="24"/>
          <w:szCs w:val="24"/>
        </w:rPr>
        <w:t xml:space="preserve"> El voto subraya que el Instituto Nacional Electoral certificó páginas electrónicas dedicadas a distribuir acordeones, y que esas certificaciones son documentales públicas con valor probatorio pleno.</w:t>
      </w:r>
      <w:r>
        <w:rPr>
          <w:rFonts w:ascii="Arial" w:eastAsia="Arial" w:hAnsi="Arial" w:cs="Arial"/>
          <w:color w:val="000000"/>
          <w:sz w:val="24"/>
          <w:szCs w:val="24"/>
          <w:vertAlign w:val="superscript"/>
        </w:rPr>
        <w:footnoteReference w:id="481"/>
      </w:r>
      <w:r>
        <w:rPr>
          <w:rFonts w:ascii="Arial" w:eastAsia="Arial" w:hAnsi="Arial" w:cs="Arial"/>
          <w:color w:val="000000"/>
          <w:sz w:val="24"/>
          <w:szCs w:val="24"/>
        </w:rPr>
        <w:t xml:space="preserve"> El voto invoca la jurisprudencia 38/2002 para sostener que 231 notas periodísticas de 112 medios y 168 autores trascienden la fuerza indiciaria leve.</w:t>
      </w:r>
      <w:r>
        <w:rPr>
          <w:rFonts w:ascii="Arial" w:eastAsia="Arial" w:hAnsi="Arial" w:cs="Arial"/>
          <w:color w:val="000000"/>
          <w:sz w:val="24"/>
          <w:szCs w:val="24"/>
          <w:vertAlign w:val="superscript"/>
        </w:rPr>
        <w:footnoteReference w:id="482"/>
      </w:r>
      <w:r>
        <w:rPr>
          <w:rFonts w:ascii="Arial" w:eastAsia="Arial" w:hAnsi="Arial" w:cs="Arial"/>
          <w:color w:val="000000"/>
          <w:sz w:val="24"/>
          <w:szCs w:val="24"/>
        </w:rPr>
        <w:t xml:space="preserve"> El voto interpreta los deslindes de las candidaturas beneficiadas como reconocimientos de la existencia del fenómeno. El voto califica como prueba diabólica la exigencia de demostrar que una persona identificable fue presionada o votó conforme a un acordeón.</w:t>
      </w:r>
      <w:r>
        <w:rPr>
          <w:rFonts w:ascii="Arial" w:eastAsia="Arial" w:hAnsi="Arial" w:cs="Arial"/>
          <w:color w:val="000000"/>
          <w:sz w:val="24"/>
          <w:szCs w:val="24"/>
          <w:vertAlign w:val="superscript"/>
        </w:rPr>
        <w:footnoteReference w:id="483"/>
      </w:r>
      <w:r>
        <w:rPr>
          <w:rFonts w:ascii="Arial" w:eastAsia="Arial" w:hAnsi="Arial" w:cs="Arial"/>
          <w:color w:val="000000"/>
          <w:sz w:val="24"/>
          <w:szCs w:val="24"/>
        </w:rPr>
        <w:t xml:space="preserve"> Estos reproches tienen un rasgo común. Todos ellos se refieren a pruebas que la mayoría consideró ausentes o insuficientes.</w:t>
      </w:r>
    </w:p>
    <w:p>
      <w:pPr>
        <w:spacing w:before="0" w:after="0" w:line="360" w:lineRule="auto"/>
        <w:ind w:firstLine="709"/>
        <w:jc w:val="both"/>
      </w:pPr>
      <w:r>
        <w:rPr>
          <w:rFonts w:ascii="Arial" w:eastAsia="Arial" w:hAnsi="Arial" w:cs="Arial"/>
          <w:color w:val="000000"/>
          <w:sz w:val="24"/>
          <w:szCs w:val="24"/>
        </w:rPr>
        <w:t xml:space="preserve">La mayoría había enumerado como ejemplos de pruebas faltantes las certificaciones de páginas y redes y las actas o fe de hechos levantadas en diversos puntos del país.</w:t>
      </w:r>
      <w:r>
        <w:rPr>
          <w:rFonts w:ascii="Arial" w:eastAsia="Arial" w:hAnsi="Arial" w:cs="Arial"/>
          <w:color w:val="000000"/>
          <w:sz w:val="24"/>
          <w:szCs w:val="24"/>
          <w:vertAlign w:val="superscript"/>
        </w:rPr>
        <w:footnoteReference w:id="484"/>
      </w:r>
      <w:r>
        <w:rPr>
          <w:rFonts w:ascii="Arial" w:eastAsia="Arial" w:hAnsi="Arial" w:cs="Arial"/>
          <w:color w:val="000000"/>
          <w:sz w:val="24"/>
          <w:szCs w:val="24"/>
        </w:rPr>
        <w:t xml:space="preserve"> El voto sostiene que pruebas de esa clase obraban en los expedientes. Por ello el desacuerdo versa sobre si se alcanzó un resultado probatorio mínimo que la mayoría no definió como regla. Sin un estándar común formulado en términos de resultados, el mismo acervo pudo calificarse como insuficiente por la mayoría y como bastante por la minoría. En consecuencia, la crítica a la fragmentación desemboca en el mismo punto que la denuncia sobre el estándar. El voto aborda por separado el impacto determinante de la irregularidad. El voto observa que las sentencias mayoritarias no contienen un análisis especial sobre ese impacto.</w:t>
      </w:r>
      <w:r>
        <w:rPr>
          <w:rFonts w:ascii="Arial" w:eastAsia="Arial" w:hAnsi="Arial" w:cs="Arial"/>
          <w:color w:val="000000"/>
          <w:sz w:val="24"/>
          <w:szCs w:val="24"/>
          <w:vertAlign w:val="superscript"/>
        </w:rPr>
        <w:footnoteReference w:id="485"/>
      </w:r>
      <w:r>
        <w:rPr>
          <w:rFonts w:ascii="Arial" w:eastAsia="Arial" w:hAnsi="Arial" w:cs="Arial"/>
          <w:color w:val="000000"/>
          <w:sz w:val="24"/>
          <w:szCs w:val="24"/>
        </w:rPr>
        <w:t xml:space="preserve"> Esa omisión obliga al voto a construir su propio análisis de la determinancia con los tres factores conocidos.</w:t>
      </w:r>
    </w:p>
    <w:p>
      <w:pPr>
        <w:spacing w:before="0" w:after="0" w:line="360" w:lineRule="auto"/>
        <w:ind w:firstLine="709"/>
        <w:jc w:val="both"/>
      </w:pPr>
      <w:r>
        <w:rPr>
          <w:rFonts w:ascii="Arial" w:eastAsia="Arial" w:hAnsi="Arial" w:cs="Arial"/>
          <w:color w:val="000000"/>
          <w:sz w:val="24"/>
          <w:szCs w:val="24"/>
        </w:rPr>
        <w:t xml:space="preserve">El voto expone los tres factores de la determinancia con fórmulas afines a la tesis XXXI/2004.</w:t>
      </w:r>
      <w:r>
        <w:rPr>
          <w:rFonts w:ascii="Arial" w:eastAsia="Arial" w:hAnsi="Arial" w:cs="Arial"/>
          <w:color w:val="000000"/>
          <w:sz w:val="24"/>
          <w:szCs w:val="24"/>
          <w:vertAlign w:val="superscript"/>
        </w:rPr>
        <w:footnoteReference w:id="486"/>
      </w:r>
      <w:r>
        <w:rPr>
          <w:rFonts w:ascii="Arial" w:eastAsia="Arial" w:hAnsi="Arial" w:cs="Arial"/>
          <w:color w:val="000000"/>
          <w:sz w:val="24"/>
          <w:szCs w:val="24"/>
        </w:rPr>
        <w:t xml:space="preserve"> En el factor constitucional, la diferencia entre las ganadoras con menos votos y las perdedoras con más votos fue inferior al cinco por ciento. En cuanto al factor cuantitativo, el voto presenta ocho hallazgos y afirma que la combinación de las nueve candidaturas ganadoras corresponde al 70.8 por ciento de los acordeones.</w:t>
      </w:r>
      <w:r>
        <w:rPr>
          <w:rFonts w:ascii="Arial" w:eastAsia="Arial" w:hAnsi="Arial" w:cs="Arial"/>
          <w:color w:val="000000"/>
          <w:sz w:val="24"/>
          <w:szCs w:val="24"/>
          <w:vertAlign w:val="superscript"/>
        </w:rPr>
        <w:footnoteReference w:id="487"/>
      </w:r>
      <w:r>
        <w:rPr>
          <w:rFonts w:ascii="Arial" w:eastAsia="Arial" w:hAnsi="Arial" w:cs="Arial"/>
          <w:color w:val="000000"/>
          <w:sz w:val="24"/>
          <w:szCs w:val="24"/>
        </w:rPr>
        <w:t xml:space="preserve"> El voto invoca una correlación del 92.4 por ciento entre acordeones y resultados. El voto invoca un índice Herfindahl-Hirschman de 0.20 y un coeficiente de Pearson de 0.924 entre los resultados de la Suprema Corte y los del Tribunal de Disciplina Judicial.</w:t>
      </w:r>
      <w:r>
        <w:rPr>
          <w:rFonts w:ascii="Arial" w:eastAsia="Arial" w:hAnsi="Arial" w:cs="Arial"/>
          <w:color w:val="000000"/>
          <w:sz w:val="24"/>
          <w:szCs w:val="24"/>
          <w:vertAlign w:val="superscript"/>
        </w:rPr>
        <w:footnoteReference w:id="488"/>
      </w:r>
      <w:r>
        <w:rPr>
          <w:rFonts w:ascii="Arial" w:eastAsia="Arial" w:hAnsi="Arial" w:cs="Arial"/>
          <w:color w:val="000000"/>
          <w:sz w:val="24"/>
          <w:szCs w:val="24"/>
        </w:rPr>
        <w:t xml:space="preserve"> El proyecto aclara que la estadística no sustituye las inferencias obtenidas del resto de la evidencia, sino que opera como herramienta adicional de comprobación de hipótesis.</w:t>
      </w:r>
      <w:r>
        <w:rPr>
          <w:rFonts w:ascii="Arial" w:eastAsia="Arial" w:hAnsi="Arial" w:cs="Arial"/>
          <w:color w:val="000000"/>
          <w:sz w:val="24"/>
          <w:szCs w:val="24"/>
          <w:vertAlign w:val="superscript"/>
        </w:rPr>
        <w:footnoteReference w:id="489"/>
      </w:r>
      <w:r>
        <w:rPr>
          <w:rFonts w:ascii="Arial" w:eastAsia="Arial" w:hAnsi="Arial" w:cs="Arial"/>
          <w:color w:val="000000"/>
          <w:sz w:val="24"/>
          <w:szCs w:val="24"/>
        </w:rPr>
        <w:t xml:space="preserve"> Por tanto, el proyecto no pretende cuantificar la probabilidad de la hipótesis, sino corroborarla. El proyecto justifica ese uso en una dificultad probatoria específica.</w:t>
      </w:r>
    </w:p>
    <w:p>
      <w:pPr>
        <w:spacing w:before="0" w:after="0" w:line="360" w:lineRule="auto"/>
        <w:ind w:firstLine="709"/>
        <w:jc w:val="both"/>
      </w:pPr>
      <w:r>
        <w:rPr>
          <w:rFonts w:ascii="Arial" w:eastAsia="Arial" w:hAnsi="Arial" w:cs="Arial"/>
          <w:color w:val="000000"/>
          <w:sz w:val="24"/>
          <w:szCs w:val="24"/>
        </w:rPr>
        <w:t xml:space="preserve">El proyecto justifica el uso de la estadística en la dificultad de probar el impacto, pues el secreto del voto impide conocer qué motivó la decisión de cada elector.</w:t>
      </w:r>
      <w:r>
        <w:rPr>
          <w:rFonts w:ascii="Arial" w:eastAsia="Arial" w:hAnsi="Arial" w:cs="Arial"/>
          <w:color w:val="000000"/>
          <w:sz w:val="24"/>
          <w:szCs w:val="24"/>
          <w:vertAlign w:val="superscript"/>
        </w:rPr>
        <w:footnoteReference w:id="490"/>
      </w:r>
      <w:r>
        <w:rPr>
          <w:rFonts w:ascii="Arial" w:eastAsia="Arial" w:hAnsi="Arial" w:cs="Arial"/>
          <w:color w:val="000000"/>
          <w:sz w:val="24"/>
          <w:szCs w:val="24"/>
        </w:rPr>
        <w:t xml:space="preserve"> El proyecto recuerda que la Sala Superior ha considerado desmedido exigir prueba fehaciente de la trascendencia de los hechos, por fijar un estándar casi imposible de alcanzar.</w:t>
      </w:r>
      <w:r>
        <w:rPr>
          <w:rFonts w:ascii="Arial" w:eastAsia="Arial" w:hAnsi="Arial" w:cs="Arial"/>
          <w:color w:val="000000"/>
          <w:sz w:val="24"/>
          <w:szCs w:val="24"/>
          <w:vertAlign w:val="superscript"/>
        </w:rPr>
        <w:footnoteReference w:id="491"/>
      </w:r>
      <w:r>
        <w:rPr>
          <w:rFonts w:ascii="Arial" w:eastAsia="Arial" w:hAnsi="Arial" w:cs="Arial"/>
          <w:color w:val="000000"/>
          <w:sz w:val="24"/>
          <w:szCs w:val="24"/>
        </w:rPr>
        <w:t xml:space="preserve"> En cuanto al factor cualitativo, el voto invoca la vulneración de la libertad del sufragio, la certeza, la legalidad, la equidad, la neutralidad y la prohibición de injerencia de agentes externos.</w:t>
      </w:r>
      <w:r>
        <w:rPr>
          <w:rFonts w:ascii="Arial" w:eastAsia="Arial" w:hAnsi="Arial" w:cs="Arial"/>
          <w:color w:val="000000"/>
          <w:sz w:val="24"/>
          <w:szCs w:val="24"/>
          <w:vertAlign w:val="superscript"/>
        </w:rPr>
        <w:footnoteReference w:id="492"/>
      </w:r>
      <w:r>
        <w:rPr>
          <w:rFonts w:ascii="Arial" w:eastAsia="Arial" w:hAnsi="Arial" w:cs="Arial"/>
          <w:color w:val="000000"/>
          <w:sz w:val="24"/>
          <w:szCs w:val="24"/>
        </w:rPr>
        <w:t xml:space="preserve"> En consecuencia, el voto construye la determinancia con los tres factores tradicionales. Esa construcción aporta una base empírica que la mayoría no examinó. La relación entre esa construcción y los estándares que el propio voto propuso requiere, sin embargo, un examen cuidadoso. Esa relación constituye la tercera tensión interna del voto. La tensión aparece al comparar las pautas de la determinancia con el umbral prevalente que el proyecto declaró aplicable al impacto.</w:t>
      </w:r>
    </w:p>
    <w:p>
      <w:pPr>
        <w:spacing w:before="0" w:after="0" w:line="360" w:lineRule="auto"/>
        <w:ind w:firstLine="709"/>
        <w:jc w:val="both"/>
      </w:pPr>
      <w:r>
        <w:rPr>
          <w:rFonts w:ascii="Arial" w:eastAsia="Arial" w:hAnsi="Arial" w:cs="Arial"/>
          <w:color w:val="000000"/>
          <w:sz w:val="24"/>
          <w:szCs w:val="24"/>
        </w:rPr>
        <w:t xml:space="preserve">El tratamiento de la determinancia muestra el alcance y el límite de la ruptura. El proyecto somete el impacto de la irregularidad al estándar de probabilidad prevalente, pues la hipótesis que examina incluye que la propaganda impactó en la validez de la elección.</w:t>
      </w:r>
      <w:r>
        <w:rPr>
          <w:rFonts w:ascii="Arial" w:eastAsia="Arial" w:hAnsi="Arial" w:cs="Arial"/>
          <w:color w:val="000000"/>
          <w:sz w:val="24"/>
          <w:szCs w:val="24"/>
          <w:vertAlign w:val="superscript"/>
        </w:rPr>
        <w:footnoteReference w:id="493"/>
      </w:r>
      <w:r>
        <w:rPr>
          <w:rFonts w:ascii="Arial" w:eastAsia="Arial" w:hAnsi="Arial" w:cs="Arial"/>
          <w:color w:val="000000"/>
          <w:sz w:val="24"/>
          <w:szCs w:val="24"/>
        </w:rPr>
        <w:t xml:space="preserve"> Conforme a ese estándar, bastaría mostrar que la hipótesis del impacto es más probable que su negación. Sin embargo, la conclusión se formula en otros términos. El proyecto afirma que la correlación estadística permite concluir una posible causalidad directa y que es imposible descartar la influencia de las guías en los resultados.</w:t>
      </w:r>
      <w:r>
        <w:rPr>
          <w:rFonts w:ascii="Arial" w:eastAsia="Arial" w:hAnsi="Arial" w:cs="Arial"/>
          <w:color w:val="000000"/>
          <w:sz w:val="24"/>
          <w:szCs w:val="24"/>
          <w:vertAlign w:val="superscript"/>
        </w:rPr>
        <w:footnoteReference w:id="494"/>
      </w:r>
      <w:r>
        <w:rPr>
          <w:rFonts w:ascii="Arial" w:eastAsia="Arial" w:hAnsi="Arial" w:cs="Arial"/>
          <w:color w:val="000000"/>
          <w:sz w:val="24"/>
          <w:szCs w:val="24"/>
        </w:rPr>
        <w:t xml:space="preserve"> La imposibilidad de descartar una hipótesis no equivale a que esta sea más probable que su negación. El proyecto afirma que, sin la influencia de los acordeones, los resultados no podrían explicarse, lo que se aproxima a la refutación de hipótesis alternativas.</w:t>
      </w:r>
      <w:r>
        <w:rPr>
          <w:rFonts w:ascii="Arial" w:eastAsia="Arial" w:hAnsi="Arial" w:cs="Arial"/>
          <w:color w:val="000000"/>
          <w:sz w:val="24"/>
          <w:szCs w:val="24"/>
          <w:vertAlign w:val="superscript"/>
        </w:rPr>
        <w:footnoteReference w:id="495"/>
      </w:r>
      <w:r>
        <w:rPr>
          <w:rFonts w:ascii="Arial" w:eastAsia="Arial" w:hAnsi="Arial" w:cs="Arial"/>
          <w:color w:val="000000"/>
          <w:sz w:val="24"/>
          <w:szCs w:val="24"/>
        </w:rPr>
        <w:t xml:space="preserve"> En consecuencia, el proyecto oscila entre una formulación débil y otra fuerte del resultado, sin indicar cuál satisface el estándar declarado.</w:t>
      </w:r>
    </w:p>
    <w:p>
      <w:pPr>
        <w:spacing w:before="0" w:after="0" w:line="360" w:lineRule="auto"/>
        <w:ind w:firstLine="709"/>
        <w:jc w:val="both"/>
      </w:pPr>
      <w:r>
        <w:rPr>
          <w:rFonts w:ascii="Arial" w:eastAsia="Arial" w:hAnsi="Arial" w:cs="Arial"/>
          <w:color w:val="000000"/>
          <w:sz w:val="24"/>
          <w:szCs w:val="24"/>
        </w:rPr>
        <w:t xml:space="preserve">La mayoría había rechazado la inferencia estadística por falta de reiteración de la variable a través del tiempo.</w:t>
      </w:r>
      <w:r>
        <w:rPr>
          <w:rFonts w:ascii="Arial" w:eastAsia="Arial" w:hAnsi="Arial" w:cs="Arial"/>
          <w:color w:val="000000"/>
          <w:sz w:val="24"/>
          <w:szCs w:val="24"/>
          <w:vertAlign w:val="superscript"/>
        </w:rPr>
        <w:footnoteReference w:id="496"/>
      </w:r>
      <w:r>
        <w:rPr>
          <w:rFonts w:ascii="Arial" w:eastAsia="Arial" w:hAnsi="Arial" w:cs="Arial"/>
          <w:color w:val="000000"/>
          <w:sz w:val="24"/>
          <w:szCs w:val="24"/>
        </w:rPr>
        <w:t xml:space="preserve"> El disidente replicó que un análisis de corte transversal era válido.</w:t>
      </w:r>
      <w:r>
        <w:rPr>
          <w:rFonts w:ascii="Arial" w:eastAsia="Arial" w:hAnsi="Arial" w:cs="Arial"/>
          <w:color w:val="000000"/>
          <w:sz w:val="24"/>
          <w:szCs w:val="24"/>
          <w:vertAlign w:val="superscript"/>
        </w:rPr>
        <w:footnoteReference w:id="497"/>
      </w:r>
      <w:r>
        <w:rPr>
          <w:rFonts w:ascii="Arial" w:eastAsia="Arial" w:hAnsi="Arial" w:cs="Arial"/>
          <w:color w:val="000000"/>
          <w:sz w:val="24"/>
          <w:szCs w:val="24"/>
        </w:rPr>
        <w:t xml:space="preserve"> El desacuerdo sobre la determinancia se reduce, por ello, a juicios opuestos sobre la fuerza de una misma evidencia estadística. Los factores de la determinancia definen qué debe probarse, pero no cuánto debe probarse. El proyecto supera esa limitación en el plano declarativo, porque somete el impacto al estándar de probabilidad prevalente. En la aplicación, sin embargo, el parámetro constitucional del cinco por ciento y la gravedad de los principios vulnerados se presentan como razones autónomas de determinancia.</w:t>
      </w:r>
      <w:r>
        <w:rPr>
          <w:rFonts w:ascii="Arial" w:eastAsia="Arial" w:hAnsi="Arial" w:cs="Arial"/>
          <w:color w:val="000000"/>
          <w:sz w:val="24"/>
          <w:szCs w:val="24"/>
          <w:vertAlign w:val="superscript"/>
        </w:rPr>
        <w:footnoteReference w:id="498"/>
      </w:r>
      <w:r>
        <w:rPr>
          <w:rFonts w:ascii="Arial" w:eastAsia="Arial" w:hAnsi="Arial" w:cs="Arial"/>
          <w:color w:val="000000"/>
          <w:sz w:val="24"/>
          <w:szCs w:val="24"/>
        </w:rPr>
        <w:t xml:space="preserve"> En esa medida, el factor cualitativo vuelve a absorber la cuestión probatoria del impacto. Por tanto, la ruptura es más nítida en la prueba de la irregularidad que en la prueba de su impacto.</w:t>
      </w:r>
    </w:p>
    <w:p>
      <w:pPr>
        <w:spacing w:before="0" w:after="0" w:line="360" w:lineRule="auto"/>
        <w:ind w:firstLine="709"/>
        <w:jc w:val="both"/>
      </w:pPr>
      <w:r>
        <w:rPr>
          <w:rFonts w:ascii="Arial" w:eastAsia="Arial" w:hAnsi="Arial" w:cs="Arial"/>
          <w:color w:val="000000"/>
          <w:sz w:val="24"/>
          <w:szCs w:val="24"/>
        </w:rPr>
        <w:t xml:space="preserve">Esa conclusión no resta mérito al esfuerzo empírico del proyecto. Esa conclusión indica que el error de categoría se localiza en la estructura de la determinancia y no solo en la actitud de quienes la aplican. La evaluación de conjunto permite medir con precisión el alcance del voto. Frente al primer requisito, el proyecto remite la prueba al grado de corroboración, aunque el voto conserva expresiones de convicción y certeza. Frente al segundo, formula umbrales para la irregularidad y la autoría, pero no aplica el suyo con consistencia al impacto. Frente al tercero, adopta la probabilidad inductiva y usa la estadística como refuerzo de la inferencia. Frente al cuarto, el proyecto diferencia estándares según el hecho y la gravedad de la atribución, aunque los hace depender de la modulación judicial. En consecuencia, el voto supera a la sentencia mayoritaria en los cuatro requisitos.</w:t>
      </w:r>
    </w:p>
    <w:p>
      <w:pPr>
        <w:spacing w:before="0" w:after="0" w:line="360" w:lineRule="auto"/>
        <w:ind w:firstLine="709"/>
        <w:jc w:val="both"/>
      </w:pPr>
      <w:r>
        <w:rPr>
          <w:rFonts w:ascii="Arial" w:eastAsia="Arial" w:hAnsi="Arial" w:cs="Arial"/>
          <w:color w:val="000000"/>
          <w:sz w:val="24"/>
          <w:szCs w:val="24"/>
        </w:rPr>
        <w:t xml:space="preserve">De los textos examinados, el voto es el único que formula criterios de suficiencia en términos de relación entre hipótesis. Sus limitaciones derivan de la necesidad de construir el estándar sin apoyo en el texto legal. La comparación confirma que la ruptura de 2025 es real. Un integrante de la Sala Superior formula, fundamenta y aplica un estándar de prueba para la nulidad de una elección, incluso cuando el resultado le es desfavorable. La continuidad con la tradición se localiza en dos puntos precisos. El primer punto es el vocabulario de la convicción, que reaparece cuando el voto describe el resultado probatorio. El segundo punto es la fuente del estándar, que el voto sitúa en la libertad de valoración del artículo 16. Ambos puntos derivan de la cláusula híbrida, que combina un método racional con un umbral psicológico y no asigna a nadie la competencia para fijar la suficiencia.</w:t>
      </w:r>
    </w:p>
    <w:p>
      <w:pPr>
        <w:spacing w:before="0" w:after="0" w:line="360" w:lineRule="auto"/>
        <w:ind w:firstLine="709"/>
        <w:jc w:val="both"/>
      </w:pPr>
      <w:r>
        <w:rPr>
          <w:rFonts w:ascii="Arial" w:eastAsia="Arial" w:hAnsi="Arial" w:cs="Arial"/>
          <w:color w:val="000000"/>
          <w:sz w:val="24"/>
          <w:szCs w:val="24"/>
        </w:rPr>
        <w:t xml:space="preserve">El disidente identifica el vacío de la cláusula híbrida y lo llena con una construcción jurisprudencial que la mayoría no compartió. El cotejo con el disenso del SUP-JRC-487/2000 permite apreciar la distancia recorrida en veinticinco años. En 2000, los magistrados Eloy Fuentes Cerda y Alfonsina Berta Navarro Hidalgo sostuvieron que el acervo era insuficiente para anular la elección de gobernador.</w:t>
      </w:r>
      <w:r>
        <w:rPr>
          <w:rFonts w:ascii="Arial" w:eastAsia="Arial" w:hAnsi="Arial" w:cs="Arial"/>
          <w:color w:val="000000"/>
          <w:sz w:val="24"/>
          <w:szCs w:val="24"/>
          <w:vertAlign w:val="superscript"/>
        </w:rPr>
        <w:footnoteReference w:id="499"/>
      </w:r>
      <w:r>
        <w:rPr>
          <w:rFonts w:ascii="Arial" w:eastAsia="Arial" w:hAnsi="Arial" w:cs="Arial"/>
          <w:color w:val="000000"/>
          <w:sz w:val="24"/>
          <w:szCs w:val="24"/>
        </w:rPr>
        <w:t xml:space="preserve"> Su disenso combinó un argumento de legalidad, centrado en la jornada electoral, con una crítica detallada de las inferencias de la mayoría. Los disidentes exigieron datos empíricos concretos y propusieron hipótesis alternativas, pero expresaron la suficiencia en términos de fuerza convictiva.</w:t>
      </w:r>
      <w:r>
        <w:rPr>
          <w:rFonts w:ascii="Arial" w:eastAsia="Arial" w:hAnsi="Arial" w:cs="Arial"/>
          <w:color w:val="000000"/>
          <w:sz w:val="24"/>
          <w:szCs w:val="24"/>
          <w:vertAlign w:val="superscript"/>
        </w:rPr>
        <w:footnoteReference w:id="500"/>
      </w:r>
      <w:r>
        <w:rPr>
          <w:rFonts w:ascii="Arial" w:eastAsia="Arial" w:hAnsi="Arial" w:cs="Arial"/>
          <w:color w:val="000000"/>
          <w:sz w:val="24"/>
          <w:szCs w:val="24"/>
        </w:rPr>
        <w:t xml:space="preserve"> El voto de 2025 invierte la dirección del disenso, pues la minoría sostiene ahora la nulidad y la mayoría la validez. El sentido del reproche se invierte, porque el disidente no atribuye a la mayoría inferencias débiles, sino exigencias excesivas. La diferencia principal entre ambos disensos es, sin embargo, conceptual.</w:t>
      </w:r>
    </w:p>
    <w:p>
      <w:pPr>
        <w:spacing w:before="0" w:after="0" w:line="360" w:lineRule="auto"/>
        <w:ind w:firstLine="709"/>
        <w:jc w:val="both"/>
      </w:pPr>
      <w:r>
        <w:rPr>
          <w:rFonts w:ascii="Arial" w:eastAsia="Arial" w:hAnsi="Arial" w:cs="Arial"/>
          <w:color w:val="000000"/>
          <w:sz w:val="24"/>
          <w:szCs w:val="24"/>
        </w:rPr>
        <w:t xml:space="preserve">En 2000 ninguna de las posiciones cuestionó la ausencia de un estándar. En 2025 el disidente convierte esa ausencia en el núcleo de su crítica y propone dos estándares. Ambos disensos coinciden, no obstante, en conservar expresiones de convicción. Ambos resuelven la determinancia con los factores cuantitativo y cualitativo heredados de la jurisprudencia. La crítica de 2025 tiene un antecedente en los votos del propio magistrado. En el SUP-REC-1388/2018, relativo a la elección de la alcaldía de Coyoacán, la Sala Superior concluyó que la violencia política por razón de género acreditada no era determinante.</w:t>
      </w:r>
      <w:r>
        <w:rPr>
          <w:rFonts w:ascii="Arial" w:eastAsia="Arial" w:hAnsi="Arial" w:cs="Arial"/>
          <w:color w:val="000000"/>
          <w:sz w:val="24"/>
          <w:szCs w:val="24"/>
          <w:vertAlign w:val="superscript"/>
        </w:rPr>
        <w:footnoteReference w:id="501"/>
      </w:r>
      <w:r>
        <w:rPr>
          <w:rFonts w:ascii="Arial" w:eastAsia="Arial" w:hAnsi="Arial" w:cs="Arial"/>
          <w:color w:val="000000"/>
          <w:sz w:val="24"/>
          <w:szCs w:val="24"/>
        </w:rPr>
        <w:t xml:space="preserve"> El magistrado Rodríguez Mondragón compartió el sentido del fallo, pero formuló un voto razonado para precisar su postura.</w:t>
      </w:r>
      <w:r>
        <w:rPr>
          <w:rFonts w:ascii="Arial" w:eastAsia="Arial" w:hAnsi="Arial" w:cs="Arial"/>
          <w:color w:val="000000"/>
          <w:sz w:val="24"/>
          <w:szCs w:val="24"/>
          <w:vertAlign w:val="superscript"/>
        </w:rPr>
        <w:footnoteReference w:id="502"/>
      </w:r>
      <w:r>
        <w:rPr>
          <w:rFonts w:ascii="Arial" w:eastAsia="Arial" w:hAnsi="Arial" w:cs="Arial"/>
          <w:color w:val="000000"/>
          <w:sz w:val="24"/>
          <w:szCs w:val="24"/>
        </w:rPr>
        <w:t xml:space="preserve"> Por consiguiente, la crítica de 2025 no surgió de manera aislada, sino que prolonga una reflexión iniciada siete años antes.</w:t>
      </w:r>
    </w:p>
    <w:p>
      <w:pPr>
        <w:spacing w:before="0" w:after="0" w:line="360" w:lineRule="auto"/>
        <w:ind w:firstLine="709"/>
        <w:jc w:val="both"/>
      </w:pPr>
      <w:r>
        <w:rPr>
          <w:rFonts w:ascii="Arial" w:eastAsia="Arial" w:hAnsi="Arial" w:cs="Arial"/>
          <w:color w:val="000000"/>
          <w:sz w:val="24"/>
          <w:szCs w:val="24"/>
        </w:rPr>
        <w:t xml:space="preserve">El voto de 2018 anticipa tres argumentos. Respecto del uso de un programa social, el magistrado advirtió que debía evitarse adoptar estándares probatorios sumamente complicados de satisfacer.</w:t>
      </w:r>
      <w:r>
        <w:rPr>
          <w:rFonts w:ascii="Arial" w:eastAsia="Arial" w:hAnsi="Arial" w:cs="Arial"/>
          <w:color w:val="000000"/>
          <w:sz w:val="24"/>
          <w:szCs w:val="24"/>
          <w:vertAlign w:val="superscript"/>
        </w:rPr>
        <w:footnoteReference w:id="503"/>
      </w:r>
      <w:r>
        <w:rPr>
          <w:rFonts w:ascii="Arial" w:eastAsia="Arial" w:hAnsi="Arial" w:cs="Arial"/>
          <w:color w:val="000000"/>
          <w:sz w:val="24"/>
          <w:szCs w:val="24"/>
        </w:rPr>
        <w:t xml:space="preserve"> El magistrado sostuvo que, por su carácter ilícito, esas conductas suelen realizarse de manera encubierta, de modo que no sería viable exigir una prueba directa.</w:t>
      </w:r>
      <w:r>
        <w:rPr>
          <w:rFonts w:ascii="Arial" w:eastAsia="Arial" w:hAnsi="Arial" w:cs="Arial"/>
          <w:color w:val="000000"/>
          <w:sz w:val="24"/>
          <w:szCs w:val="24"/>
          <w:vertAlign w:val="superscript"/>
        </w:rPr>
        <w:footnoteReference w:id="504"/>
      </w:r>
      <w:r>
        <w:rPr>
          <w:rFonts w:ascii="Arial" w:eastAsia="Arial" w:hAnsi="Arial" w:cs="Arial"/>
          <w:color w:val="000000"/>
          <w:sz w:val="24"/>
          <w:szCs w:val="24"/>
        </w:rPr>
        <w:t xml:space="preserve"> Respecto de la violencia política de género, el magistrado afirmó que exigir prueba fehaciente de la trascendencia fijaba un estándar probatorio muy alto, prácticamente imposible de alcanzar.</w:t>
      </w:r>
      <w:r>
        <w:rPr>
          <w:rFonts w:ascii="Arial" w:eastAsia="Arial" w:hAnsi="Arial" w:cs="Arial"/>
          <w:color w:val="000000"/>
          <w:sz w:val="24"/>
          <w:szCs w:val="24"/>
          <w:vertAlign w:val="superscript"/>
        </w:rPr>
        <w:footnoteReference w:id="505"/>
      </w:r>
      <w:r>
        <w:rPr>
          <w:rFonts w:ascii="Arial" w:eastAsia="Arial" w:hAnsi="Arial" w:cs="Arial"/>
          <w:color w:val="000000"/>
          <w:sz w:val="24"/>
          <w:szCs w:val="24"/>
        </w:rPr>
        <w:t xml:space="preserve"> El magistrado consideró excesivo exigir pruebas irrefutables y sostuvo que la atribución de responsabilidad no era condición necesaria para declarar la nulidad.</w:t>
      </w:r>
      <w:r>
        <w:rPr>
          <w:rFonts w:ascii="Arial" w:eastAsia="Arial" w:hAnsi="Arial" w:cs="Arial"/>
          <w:color w:val="000000"/>
          <w:sz w:val="24"/>
          <w:szCs w:val="24"/>
          <w:vertAlign w:val="superscript"/>
        </w:rPr>
        <w:footnoteReference w:id="506"/>
      </w:r>
      <w:r>
        <w:rPr>
          <w:rFonts w:ascii="Arial" w:eastAsia="Arial" w:hAnsi="Arial" w:cs="Arial"/>
          <w:color w:val="000000"/>
          <w:sz w:val="24"/>
          <w:szCs w:val="24"/>
        </w:rPr>
        <w:t xml:space="preserve"> Los tres argumentos, que son la clandestinidad, el rechazo de las pruebas irrefutables y la innecesidad de probar la autoría, reaparecen en 2025. En 2018 el disidente objetó el nivel de exigencia sin identificar qué estándar debía aplicarse. En 2025, en cambio, el disidente formuló dos estándares diferenciados.</w:t>
      </w:r>
    </w:p>
    <w:p>
      <w:pPr>
        <w:spacing w:before="0" w:after="0" w:line="360" w:lineRule="auto"/>
        <w:ind w:firstLine="709"/>
        <w:jc w:val="both"/>
      </w:pPr>
      <w:r>
        <w:rPr>
          <w:rFonts w:ascii="Arial" w:eastAsia="Arial" w:hAnsi="Arial" w:cs="Arial"/>
          <w:color w:val="000000"/>
          <w:sz w:val="24"/>
          <w:szCs w:val="24"/>
        </w:rPr>
        <w:t xml:space="preserve">La continuidad entre ambos votos muestra que la explicitación del estándar fue el resultado de una elaboración progresiva en los votos de un mismo magistrado. La crítica del voto carece, sin embargo, de efectos vinculantes. El voto particular expresa la posición de quien disiente y no integra las razones que sustentan la decisión. Su valor para esta investigación es de otra índole. El voto documenta, desde el interior del órgano, que la mayoría decidió sin enunciar el estándar que aplicaba. El voto muestra que el artículo 16 de la ley de medios admitió, en el mismo asunto, al menos tres umbrales distintos. La parte actora pidió un estándar flexible, el disidente propuso la probabilidad prevalente y la mayoría exigió medios de convicción irrefutables.</w:t>
      </w:r>
      <w:r>
        <w:rPr>
          <w:rFonts w:ascii="Arial" w:eastAsia="Arial" w:hAnsi="Arial" w:cs="Arial"/>
          <w:color w:val="000000"/>
          <w:sz w:val="24"/>
          <w:szCs w:val="24"/>
          <w:vertAlign w:val="superscript"/>
        </w:rPr>
        <w:footnoteReference w:id="507"/>
      </w:r>
      <w:r>
        <w:rPr>
          <w:rFonts w:ascii="Arial" w:eastAsia="Arial" w:hAnsi="Arial" w:cs="Arial"/>
          <w:color w:val="000000"/>
          <w:sz w:val="24"/>
          <w:szCs w:val="24"/>
        </w:rPr>
        <w:t xml:space="preserve"> Ninguno de esos umbrales puede derivarse del texto legal ni descartarse con base en él.</w:t>
      </w:r>
    </w:p>
    <w:p>
      <w:pPr>
        <w:spacing w:before="0" w:after="0" w:line="360" w:lineRule="auto"/>
        <w:ind w:firstLine="709"/>
        <w:jc w:val="both"/>
      </w:pPr>
      <w:r>
        <w:rPr>
          <w:rFonts w:ascii="Arial" w:eastAsia="Arial" w:hAnsi="Arial" w:cs="Arial"/>
          <w:color w:val="000000"/>
          <w:sz w:val="24"/>
          <w:szCs w:val="24"/>
        </w:rPr>
        <w:t xml:space="preserve">La indeterminación del umbral depende de la estructura de la cláusula híbrida y no de la calidad técnica de quienes deciden. Por ello la experiencia de 2025 sugiere que la corrección del error de categoría no puede confiarse únicamente a la evolución jurisprudencial. Esa experiencia fundamenta una reforma legal. El análisis del voto permite formular cuatro conclusiones. La primera conclusión atribuye el disenso probatorio al magistrado Rodríguez Mondragón, al que se adhiere la magistrada Otálora Malassis. La segunda sostiene que el voto denuncia la falta de estándar explícito y formula una teoría apoyada en Ferrer Beltrán. La tercera conclusión sostiene que el voto propone dos umbrales identificables y aplica el más elevado aun en contra de su propia pretensión. La cuarta sostiene que la construcción conserva tres tensiones, que son la convicción, la modulación judicial y un impacto ajeno al estándar declarado.</w:t>
      </w:r>
    </w:p>
    <w:p>
      <w:pPr>
        <w:spacing w:before="0" w:after="0" w:line="360" w:lineRule="auto"/>
        <w:ind w:firstLine="709"/>
        <w:jc w:val="both"/>
      </w:pPr>
      <w:r>
        <w:rPr>
          <w:rFonts w:ascii="Arial" w:eastAsia="Arial" w:hAnsi="Arial" w:cs="Arial"/>
          <w:color w:val="000000"/>
          <w:sz w:val="24"/>
          <w:szCs w:val="24"/>
        </w:rPr>
        <w:t xml:space="preserve">La ruptura de 2025 es real en el diagnóstico y en la teoría, y parcial en la aplicación. Sus límites derivan de un precepto que combina un método racional, una tasación legal y un umbral psicológico. Ese precepto no atribuye a nadie la fijación de la suficiencia. La persistencia de ese diseño a lo largo de veinticinco años exige elevar el análisis del caso concreto a la teoría del precepto. Los casos de 2000 y de 2025 muestran los síntomas, pero no explican la naturaleza de la cláusula que los produce. Por consiguiente, la investigación requiere una caracterización teórica del artículo 16. Esa caracterización debe precisar qué modelos de valoración combina la cláusula y por qué su combinación impide fijar un umbral. La noción de cláusula mixta de valoración probatoria ofrece el marco adecuado para esa caracterización.</w:t>
      </w:r>
    </w:p>
    <w:p>
      <w:pPr>
        <w:spacing w:before="0" w:after="0" w:line="360" w:lineRule="auto"/>
        <w:jc w:val="left"/>
      </w:pPr>
    </w:p>
    <w:p>
      <w:pPr>
        <w:pStyle w:val="Ttulo2"/>
        <w:keepNext/>
        <w:spacing w:before="0" w:after="0" w:line="360" w:lineRule="auto"/>
        <w:ind w:left="567" w:hanging="284"/>
        <w:jc w:val="left"/>
      </w:pPr>
      <w:bookmarkStart w:id="817" w:name="_Toc9000017"/>
      <w:r>
        <w:rPr>
          <w:rFonts w:ascii="Arial" w:eastAsia="Arial" w:hAnsi="Arial" w:cs="Arial"/>
          <w:color w:val="000000"/>
          <w:sz w:val="24"/>
          <w:szCs w:val="24"/>
        </w:rPr>
        <w:t xml:space="preserve">3.3. </w:t>
      </w:r>
      <w:r>
        <w:rPr>
          <w:rFonts w:ascii="Arial" w:eastAsia="Arial" w:hAnsi="Arial" w:cs="Arial"/>
          <w:i/>
          <w:iCs/>
          <w:color w:val="000000"/>
          <w:sz w:val="24"/>
          <w:szCs w:val="24"/>
        </w:rPr>
        <w:t xml:space="preserve">Caracterización teórica de la cláusula del artículo 16 de la LGSMIME como cláusula mixta</w:t>
      </w:r>
      <w:bookmarkEnd w:id="817"/>
    </w:p>
    <w:p>
      <w:pPr>
        <w:spacing w:before="0" w:after="0" w:line="360" w:lineRule="auto"/>
        <w:jc w:val="left"/>
      </w:pPr>
    </w:p>
    <w:p>
      <w:pPr>
        <w:spacing w:before="0" w:after="0" w:line="360" w:lineRule="auto"/>
        <w:ind w:firstLine="0"/>
        <w:jc w:val="both"/>
      </w:pPr>
      <w:r>
        <w:rPr>
          <w:rFonts w:ascii="Arial" w:eastAsia="Arial" w:hAnsi="Arial" w:cs="Arial"/>
          <w:color w:val="000000"/>
          <w:sz w:val="24"/>
          <w:szCs w:val="24"/>
        </w:rPr>
        <w:t xml:space="preserve">Ni la mayoría ni la disidencia del SUP-JIN-194/2025 pudieron apoyarse en una regla legal de suficiencia. Ambas hallaron en el artículo 16 respaldo para umbrales distintos. La estructura de ese precepto permite calificarlo como una cláusula mixta de valoración probatoria. Esa expresión retoma y precisa la noción de cláusula híbrida. La tesis que se sostiene es que el artículo 16 combina en una misma unidad normativa un método racional, una tasación legal y un umbral de convicción, sin reglas que articulen esos componentes. Esa combinación constituye un defecto de estructura, distinto de la vaguedad y de la ambigüedad. Su consecuencia práctica es que el componente racional se invoca con regularidad, pero rara vez opera como premisa del razonamiento que decide la suficiencia. El análisis se apoya en la doctrina, en los textos legales y en estudios sobre la práctica de la Sala Superior.</w:t>
      </w:r>
    </w:p>
    <w:p>
      <w:pPr>
        <w:spacing w:before="0" w:after="0" w:line="360" w:lineRule="auto"/>
        <w:ind w:firstLine="709"/>
        <w:jc w:val="both"/>
      </w:pPr>
      <w:r>
        <w:rPr>
          <w:rFonts w:ascii="Arial" w:eastAsia="Arial" w:hAnsi="Arial" w:cs="Arial"/>
          <w:color w:val="000000"/>
          <w:sz w:val="24"/>
          <w:szCs w:val="24"/>
        </w:rPr>
        <w:t xml:space="preserve">El examen de la cláusula mixta sigue un orden progresivo. El punto de partida son los sistemas de valoración y la noción clásica de sistema mixto. Sobre esa base se define la cláusula mixta, se deslinda de la textura abierta y de la ambigüedad, y se describe la anatomía del artículo 16. El análisis examina después el funcionamiento inerte del componente racional, las reglas jurisprudenciales de peso y las cláusulas análogas. Las consecuencias dogmáticas de la calificación y su relación con el error de categoría cierran el examen. La doctrina procesal distingue tradicionalmente tres sistemas de valoración de la prueba. En el sistema de prueba legal o tasada, el legislador fija de antemano el valor de los medios de prueba y el juez se limita a aplicarlo.</w:t>
      </w:r>
      <w:r>
        <w:rPr>
          <w:rFonts w:ascii="Arial" w:eastAsia="Arial" w:hAnsi="Arial" w:cs="Arial"/>
          <w:color w:val="000000"/>
          <w:sz w:val="24"/>
          <w:szCs w:val="24"/>
          <w:vertAlign w:val="superscript"/>
        </w:rPr>
        <w:footnoteReference w:id="508"/>
      </w:r>
      <w:r>
        <w:rPr>
          <w:rFonts w:ascii="Arial" w:eastAsia="Arial" w:hAnsi="Arial" w:cs="Arial"/>
          <w:color w:val="000000"/>
          <w:sz w:val="24"/>
          <w:szCs w:val="24"/>
        </w:rPr>
        <w:t xml:space="preserve"> Zeferín Hernández sitúa el origen de ese sistema en el derecho canónico y observa que automatiza al juzgador al valor limitado y específico establecido en la ley.</w:t>
      </w:r>
    </w:p>
    <w:p>
      <w:pPr>
        <w:spacing w:before="0" w:after="0" w:line="360" w:lineRule="auto"/>
        <w:ind w:firstLine="709"/>
        <w:jc w:val="both"/>
      </w:pPr>
      <w:r>
        <w:rPr>
          <w:rFonts w:ascii="Arial" w:eastAsia="Arial" w:hAnsi="Arial" w:cs="Arial"/>
          <w:color w:val="000000"/>
          <w:sz w:val="24"/>
          <w:szCs w:val="24"/>
        </w:rPr>
        <w:t xml:space="preserve">El sistema de íntima convicción, propio del jurado popular de la Revolución Francesa, permitía decidir sin justificar la decisión.</w:t>
      </w:r>
      <w:r>
        <w:rPr>
          <w:rFonts w:ascii="Arial" w:eastAsia="Arial" w:hAnsi="Arial" w:cs="Arial"/>
          <w:color w:val="000000"/>
          <w:sz w:val="24"/>
          <w:szCs w:val="24"/>
          <w:vertAlign w:val="superscript"/>
        </w:rPr>
        <w:footnoteReference w:id="509"/>
      </w:r>
      <w:r>
        <w:rPr>
          <w:rFonts w:ascii="Arial" w:eastAsia="Arial" w:hAnsi="Arial" w:cs="Arial"/>
          <w:color w:val="000000"/>
          <w:sz w:val="24"/>
          <w:szCs w:val="24"/>
        </w:rPr>
        <w:t xml:space="preserve"> Esa falta de justificación impedía el control de la decisión. Zeferín Hernández recuerda que Ferrajoli lo calificó como una de las páginas políticamente más amargas de las instituciones penales.</w:t>
      </w:r>
      <w:r>
        <w:rPr>
          <w:rFonts w:ascii="Arial" w:eastAsia="Arial" w:hAnsi="Arial" w:cs="Arial"/>
          <w:color w:val="000000"/>
          <w:sz w:val="24"/>
          <w:szCs w:val="24"/>
          <w:vertAlign w:val="superscript"/>
        </w:rPr>
        <w:footnoteReference w:id="510"/>
      </w:r>
      <w:r>
        <w:rPr>
          <w:rFonts w:ascii="Arial" w:eastAsia="Arial" w:hAnsi="Arial" w:cs="Arial"/>
          <w:color w:val="000000"/>
          <w:sz w:val="24"/>
          <w:szCs w:val="24"/>
        </w:rPr>
        <w:t xml:space="preserve"> La sana crítica surgió en la legislación española del siglo XIX y concede libertad sujeta a la experiencia, la lógica y la ciencia.</w:t>
      </w:r>
      <w:r>
        <w:rPr>
          <w:rFonts w:ascii="Arial" w:eastAsia="Arial" w:hAnsi="Arial" w:cs="Arial"/>
          <w:color w:val="000000"/>
          <w:sz w:val="24"/>
          <w:szCs w:val="24"/>
          <w:vertAlign w:val="superscript"/>
        </w:rPr>
        <w:footnoteReference w:id="511"/>
      </w:r>
      <w:r>
        <w:rPr>
          <w:rFonts w:ascii="Arial" w:eastAsia="Arial" w:hAnsi="Arial" w:cs="Arial"/>
          <w:color w:val="000000"/>
          <w:sz w:val="24"/>
          <w:szCs w:val="24"/>
        </w:rPr>
        <w:t xml:space="preserve"> Ferrer Beltrán precisa que la libre valoración es libre solo en el sentido de que no está sujeta a normas jurídicas que predeterminen su resultado.</w:t>
      </w:r>
      <w:r>
        <w:rPr>
          <w:rFonts w:ascii="Arial" w:eastAsia="Arial" w:hAnsi="Arial" w:cs="Arial"/>
          <w:color w:val="000000"/>
          <w:sz w:val="24"/>
          <w:szCs w:val="24"/>
          <w:vertAlign w:val="superscript"/>
        </w:rPr>
        <w:footnoteReference w:id="512"/>
      </w:r>
      <w:r>
        <w:rPr>
          <w:rFonts w:ascii="Arial" w:eastAsia="Arial" w:hAnsi="Arial" w:cs="Arial"/>
          <w:color w:val="000000"/>
          <w:sz w:val="24"/>
          <w:szCs w:val="24"/>
        </w:rPr>
        <w:t xml:space="preserve"> Esa libertad está limitada por las reglas generales de la epistemología.</w:t>
      </w:r>
      <w:r>
        <w:rPr>
          <w:rFonts w:ascii="Arial" w:eastAsia="Arial" w:hAnsi="Arial" w:cs="Arial"/>
          <w:color w:val="000000"/>
          <w:sz w:val="24"/>
          <w:szCs w:val="24"/>
          <w:vertAlign w:val="superscript"/>
        </w:rPr>
        <w:footnoteReference w:id="513"/>
      </w:r>
      <w:r>
        <w:rPr>
          <w:rFonts w:ascii="Arial" w:eastAsia="Arial" w:hAnsi="Arial" w:cs="Arial"/>
          <w:color w:val="000000"/>
          <w:sz w:val="24"/>
          <w:szCs w:val="24"/>
        </w:rPr>
        <w:t xml:space="preserve"> La concepción persuasiva identifica, en cambio, la libre valoración con la íntima convicción del juez como único criterio de decisión.</w:t>
      </w:r>
      <w:r>
        <w:rPr>
          <w:rFonts w:ascii="Arial" w:eastAsia="Arial" w:hAnsi="Arial" w:cs="Arial"/>
          <w:color w:val="000000"/>
          <w:sz w:val="24"/>
          <w:szCs w:val="24"/>
          <w:vertAlign w:val="superscript"/>
        </w:rPr>
        <w:footnoteReference w:id="514"/>
      </w:r>
      <w:r>
        <w:rPr>
          <w:rFonts w:ascii="Arial" w:eastAsia="Arial" w:hAnsi="Arial" w:cs="Arial"/>
          <w:color w:val="000000"/>
          <w:sz w:val="24"/>
          <w:szCs w:val="24"/>
        </w:rPr>
        <w:t xml:space="preserve"> Esta distinción importa porque el artículo 16 emplea el vocabulario de la sana crítica y el de la convicción en el mismo precepto.</w:t>
      </w:r>
    </w:p>
    <w:p>
      <w:pPr>
        <w:spacing w:before="0" w:after="0" w:line="360" w:lineRule="auto"/>
        <w:ind w:firstLine="709"/>
        <w:jc w:val="both"/>
      </w:pPr>
      <w:r>
        <w:rPr>
          <w:rFonts w:ascii="Arial" w:eastAsia="Arial" w:hAnsi="Arial" w:cs="Arial"/>
          <w:color w:val="000000"/>
          <w:sz w:val="24"/>
          <w:szCs w:val="24"/>
        </w:rPr>
        <w:t xml:space="preserve">La doctrina reconoce los llamados sistemas mixtos entre los dos polos. Zeferín Hernández explica que el </w:t>
      </w:r>
      <w:r>
        <w:rPr>
          <w:rFonts w:ascii="Arial" w:eastAsia="Arial" w:hAnsi="Arial" w:cs="Arial"/>
          <w:i/>
          <w:iCs/>
          <w:color w:val="000000"/>
          <w:sz w:val="24"/>
          <w:szCs w:val="24"/>
        </w:rPr>
        <w:t xml:space="preserve">Código de Instrucción Criminal</w:t>
      </w:r>
      <w:r>
        <w:rPr>
          <w:rFonts w:ascii="Arial" w:eastAsia="Arial" w:hAnsi="Arial" w:cs="Arial"/>
          <w:color w:val="000000"/>
          <w:sz w:val="24"/>
          <w:szCs w:val="24"/>
        </w:rPr>
        <w:t xml:space="preserve"> francés de 1808 propuso valorar algunos elementos de convicción en forma tasada y otros con libertad probatoria.</w:t>
      </w:r>
      <w:r>
        <w:rPr>
          <w:rFonts w:ascii="Arial" w:eastAsia="Arial" w:hAnsi="Arial" w:cs="Arial"/>
          <w:color w:val="000000"/>
          <w:sz w:val="24"/>
          <w:szCs w:val="24"/>
          <w:vertAlign w:val="superscript"/>
        </w:rPr>
        <w:footnoteReference w:id="515"/>
      </w:r>
      <w:r>
        <w:rPr>
          <w:rFonts w:ascii="Arial" w:eastAsia="Arial" w:hAnsi="Arial" w:cs="Arial"/>
          <w:color w:val="000000"/>
          <w:sz w:val="24"/>
          <w:szCs w:val="24"/>
        </w:rPr>
        <w:t xml:space="preserve"> Esa combinación constituye el punto central del sistema mixto. El proceso penal mexicano posterior a 1931 adoptó ese esquema, con valor tasado para los documentos públicos y libre para las periciales y testimoniales.</w:t>
      </w:r>
      <w:r>
        <w:rPr>
          <w:rFonts w:ascii="Arial" w:eastAsia="Arial" w:hAnsi="Arial" w:cs="Arial"/>
          <w:color w:val="000000"/>
          <w:sz w:val="24"/>
          <w:szCs w:val="24"/>
          <w:vertAlign w:val="superscript"/>
        </w:rPr>
        <w:footnoteReference w:id="516"/>
      </w:r>
      <w:r>
        <w:rPr>
          <w:rFonts w:ascii="Arial" w:eastAsia="Arial" w:hAnsi="Arial" w:cs="Arial"/>
          <w:color w:val="000000"/>
          <w:sz w:val="24"/>
          <w:szCs w:val="24"/>
        </w:rPr>
        <w:t xml:space="preserve"> Montoya Zamora sostiene que la ley de medios combina un sistema tasado con uno de libre valoración.</w:t>
      </w:r>
      <w:r>
        <w:rPr>
          <w:rFonts w:ascii="Arial" w:eastAsia="Arial" w:hAnsi="Arial" w:cs="Arial"/>
          <w:color w:val="000000"/>
          <w:sz w:val="24"/>
          <w:szCs w:val="24"/>
          <w:vertAlign w:val="superscript"/>
        </w:rPr>
        <w:footnoteReference w:id="517"/>
      </w:r>
      <w:r>
        <w:rPr>
          <w:rFonts w:ascii="Arial" w:eastAsia="Arial" w:hAnsi="Arial" w:cs="Arial"/>
          <w:color w:val="000000"/>
          <w:sz w:val="24"/>
          <w:szCs w:val="24"/>
        </w:rPr>
        <w:t xml:space="preserve"> El autor recoge la opinión de Devis Echandía, para quien solo existe un sistema legal atenuado, porque la tasa subsiste aunque sea parcial.</w:t>
      </w:r>
      <w:r>
        <w:rPr>
          <w:rFonts w:ascii="Arial" w:eastAsia="Arial" w:hAnsi="Arial" w:cs="Arial"/>
          <w:color w:val="000000"/>
          <w:sz w:val="24"/>
          <w:szCs w:val="24"/>
          <w:vertAlign w:val="superscript"/>
        </w:rPr>
        <w:footnoteReference w:id="518"/>
      </w:r>
      <w:r>
        <w:rPr>
          <w:rFonts w:ascii="Arial" w:eastAsia="Arial" w:hAnsi="Arial" w:cs="Arial"/>
          <w:color w:val="000000"/>
          <w:sz w:val="24"/>
          <w:szCs w:val="24"/>
        </w:rPr>
        <w:t xml:space="preserve"> Montoya Zamora refiere que la mayoría de los ordenamientos procesales mexicanos adoptó un sistema mixto con cierto predominio de la prueba tasada.</w:t>
      </w:r>
      <w:r>
        <w:rPr>
          <w:rFonts w:ascii="Arial" w:eastAsia="Arial" w:hAnsi="Arial" w:cs="Arial"/>
          <w:color w:val="000000"/>
          <w:sz w:val="24"/>
          <w:szCs w:val="24"/>
          <w:vertAlign w:val="superscript"/>
        </w:rPr>
        <w:footnoteReference w:id="519"/>
      </w:r>
      <w:r>
        <w:rPr>
          <w:rFonts w:ascii="Arial" w:eastAsia="Arial" w:hAnsi="Arial" w:cs="Arial"/>
          <w:color w:val="000000"/>
          <w:sz w:val="24"/>
          <w:szCs w:val="24"/>
        </w:rPr>
        <w:t xml:space="preserve"> En esta noción clásica, lo mixto es la distribución de los medios de prueba entre dos regímenes de valoración.</w:t>
      </w:r>
    </w:p>
    <w:p>
      <w:pPr>
        <w:spacing w:before="0" w:after="0" w:line="360" w:lineRule="auto"/>
        <w:ind w:firstLine="709"/>
        <w:jc w:val="both"/>
      </w:pPr>
      <w:r>
        <w:rPr>
          <w:rFonts w:ascii="Arial" w:eastAsia="Arial" w:hAnsi="Arial" w:cs="Arial"/>
          <w:color w:val="000000"/>
          <w:sz w:val="24"/>
          <w:szCs w:val="24"/>
        </w:rPr>
        <w:t xml:space="preserve">Ferrer Beltrán advierte que ni siquiera la prueba legal puede ser pura. El juez siempre debe valorar la prueba para tener por satisfecho el antecedente de la regla tasada.</w:t>
      </w:r>
      <w:r>
        <w:rPr>
          <w:rFonts w:ascii="Arial" w:eastAsia="Arial" w:hAnsi="Arial" w:cs="Arial"/>
          <w:color w:val="000000"/>
          <w:sz w:val="24"/>
          <w:szCs w:val="24"/>
          <w:vertAlign w:val="superscript"/>
        </w:rPr>
        <w:footnoteReference w:id="520"/>
      </w:r>
      <w:r>
        <w:rPr>
          <w:rFonts w:ascii="Arial" w:eastAsia="Arial" w:hAnsi="Arial" w:cs="Arial"/>
          <w:color w:val="000000"/>
          <w:sz w:val="24"/>
          <w:szCs w:val="24"/>
        </w:rPr>
        <w:t xml:space="preserve"> La combinación de regímenes es, por tanto, un rasgo común de los ordenamientos procesales. Esa combinación no constituye por sí misma un defecto. El problema del artículo 16 es otro y requiere una categoría distinta. Esta investigación denomina cláusula mixta a la disposición que reúne, en una misma unidad normativa, reglas de naturaleza distinta sobre la valoración y la suficiencia de la prueba, sin establecer cómo se articulan. La noción no se refiere a la coexistencia de medios tasados y libres, que es el sentido clásico de sistema mixto. La noción se refiere a la coexistencia, en un solo precepto, de un método de valoración, de reglas legales de peso y de un criterio de suficiencia.</w:t>
      </w:r>
    </w:p>
    <w:p>
      <w:pPr>
        <w:spacing w:before="0" w:after="0" w:line="360" w:lineRule="auto"/>
        <w:ind w:firstLine="709"/>
        <w:jc w:val="both"/>
      </w:pPr>
      <w:r>
        <w:rPr>
          <w:rFonts w:ascii="Arial" w:eastAsia="Arial" w:hAnsi="Arial" w:cs="Arial"/>
          <w:color w:val="000000"/>
          <w:sz w:val="24"/>
          <w:szCs w:val="24"/>
        </w:rPr>
        <w:t xml:space="preserve">El método de valoración responde a la pregunta sobre cómo se valora. El criterio de suficiencia responde a la pregunta sobre cuánto basta. Las reglas de peso ocupan un lugar intermedio, porque fijan de antemano el valor de ciertos medios, pero no el grado de corroboración que exige la decisión. Por tanto, la cláusula mixta se define por tres rasgos. El primer rasgo es que declara un método racional de valoración. El segundo rasgo es que asigna valores legales a ciertos medios de prueba. El tercer rasgo es que expresa la suficiencia en términos de convicción del órgano que decide, sin remitir a un resultado probatorio mínimo. El defecto de la cláusula está en omitir la regla que ordena esos elementos y en confiar la suficiencia a un estado mental.</w:t>
      </w:r>
    </w:p>
    <w:p>
      <w:pPr>
        <w:spacing w:before="0" w:after="0" w:line="360" w:lineRule="auto"/>
        <w:ind w:firstLine="709"/>
        <w:jc w:val="both"/>
      </w:pPr>
      <w:r>
        <w:rPr>
          <w:rFonts w:ascii="Arial" w:eastAsia="Arial" w:hAnsi="Arial" w:cs="Arial"/>
          <w:color w:val="000000"/>
          <w:sz w:val="24"/>
          <w:szCs w:val="24"/>
        </w:rPr>
        <w:t xml:space="preserve">Esta definición precisa la noción de cláusula híbrida. Ambas expresiones designan el mismo fenómeno, observado desde perspectivas diferentes. La denominación híbrida subraya la procedencia heterogénea de las fórmulas reunidas en el precepto, como la sana crítica de origen español. La denominación mixta subraya su estructura normativa y permite compararla con otras disposiciones del derecho mexicano. La tasación del artículo 16 no es absoluta. El párrafo 2 concede valor probatorio pleno a las documentales públicas, salvo prueba en contrario respecto de su autenticidad o de la veracidad de los hechos a que se refieran.</w:t>
      </w:r>
      <w:r>
        <w:rPr>
          <w:rFonts w:ascii="Arial" w:eastAsia="Arial" w:hAnsi="Arial" w:cs="Arial"/>
          <w:color w:val="000000"/>
          <w:sz w:val="24"/>
          <w:szCs w:val="24"/>
          <w:vertAlign w:val="superscript"/>
        </w:rPr>
        <w:footnoteReference w:id="521"/>
      </w:r>
      <w:r>
        <w:rPr>
          <w:rFonts w:ascii="Arial" w:eastAsia="Arial" w:hAnsi="Arial" w:cs="Arial"/>
          <w:color w:val="000000"/>
          <w:sz w:val="24"/>
          <w:szCs w:val="24"/>
        </w:rPr>
        <w:t xml:space="preserve"> Esa regla de peso es derrotable y no impide al órgano valorar la prueba contraria. Por ello la tensión principal del precepto se da entre el método y el criterio de suficiencia del párrafo 3, y ese matiz evita sobrestimar la rigidez del régimen de las documentales públicas.</w:t>
      </w:r>
    </w:p>
    <w:p>
      <w:pPr>
        <w:spacing w:before="0" w:after="0" w:line="360" w:lineRule="auto"/>
        <w:ind w:firstLine="709"/>
        <w:jc w:val="both"/>
      </w:pPr>
      <w:r>
        <w:rPr>
          <w:rFonts w:ascii="Arial" w:eastAsia="Arial" w:hAnsi="Arial" w:cs="Arial"/>
          <w:color w:val="000000"/>
          <w:sz w:val="24"/>
          <w:szCs w:val="24"/>
        </w:rPr>
        <w:t xml:space="preserve">La calificación de cláusula mixta exige distinguirla de otros defectos del lenguaje normativo. Hart explica que toda regla presenta casos centrales claros y casos dudosos, lo que produce un núcleo de certeza y una penumbra de duda.</w:t>
      </w:r>
      <w:r>
        <w:rPr>
          <w:rFonts w:ascii="Arial" w:eastAsia="Arial" w:hAnsi="Arial" w:cs="Arial"/>
          <w:color w:val="000000"/>
          <w:sz w:val="24"/>
          <w:szCs w:val="24"/>
          <w:vertAlign w:val="superscript"/>
        </w:rPr>
        <w:footnoteReference w:id="522"/>
      </w:r>
      <w:r>
        <w:rPr>
          <w:rFonts w:ascii="Arial" w:eastAsia="Arial" w:hAnsi="Arial" w:cs="Arial"/>
          <w:color w:val="000000"/>
          <w:sz w:val="24"/>
          <w:szCs w:val="24"/>
        </w:rPr>
        <w:t xml:space="preserve"> El autor denomina textura abierta a esa indeterminación, que atribuye a una característica general del lenguaje humano.</w:t>
      </w:r>
      <w:r>
        <w:rPr>
          <w:rFonts w:ascii="Arial" w:eastAsia="Arial" w:hAnsi="Arial" w:cs="Arial"/>
          <w:color w:val="000000"/>
          <w:sz w:val="24"/>
          <w:szCs w:val="24"/>
          <w:vertAlign w:val="superscript"/>
        </w:rPr>
        <w:footnoteReference w:id="523"/>
      </w:r>
      <w:r>
        <w:rPr>
          <w:rFonts w:ascii="Arial" w:eastAsia="Arial" w:hAnsi="Arial" w:cs="Arial"/>
          <w:color w:val="000000"/>
          <w:sz w:val="24"/>
          <w:szCs w:val="24"/>
        </w:rPr>
        <w:t xml:space="preserve"> Su ejemplo es la regla que prohíbe los vehículos en un parque, cuya aplicación resulta clara en unos casos y dudosa en otros.</w:t>
      </w:r>
      <w:r>
        <w:rPr>
          <w:rFonts w:ascii="Arial" w:eastAsia="Arial" w:hAnsi="Arial" w:cs="Arial"/>
          <w:color w:val="000000"/>
          <w:sz w:val="24"/>
          <w:szCs w:val="24"/>
          <w:vertAlign w:val="superscript"/>
        </w:rPr>
        <w:footnoteReference w:id="524"/>
      </w:r>
      <w:r>
        <w:rPr>
          <w:rFonts w:ascii="Arial" w:eastAsia="Arial" w:hAnsi="Arial" w:cs="Arial"/>
          <w:color w:val="000000"/>
          <w:sz w:val="24"/>
          <w:szCs w:val="24"/>
        </w:rPr>
        <w:t xml:space="preserve"> La textura abierta se manifiesta, por tanto, en la aplicación de términos generales a casos particulares. El defecto del artículo 16 no consiste en que sea dudosa la aplicación de sus términos a un caso marginal. Ese defecto consiste en que el precepto, aun leído con claridad, no contiene una regla que indique cuánta corroboración basta. La ambigüedad plantea un problema diferente, porque se refiere a la pluralidad de significados de una expresión.</w:t>
      </w:r>
    </w:p>
    <w:p>
      <w:pPr>
        <w:spacing w:before="0" w:after="0" w:line="360" w:lineRule="auto"/>
        <w:ind w:firstLine="709"/>
        <w:jc w:val="both"/>
      </w:pPr>
      <w:r>
        <w:rPr>
          <w:rFonts w:ascii="Arial" w:eastAsia="Arial" w:hAnsi="Arial" w:cs="Arial"/>
          <w:color w:val="000000"/>
          <w:sz w:val="24"/>
          <w:szCs w:val="24"/>
        </w:rPr>
        <w:t xml:space="preserve">Montoya Zamora sostiene que la expresión reglas de la lógica es ambigua, porque la ley no indica a qué tipo de lógica se refiere.</w:t>
      </w:r>
      <w:r>
        <w:rPr>
          <w:rFonts w:ascii="Arial" w:eastAsia="Arial" w:hAnsi="Arial" w:cs="Arial"/>
          <w:color w:val="000000"/>
          <w:sz w:val="24"/>
          <w:szCs w:val="24"/>
          <w:vertAlign w:val="superscript"/>
        </w:rPr>
        <w:footnoteReference w:id="525"/>
      </w:r>
      <w:r>
        <w:rPr>
          <w:rFonts w:ascii="Arial" w:eastAsia="Arial" w:hAnsi="Arial" w:cs="Arial"/>
          <w:color w:val="000000"/>
          <w:sz w:val="24"/>
          <w:szCs w:val="24"/>
        </w:rPr>
        <w:t xml:space="preserve"> Esa ambigüedad existe y agrava el problema, pero su eliminación no resolvería la falta de un umbral de suficiencia. El deslinde muestra que la cláusula mixta no es una especie de vaguedad. La vaguedad supone una regla cuyo alcance es incierto en ciertos casos. La cláusula mixta supone, en cambio, la ausencia de la regla que debería fijar la suficiencia. Hart sostiene que la textura abierta obliga al intérprete a elegir entre alternativas en el momento de aplicar la regla.</w:t>
      </w:r>
      <w:r>
        <w:rPr>
          <w:rFonts w:ascii="Arial" w:eastAsia="Arial" w:hAnsi="Arial" w:cs="Arial"/>
          <w:color w:val="000000"/>
          <w:sz w:val="24"/>
          <w:szCs w:val="24"/>
          <w:vertAlign w:val="superscript"/>
        </w:rPr>
        <w:footnoteReference w:id="526"/>
      </w:r>
      <w:r>
        <w:rPr>
          <w:rFonts w:ascii="Arial" w:eastAsia="Arial" w:hAnsi="Arial" w:cs="Arial"/>
          <w:color w:val="000000"/>
          <w:sz w:val="24"/>
          <w:szCs w:val="24"/>
        </w:rPr>
        <w:t xml:space="preserve"> En la cláusula mixta, esa elección no versa sobre el alcance de un término, sino sobre el propio criterio de decisión. En consecuencia, la indeterminación resultante es mayor que la de un término vago.</w:t>
      </w:r>
    </w:p>
    <w:p>
      <w:pPr>
        <w:spacing w:before="0" w:after="0" w:line="360" w:lineRule="auto"/>
        <w:ind w:firstLine="709"/>
        <w:jc w:val="both"/>
      </w:pPr>
      <w:r>
        <w:rPr>
          <w:rFonts w:ascii="Arial" w:eastAsia="Arial" w:hAnsi="Arial" w:cs="Arial"/>
          <w:color w:val="000000"/>
          <w:sz w:val="24"/>
          <w:szCs w:val="24"/>
        </w:rPr>
        <w:t xml:space="preserve">El SUP-JIN-194/2025 mostró el efecto de esa indeterminación. Sobre el mismo texto se sostuvieron un estándar flexible, la probabilidad prevalente y la exigencia de medios de convicción irrefutables. Ninguna técnica interpretativa aplicada a los términos del precepto podía decidir entre esas opciones. Precisada la categoría, puede describirse la anatomía del artículo 16. Su párrafo 1 ordena valorar los medios de prueba atendiendo a las reglas de la lógica, de la sana crítica y de la experiencia, tomando en cuenta las disposiciones especiales del capítulo.</w:t>
      </w:r>
      <w:r>
        <w:rPr>
          <w:rFonts w:ascii="Arial" w:eastAsia="Arial" w:hAnsi="Arial" w:cs="Arial"/>
          <w:color w:val="000000"/>
          <w:sz w:val="24"/>
          <w:szCs w:val="24"/>
          <w:vertAlign w:val="superscript"/>
        </w:rPr>
        <w:footnoteReference w:id="527"/>
      </w:r>
      <w:r>
        <w:rPr>
          <w:rFonts w:ascii="Arial" w:eastAsia="Arial" w:hAnsi="Arial" w:cs="Arial"/>
          <w:color w:val="000000"/>
          <w:sz w:val="24"/>
          <w:szCs w:val="24"/>
        </w:rPr>
        <w:t xml:space="preserve"> Ese párrafo es el anclaje racional del precepto, porque remite la valoración a criterios generales y no al arbitrio del órgano. La salvedad final conecta ese método con las reglas especiales de los párrafos siguientes. El párrafo 2 introduce la regla de peso de las documentales públicas, que tienen valor probatorio pleno salvo prueba en contrario.</w:t>
      </w:r>
    </w:p>
    <w:p>
      <w:pPr>
        <w:spacing w:before="0" w:after="0" w:line="360" w:lineRule="auto"/>
        <w:ind w:firstLine="709"/>
        <w:jc w:val="both"/>
      </w:pPr>
      <w:r>
        <w:rPr>
          <w:rFonts w:ascii="Arial" w:eastAsia="Arial" w:hAnsi="Arial" w:cs="Arial"/>
          <w:color w:val="000000"/>
          <w:sz w:val="24"/>
          <w:szCs w:val="24"/>
        </w:rPr>
        <w:t xml:space="preserve">El párrafo 3 del artículo 16 regula el resto de los medios, desde las documentales privadas y las técnicas hasta las periciales. Esos medios solo hacen prueba plena cuando, a juicio del órgano, los elementos del expediente, las afirmaciones de las partes, la verdad conocida y el recto raciocinio generen convicción. Este párrafo reúne en una sola oración un método de valoración conjunta, una remisión al juicio del órgano y un criterio de suficiencia de carácter psicológico. Ferrer Beltrán incluye las fórmulas que remiten a la convicción del tribunal entre las que incumplen el primer requisito metodológico de un estándar de prueba.</w:t>
      </w:r>
      <w:r>
        <w:rPr>
          <w:rFonts w:ascii="Arial" w:eastAsia="Arial" w:hAnsi="Arial" w:cs="Arial"/>
          <w:color w:val="000000"/>
          <w:sz w:val="24"/>
          <w:szCs w:val="24"/>
          <w:vertAlign w:val="superscript"/>
        </w:rPr>
        <w:footnoteReference w:id="528"/>
      </w:r>
      <w:r>
        <w:rPr>
          <w:rFonts w:ascii="Arial" w:eastAsia="Arial" w:hAnsi="Arial" w:cs="Arial"/>
          <w:color w:val="000000"/>
          <w:sz w:val="24"/>
          <w:szCs w:val="24"/>
        </w:rPr>
        <w:t xml:space="preserve"> El párrafo 4 regula la admisión de pruebas fuera de plazo. Por tanto, la cláusula mixta se localiza en los párrafos 1 a 3. La misma estructura se reproduce en el procedimiento especial sancionador. Esa reproducción muestra que la cláusula no es un rasgo aislado de la ley de medios.</w:t>
      </w:r>
    </w:p>
    <w:p>
      <w:pPr>
        <w:spacing w:before="0" w:after="0" w:line="360" w:lineRule="auto"/>
        <w:ind w:firstLine="709"/>
        <w:jc w:val="both"/>
      </w:pPr>
      <w:r>
        <w:rPr>
          <w:rFonts w:ascii="Arial" w:eastAsia="Arial" w:hAnsi="Arial" w:cs="Arial"/>
          <w:color w:val="000000"/>
          <w:sz w:val="24"/>
          <w:szCs w:val="24"/>
        </w:rPr>
        <w:t xml:space="preserve">En el SRE-PSC-236/2024, sobre las conferencias matutinas del Ejecutivo federal, la Sala Regional Especializada transcribió el régimen del artículo 462 de la </w:t>
      </w:r>
      <w:r>
        <w:rPr>
          <w:rFonts w:ascii="Arial" w:eastAsia="Arial" w:hAnsi="Arial" w:cs="Arial"/>
          <w:i/>
          <w:iCs/>
          <w:color w:val="000000"/>
          <w:sz w:val="24"/>
          <w:szCs w:val="24"/>
        </w:rPr>
        <w:t xml:space="preserve">Ley General de Instituciones y Procedimientos Electorales</w:t>
      </w:r>
      <w:r>
        <w:rPr>
          <w:rFonts w:ascii="Arial" w:eastAsia="Arial" w:hAnsi="Arial" w:cs="Arial"/>
          <w:color w:val="000000"/>
          <w:sz w:val="24"/>
          <w:szCs w:val="24"/>
        </w:rPr>
        <w:t xml:space="preserve">.</w:t>
      </w:r>
      <w:r>
        <w:rPr>
          <w:rFonts w:ascii="Arial" w:eastAsia="Arial" w:hAnsi="Arial" w:cs="Arial"/>
          <w:color w:val="000000"/>
          <w:sz w:val="24"/>
          <w:szCs w:val="24"/>
          <w:vertAlign w:val="superscript"/>
        </w:rPr>
        <w:footnoteReference w:id="529"/>
      </w:r>
      <w:r>
        <w:rPr>
          <w:rFonts w:ascii="Arial" w:eastAsia="Arial" w:hAnsi="Arial" w:cs="Arial"/>
          <w:color w:val="000000"/>
          <w:sz w:val="24"/>
          <w:szCs w:val="24"/>
        </w:rPr>
        <w:t xml:space="preserve"> Las pruebas se valoran en conjunto conforme a la lógica, la experiencia y la sana crítica, para que produzcan convicción sobre los hechos. Esa fórmula reproduce la estructura del artículo 16. Las documentales públicas tienen pleno valor probatorio, y las privadas y técnicas en principio solo generan indicios. Estas últimas hacen prueba plena al concatenarse con los demás elementos del expediente conforme al recto raciocinio. En consecuencia, la cláusula mixta es el modelo de valoración del derecho electoral federal. En esa sentencia la expresión reglas de la lógica aparece una sola vez, en la sección destinada a enunciar el régimen de valoración. El dato muestra que el método se enuncia como marco general, aunque no prueba la ausencia de razonamiento probatorio.</w:t>
      </w:r>
    </w:p>
    <w:p>
      <w:pPr>
        <w:spacing w:before="0" w:after="0" w:line="360" w:lineRule="auto"/>
        <w:ind w:firstLine="709"/>
        <w:jc w:val="both"/>
      </w:pPr>
      <w:r>
        <w:rPr>
          <w:rFonts w:ascii="Arial" w:eastAsia="Arial" w:hAnsi="Arial" w:cs="Arial"/>
          <w:color w:val="000000"/>
          <w:sz w:val="24"/>
          <w:szCs w:val="24"/>
        </w:rPr>
        <w:t xml:space="preserve">La consecuencia práctica de la cláusula mixta es que su componente racional tiende a operar como enunciado y no como premisa. Montoya Zamora estudió el uso de la expresión reglas de la lógica en sentencias de la Sala Superior.</w:t>
      </w:r>
      <w:r>
        <w:rPr>
          <w:rFonts w:ascii="Arial" w:eastAsia="Arial" w:hAnsi="Arial" w:cs="Arial"/>
          <w:color w:val="000000"/>
          <w:sz w:val="24"/>
          <w:szCs w:val="24"/>
          <w:vertAlign w:val="superscript"/>
        </w:rPr>
        <w:footnoteReference w:id="530"/>
      </w:r>
      <w:r>
        <w:rPr>
          <w:rFonts w:ascii="Arial" w:eastAsia="Arial" w:hAnsi="Arial" w:cs="Arial"/>
          <w:color w:val="000000"/>
          <w:sz w:val="24"/>
          <w:szCs w:val="24"/>
        </w:rPr>
        <w:t xml:space="preserve"> Según el autor, los juzgadores suelen tener por demostrada una afirmación conforme a las reglas de la lógica sin indicar qué lógica ni qué regla aplican. El autor advirtió que esos criterios se invocan, pero no se utilizan como premisas del razonamiento, lo que impide controlar su aplicación.</w:t>
      </w:r>
      <w:r>
        <w:rPr>
          <w:rFonts w:ascii="Arial" w:eastAsia="Arial" w:hAnsi="Arial" w:cs="Arial"/>
          <w:color w:val="000000"/>
          <w:sz w:val="24"/>
          <w:szCs w:val="24"/>
          <w:vertAlign w:val="superscript"/>
        </w:rPr>
        <w:footnoteReference w:id="531"/>
      </w:r>
      <w:r>
        <w:rPr>
          <w:rFonts w:ascii="Arial" w:eastAsia="Arial" w:hAnsi="Arial" w:cs="Arial"/>
          <w:color w:val="000000"/>
          <w:sz w:val="24"/>
          <w:szCs w:val="24"/>
        </w:rPr>
        <w:t xml:space="preserve"> En el SUP-RAP-33/2010, la Sala Superior valoró notas periodísticas y fotografías conforme a una sana lógica y un justo juicio. Adminiculadas con las manifestaciones de los involucrados, esas pruebas acreditaban a plenitud los hechos.</w:t>
      </w:r>
      <w:r>
        <w:rPr>
          <w:rFonts w:ascii="Arial" w:eastAsia="Arial" w:hAnsi="Arial" w:cs="Arial"/>
          <w:color w:val="000000"/>
          <w:sz w:val="24"/>
          <w:szCs w:val="24"/>
          <w:vertAlign w:val="superscript"/>
        </w:rPr>
        <w:footnoteReference w:id="532"/>
      </w:r>
      <w:r>
        <w:rPr>
          <w:rFonts w:ascii="Arial" w:eastAsia="Arial" w:hAnsi="Arial" w:cs="Arial"/>
          <w:color w:val="000000"/>
          <w:sz w:val="24"/>
          <w:szCs w:val="24"/>
        </w:rPr>
        <w:t xml:space="preserve"> Montoya Zamora observa que la sentencia no señala a qué se refiere con esa expresión ni qué reglas utiliza como premisas.</w:t>
      </w:r>
      <w:r>
        <w:rPr>
          <w:rFonts w:ascii="Arial" w:eastAsia="Arial" w:hAnsi="Arial" w:cs="Arial"/>
          <w:color w:val="000000"/>
          <w:sz w:val="24"/>
          <w:szCs w:val="24"/>
          <w:vertAlign w:val="superscript"/>
        </w:rPr>
        <w:footnoteReference w:id="533"/>
      </w:r>
      <w:r>
        <w:rPr>
          <w:rFonts w:ascii="Arial" w:eastAsia="Arial" w:hAnsi="Arial" w:cs="Arial"/>
          <w:color w:val="000000"/>
          <w:sz w:val="24"/>
          <w:szCs w:val="24"/>
        </w:rPr>
        <w:t xml:space="preserve"> Otro precedente muestra el mismo uso en sentido inverso.</w:t>
      </w:r>
    </w:p>
    <w:p>
      <w:pPr>
        <w:spacing w:before="0" w:after="0" w:line="360" w:lineRule="auto"/>
        <w:ind w:firstLine="709"/>
        <w:jc w:val="both"/>
      </w:pPr>
      <w:r>
        <w:rPr>
          <w:rFonts w:ascii="Arial" w:eastAsia="Arial" w:hAnsi="Arial" w:cs="Arial"/>
          <w:color w:val="000000"/>
          <w:sz w:val="24"/>
          <w:szCs w:val="24"/>
        </w:rPr>
        <w:t xml:space="preserve">En el SUP-JRC-273/2010, relativo a la elección de gobernador de Durango, la Sala sostuvo que dos notas periodísticas no bastaban para conceder fuerza probatoria plena. La Sala fundó esa conclusión en las reglas de la lógica, la sana crítica y las máximas de experiencia.</w:t>
      </w:r>
      <w:r>
        <w:rPr>
          <w:rFonts w:ascii="Arial" w:eastAsia="Arial" w:hAnsi="Arial" w:cs="Arial"/>
          <w:color w:val="000000"/>
          <w:sz w:val="24"/>
          <w:szCs w:val="24"/>
          <w:vertAlign w:val="superscript"/>
        </w:rPr>
        <w:footnoteReference w:id="534"/>
      </w:r>
      <w:r>
        <w:rPr>
          <w:rFonts w:ascii="Arial" w:eastAsia="Arial" w:hAnsi="Arial" w:cs="Arial"/>
          <w:color w:val="000000"/>
          <w:sz w:val="24"/>
          <w:szCs w:val="24"/>
        </w:rPr>
        <w:t xml:space="preserve"> Montoya Zamora documenta el mismo uso en los precedentes de las jurisprudencias 11/2002 y 38/2002.</w:t>
      </w:r>
      <w:r>
        <w:rPr>
          <w:rFonts w:ascii="Arial" w:eastAsia="Arial" w:hAnsi="Arial" w:cs="Arial"/>
          <w:color w:val="000000"/>
          <w:sz w:val="24"/>
          <w:szCs w:val="24"/>
          <w:vertAlign w:val="superscript"/>
        </w:rPr>
        <w:footnoteReference w:id="535"/>
      </w:r>
      <w:r>
        <w:rPr>
          <w:rFonts w:ascii="Arial" w:eastAsia="Arial" w:hAnsi="Arial" w:cs="Arial"/>
          <w:color w:val="000000"/>
          <w:sz w:val="24"/>
          <w:szCs w:val="24"/>
        </w:rPr>
        <w:t xml:space="preserve"> En todos esos casos el resultado se expresa como acreditación plena o como insuficiencia para la fuerza probatoria plena. La regla que separa un resultado del otro no se enuncia. En consecuencia, las mismas reglas de la lógica sirven para acreditar a plenitud en un caso y para negar la plenitud en otro. El método invocado no explica por qué el umbral se alcanzó en un caso y no en el otro. Esa inercia del componente racional deja la suficiencia en manos del criterio de convicción del párrafo 3.</w:t>
      </w:r>
    </w:p>
    <w:p>
      <w:pPr>
        <w:spacing w:before="0" w:after="0" w:line="360" w:lineRule="auto"/>
        <w:ind w:firstLine="709"/>
        <w:jc w:val="both"/>
      </w:pPr>
      <w:r>
        <w:rPr>
          <w:rFonts w:ascii="Arial" w:eastAsia="Arial" w:hAnsi="Arial" w:cs="Arial"/>
          <w:color w:val="000000"/>
          <w:sz w:val="24"/>
          <w:szCs w:val="24"/>
        </w:rPr>
        <w:t xml:space="preserve">El diagnóstico sobre el componente racional requiere un matiz. La falta de definición de la expresión no significa que el razonamiento carezca de contenido racional. En el caso Tabasco, la Sala advirtió que unos recibos de entrega de materiales pudieron obedecer a causas distintas de la compra de votos, como su comercialización o un programa social.</w:t>
      </w:r>
      <w:r>
        <w:rPr>
          <w:rFonts w:ascii="Arial" w:eastAsia="Arial" w:hAnsi="Arial" w:cs="Arial"/>
          <w:color w:val="000000"/>
          <w:sz w:val="24"/>
          <w:szCs w:val="24"/>
          <w:vertAlign w:val="superscript"/>
        </w:rPr>
        <w:footnoteReference w:id="536"/>
      </w:r>
      <w:r>
        <w:rPr>
          <w:rFonts w:ascii="Arial" w:eastAsia="Arial" w:hAnsi="Arial" w:cs="Arial"/>
          <w:color w:val="000000"/>
          <w:sz w:val="24"/>
          <w:szCs w:val="24"/>
        </w:rPr>
        <w:t xml:space="preserve"> Ese razonamiento considera una hipótesis alternativa. El SUP-JIN-194/2025 enunció, por su parte, requisitos controlables para la prueba indiciaria. Por tanto, la inercia no afecta al método en todos los casos. La inercia afecta de manera constante a la decisión sobre la suficiencia, que se expresa como convicción sin remitir a un resultado probatorio mínimo. En ese punto el componente racional del artículo 16 carece de fuerza para orientar la decisión, porque el precepto no le asigna esa función, y esa es la acepción precisa en que aquí se habla de funcionamiento inerte.</w:t>
      </w:r>
    </w:p>
    <w:p>
      <w:pPr>
        <w:spacing w:before="0" w:after="0" w:line="360" w:lineRule="auto"/>
        <w:ind w:firstLine="709"/>
        <w:jc w:val="both"/>
      </w:pPr>
      <w:r>
        <w:rPr>
          <w:rFonts w:ascii="Arial" w:eastAsia="Arial" w:hAnsi="Arial" w:cs="Arial"/>
          <w:color w:val="000000"/>
          <w:sz w:val="24"/>
          <w:szCs w:val="24"/>
        </w:rPr>
        <w:t xml:space="preserve">La jurisprudencia electoral respondió a la indeterminación del artículo 16 mediante reglas sobre el peso de ciertos medios de prueba. La jurisprudencia 38/2002 dispone que las notas periodísticas solo pueden arrojar indicios, cuyo grado convictivo depende de las circunstancias del caso.</w:t>
      </w:r>
      <w:r>
        <w:rPr>
          <w:rFonts w:ascii="Arial" w:eastAsia="Arial" w:hAnsi="Arial" w:cs="Arial"/>
          <w:color w:val="000000"/>
          <w:sz w:val="24"/>
          <w:szCs w:val="24"/>
          <w:vertAlign w:val="superscript"/>
        </w:rPr>
        <w:footnoteReference w:id="537"/>
      </w:r>
      <w:r>
        <w:rPr>
          <w:rFonts w:ascii="Arial" w:eastAsia="Arial" w:hAnsi="Arial" w:cs="Arial"/>
          <w:color w:val="000000"/>
          <w:sz w:val="24"/>
          <w:szCs w:val="24"/>
        </w:rPr>
        <w:t xml:space="preserve"> Entre esas circunstancias figuran la pluralidad de notas, su procedencia de distintos medios y autores, su coincidencia sustancial y la falta de desmentido del afectado. Cuando esas circunstancias concurren, los elementos faltantes para alcanzar la fuerza probatoria plena son menores. La jurisprudencia no impone una fórmula aritmética ni exige un número determinado de notas. La jurisprudencia tampoco exige, en su texto, que las notas se adminiculen con documentales de un tipo específico. Su aportación consiste en criterios racionales para graduar el peso del indicio. En consecuencia, la jurisprudencia 38/2002 mejora la valoración, pero deja sin respuesta la pregunta por el punto en que se alcanza la plenitud.</w:t>
      </w:r>
    </w:p>
    <w:p>
      <w:pPr>
        <w:spacing w:before="0" w:after="0" w:line="360" w:lineRule="auto"/>
        <w:ind w:firstLine="709"/>
        <w:jc w:val="both"/>
      </w:pPr>
      <w:r>
        <w:rPr>
          <w:rFonts w:ascii="Arial" w:eastAsia="Arial" w:hAnsi="Arial" w:cs="Arial"/>
          <w:color w:val="000000"/>
          <w:sz w:val="24"/>
          <w:szCs w:val="24"/>
        </w:rPr>
        <w:t xml:space="preserve">La jurisprudencia 38/2002 no establece el punto en que la escala del indicio simple al indicio de mayor grado alcanza la plenitud. El problema de la suficiencia se desplazó del texto legal a la jurisprudencia, sin resolverse. La plenitud siguió dependiendo del grado convictivo, que es el vocabulario del párrafo 3 del artículo 16. Otras jurisprudencias siguieron la misma técnica. La jurisprudencia 4/2014 sostiene que las pruebas técnicas son insuficientes, por sí solas, para acreditar de manera fehaciente los hechos que contienen.</w:t>
      </w:r>
      <w:r>
        <w:rPr>
          <w:rFonts w:ascii="Arial" w:eastAsia="Arial" w:hAnsi="Arial" w:cs="Arial"/>
          <w:color w:val="000000"/>
          <w:sz w:val="24"/>
          <w:szCs w:val="24"/>
          <w:vertAlign w:val="superscript"/>
        </w:rPr>
        <w:footnoteReference w:id="538"/>
      </w:r>
      <w:r>
        <w:rPr>
          <w:rFonts w:ascii="Arial" w:eastAsia="Arial" w:hAnsi="Arial" w:cs="Arial"/>
          <w:color w:val="000000"/>
          <w:sz w:val="24"/>
          <w:szCs w:val="24"/>
        </w:rPr>
        <w:t xml:space="preserve"> La jurisprudencia 11/2002 establece que la prueba testimonial en materia electoral solo puede aportar indicios. La razón es que los testimonios se hacen constar en actas ante fedatario público, sin intervención del juzgador ni del contrario del oferente.</w:t>
      </w:r>
      <w:r>
        <w:rPr>
          <w:rFonts w:ascii="Arial" w:eastAsia="Arial" w:hAnsi="Arial" w:cs="Arial"/>
          <w:color w:val="000000"/>
          <w:sz w:val="24"/>
          <w:szCs w:val="24"/>
          <w:vertAlign w:val="superscript"/>
        </w:rPr>
        <w:footnoteReference w:id="539"/>
      </w:r>
      <w:r>
        <w:rPr>
          <w:rFonts w:ascii="Arial" w:eastAsia="Arial" w:hAnsi="Arial" w:cs="Arial"/>
          <w:color w:val="000000"/>
          <w:sz w:val="24"/>
          <w:szCs w:val="24"/>
        </w:rPr>
        <w:t xml:space="preserve"> Según la misma jurisprudencia, esa prueba no se rige por un sistema tasado y se valora con la lógica y las máximas de la experiencia como fuente de indicios.</w:t>
      </w:r>
    </w:p>
    <w:p>
      <w:pPr>
        <w:spacing w:before="0" w:after="0" w:line="360" w:lineRule="auto"/>
        <w:ind w:firstLine="709"/>
        <w:jc w:val="both"/>
      </w:pPr>
      <w:r>
        <w:rPr>
          <w:rFonts w:ascii="Arial" w:eastAsia="Arial" w:hAnsi="Arial" w:cs="Arial"/>
          <w:color w:val="000000"/>
          <w:sz w:val="24"/>
          <w:szCs w:val="24"/>
        </w:rPr>
        <w:t xml:space="preserve">Las jurisprudencias 4/2014 y 11/2002 funcionan como reglas de peso de origen jurisprudencial. Esas reglas se suman a la regla legal de las documentales públicas. Su justificación puede ser racional, como ocurre con la falta de inmediación y la imposibilidad de interrogar a los testigos que la jurisprudencia 11/2002 invoca. Sin embargo, esas jurisprudencias comparten el mismo límite que la jurisprudencia 38/2002. Las reglas indican cuándo un medio es insuficiente por sí solo, pero no cuánto se requiere para que el conjunto sea suficiente. Ferrer Beltrán observa que las reglas de prueba legal se refieren siempre a tipos de casos, porque el legislador no puede decidir sobre el caso individual.</w:t>
      </w:r>
      <w:r>
        <w:rPr>
          <w:rFonts w:ascii="Arial" w:eastAsia="Arial" w:hAnsi="Arial" w:cs="Arial"/>
          <w:color w:val="000000"/>
          <w:sz w:val="24"/>
          <w:szCs w:val="24"/>
          <w:vertAlign w:val="superscript"/>
        </w:rPr>
        <w:footnoteReference w:id="540"/>
      </w:r>
      <w:r>
        <w:rPr>
          <w:rFonts w:ascii="Arial" w:eastAsia="Arial" w:hAnsi="Arial" w:cs="Arial"/>
          <w:color w:val="000000"/>
          <w:sz w:val="24"/>
          <w:szCs w:val="24"/>
        </w:rPr>
        <w:t xml:space="preserve"> Las reglas jurisprudenciales de peso comparten esa naturaleza general. Por ello esas reglas no pueden sustituir el juicio de suficiencia sobre el acervo concreto.</w:t>
      </w:r>
    </w:p>
    <w:p>
      <w:pPr>
        <w:spacing w:before="0" w:after="0" w:line="360" w:lineRule="auto"/>
        <w:ind w:firstLine="709"/>
        <w:jc w:val="both"/>
      </w:pPr>
      <w:r>
        <w:rPr>
          <w:rFonts w:ascii="Arial" w:eastAsia="Arial" w:hAnsi="Arial" w:cs="Arial"/>
          <w:color w:val="000000"/>
          <w:sz w:val="24"/>
          <w:szCs w:val="24"/>
        </w:rPr>
        <w:t xml:space="preserve">La estructura del artículo 16 tiene análogos en otros ordenamientos mexicanos. El </w:t>
      </w:r>
      <w:r>
        <w:rPr>
          <w:rFonts w:ascii="Arial" w:eastAsia="Arial" w:hAnsi="Arial" w:cs="Arial"/>
          <w:i/>
          <w:iCs/>
          <w:color w:val="000000"/>
          <w:sz w:val="24"/>
          <w:szCs w:val="24"/>
        </w:rPr>
        <w:t xml:space="preserve">Código Nacional de Procedimientos Penales</w:t>
      </w:r>
      <w:r>
        <w:rPr>
          <w:rFonts w:ascii="Arial" w:eastAsia="Arial" w:hAnsi="Arial" w:cs="Arial"/>
          <w:color w:val="000000"/>
          <w:sz w:val="24"/>
          <w:szCs w:val="24"/>
        </w:rPr>
        <w:t xml:space="preserve"> ordena que las pruebas se valoren de manera libre y lógica y exige justificar el valor asignado con base en la apreciación conjunta, integral y armónica de los elementos probatorios.</w:t>
      </w:r>
      <w:r>
        <w:rPr>
          <w:rFonts w:ascii="Arial" w:eastAsia="Arial" w:hAnsi="Arial" w:cs="Arial"/>
          <w:color w:val="000000"/>
          <w:sz w:val="24"/>
          <w:szCs w:val="24"/>
          <w:vertAlign w:val="superscript"/>
        </w:rPr>
        <w:footnoteReference w:id="541"/>
      </w:r>
      <w:r>
        <w:rPr>
          <w:rFonts w:ascii="Arial" w:eastAsia="Arial" w:hAnsi="Arial" w:cs="Arial"/>
          <w:color w:val="000000"/>
          <w:sz w:val="24"/>
          <w:szCs w:val="24"/>
        </w:rPr>
        <w:t xml:space="preserve"> Su artículo 359 dispone que solo podrá condenarse si se llega a la convicción de la culpabilidad más allá de toda duda razonable.</w:t>
      </w:r>
      <w:r>
        <w:rPr>
          <w:rFonts w:ascii="Arial" w:eastAsia="Arial" w:hAnsi="Arial" w:cs="Arial"/>
          <w:color w:val="000000"/>
          <w:sz w:val="24"/>
          <w:szCs w:val="24"/>
          <w:vertAlign w:val="superscript"/>
        </w:rPr>
        <w:footnoteReference w:id="542"/>
      </w:r>
      <w:r>
        <w:rPr>
          <w:rFonts w:ascii="Arial" w:eastAsia="Arial" w:hAnsi="Arial" w:cs="Arial"/>
          <w:color w:val="000000"/>
          <w:sz w:val="24"/>
          <w:szCs w:val="24"/>
        </w:rPr>
        <w:t xml:space="preserve"> El artículo 402 ordena apreciar la prueba según la libre convicción extraída de la totalidad del debate, de manera libre y lógica, y somete los medios lícitos a la crítica racional.</w:t>
      </w:r>
      <w:r>
        <w:rPr>
          <w:rFonts w:ascii="Arial" w:eastAsia="Arial" w:hAnsi="Arial" w:cs="Arial"/>
          <w:color w:val="000000"/>
          <w:sz w:val="24"/>
          <w:szCs w:val="24"/>
          <w:vertAlign w:val="superscript"/>
        </w:rPr>
        <w:footnoteReference w:id="543"/>
      </w:r>
      <w:r>
        <w:rPr>
          <w:rFonts w:ascii="Arial" w:eastAsia="Arial" w:hAnsi="Arial" w:cs="Arial"/>
          <w:color w:val="000000"/>
          <w:sz w:val="24"/>
          <w:szCs w:val="24"/>
        </w:rPr>
        <w:t xml:space="preserve"> En consecuencia, el código nacional combina un método racional y un criterio de suficiencia formulado en términos de convicción, aunque sin reglas de tasación. Ferrer Beltrán cita el artículo 402 entre las disposiciones que remiten a la convicción del tribunal.</w:t>
      </w:r>
      <w:r>
        <w:rPr>
          <w:rFonts w:ascii="Arial" w:eastAsia="Arial" w:hAnsi="Arial" w:cs="Arial"/>
          <w:color w:val="000000"/>
          <w:sz w:val="24"/>
          <w:szCs w:val="24"/>
          <w:vertAlign w:val="superscript"/>
        </w:rPr>
        <w:footnoteReference w:id="544"/>
      </w:r>
      <w:r>
        <w:rPr>
          <w:rFonts w:ascii="Arial" w:eastAsia="Arial" w:hAnsi="Arial" w:cs="Arial"/>
          <w:color w:val="000000"/>
          <w:sz w:val="24"/>
          <w:szCs w:val="24"/>
        </w:rPr>
        <w:t xml:space="preserve"> La legislación civil ofrece otra combinación. Esa combinación reúne tasación y arbitrio.</w:t>
      </w:r>
    </w:p>
    <w:p>
      <w:pPr>
        <w:spacing w:before="0" w:after="0" w:line="360" w:lineRule="auto"/>
        <w:ind w:firstLine="709"/>
        <w:jc w:val="both"/>
      </w:pPr>
      <w:r>
        <w:rPr>
          <w:rFonts w:ascii="Arial" w:eastAsia="Arial" w:hAnsi="Arial" w:cs="Arial"/>
          <w:color w:val="000000"/>
          <w:sz w:val="24"/>
          <w:szCs w:val="24"/>
        </w:rPr>
        <w:t xml:space="preserve">El código procesal civil de Michoacán ilustra esa mezcla. Su artículo 547 deja el valor de la prueba testimonial al arbitrio del juez. El mismo artículo impide tener por probados los hechos cuando no concurran al menos dos testigos con ciertas condiciones.</w:t>
      </w:r>
      <w:r>
        <w:rPr>
          <w:rFonts w:ascii="Arial" w:eastAsia="Arial" w:hAnsi="Arial" w:cs="Arial"/>
          <w:color w:val="000000"/>
          <w:sz w:val="24"/>
          <w:szCs w:val="24"/>
          <w:vertAlign w:val="superscript"/>
        </w:rPr>
        <w:footnoteReference w:id="545"/>
      </w:r>
      <w:r>
        <w:rPr>
          <w:rFonts w:ascii="Arial" w:eastAsia="Arial" w:hAnsi="Arial" w:cs="Arial"/>
          <w:color w:val="000000"/>
          <w:sz w:val="24"/>
          <w:szCs w:val="24"/>
        </w:rPr>
        <w:t xml:space="preserve"> Su artículo 545 ordena determinar el valor de la pericial atendiendo a la convicción que genere, y en el mismo artículo dispone que los avalúos harán prueba plena.</w:t>
      </w:r>
      <w:r>
        <w:rPr>
          <w:rFonts w:ascii="Arial" w:eastAsia="Arial" w:hAnsi="Arial" w:cs="Arial"/>
          <w:color w:val="000000"/>
          <w:sz w:val="24"/>
          <w:szCs w:val="24"/>
          <w:vertAlign w:val="superscript"/>
        </w:rPr>
        <w:footnoteReference w:id="546"/>
      </w:r>
      <w:r>
        <w:rPr>
          <w:rFonts w:ascii="Arial" w:eastAsia="Arial" w:hAnsi="Arial" w:cs="Arial"/>
          <w:color w:val="000000"/>
          <w:sz w:val="24"/>
          <w:szCs w:val="24"/>
        </w:rPr>
        <w:t xml:space="preserve"> El mismo código concede valor probatorio pleno a los instrumentos públicos y remite a la justicia del juez la apreciación de las presunciones humanas.</w:t>
      </w:r>
      <w:r>
        <w:rPr>
          <w:rFonts w:ascii="Arial" w:eastAsia="Arial" w:hAnsi="Arial" w:cs="Arial"/>
          <w:color w:val="000000"/>
          <w:sz w:val="24"/>
          <w:szCs w:val="24"/>
          <w:vertAlign w:val="superscript"/>
        </w:rPr>
        <w:footnoteReference w:id="547"/>
      </w:r>
      <w:r>
        <w:rPr>
          <w:rFonts w:ascii="Arial" w:eastAsia="Arial" w:hAnsi="Arial" w:cs="Arial"/>
          <w:color w:val="000000"/>
          <w:sz w:val="24"/>
          <w:szCs w:val="24"/>
        </w:rPr>
        <w:t xml:space="preserve"> La comparación permite formular dos observaciones. La primera observación es que el método racional unido a la convicción aparece en la codificación penal reciente. La segunda observación es que la combinación de tasación y arbitrio dentro de un mismo artículo es un rasgo arraigado de la legislación procesal mexicana.</w:t>
      </w:r>
    </w:p>
    <w:p>
      <w:pPr>
        <w:spacing w:before="0" w:after="0" w:line="360" w:lineRule="auto"/>
        <w:ind w:firstLine="709"/>
        <w:jc w:val="both"/>
      </w:pPr>
      <w:r>
        <w:rPr>
          <w:rFonts w:ascii="Arial" w:eastAsia="Arial" w:hAnsi="Arial" w:cs="Arial"/>
          <w:color w:val="000000"/>
          <w:sz w:val="24"/>
          <w:szCs w:val="24"/>
        </w:rPr>
        <w:t xml:space="preserve">Montoya Zamora atribuye a la mayoría de los ordenamientos procesales mexicanos un sistema mixto con predominio de la prueba tasada.</w:t>
      </w:r>
      <w:r>
        <w:rPr>
          <w:rFonts w:ascii="Arial" w:eastAsia="Arial" w:hAnsi="Arial" w:cs="Arial"/>
          <w:color w:val="000000"/>
          <w:sz w:val="24"/>
          <w:szCs w:val="24"/>
          <w:vertAlign w:val="superscript"/>
        </w:rPr>
        <w:footnoteReference w:id="548"/>
      </w:r>
      <w:r>
        <w:rPr>
          <w:rFonts w:ascii="Arial" w:eastAsia="Arial" w:hAnsi="Arial" w:cs="Arial"/>
          <w:color w:val="000000"/>
          <w:sz w:val="24"/>
          <w:szCs w:val="24"/>
        </w:rPr>
        <w:t xml:space="preserve"> Ferrer Beltrán interpreta la prueba legal como expresión de la desconfianza del legislador hacia el juez.</w:t>
      </w:r>
      <w:r>
        <w:rPr>
          <w:rFonts w:ascii="Arial" w:eastAsia="Arial" w:hAnsi="Arial" w:cs="Arial"/>
          <w:color w:val="000000"/>
          <w:sz w:val="24"/>
          <w:szCs w:val="24"/>
          <w:vertAlign w:val="superscript"/>
        </w:rPr>
        <w:footnoteReference w:id="549"/>
      </w:r>
      <w:r>
        <w:rPr>
          <w:rFonts w:ascii="Arial" w:eastAsia="Arial" w:hAnsi="Arial" w:cs="Arial"/>
          <w:color w:val="000000"/>
          <w:sz w:val="24"/>
          <w:szCs w:val="24"/>
        </w:rPr>
        <w:t xml:space="preserve"> La cláusula mixta del artículo 16 puede leerse como la convivencia de esa desconfianza, presente en las reglas de peso, con la confianza en el juicio del órgano, presente en el criterio de convicción. Ninguno de los dos componentes proporciona una regla de suficiencia controlable. El análisis de esta investigación se limita, no obstante, al derecho electoral. La comparación solo pretende mostrar que el diseño no es excepcional. Establecer la extensión de ese diseño en todo el derecho procesal mexicano excede los alcances de esta investigación. La calificación de cláusula mixta produce, en cambio, consecuencias precisas para la interpretación del artículo 16 mientras no se reforme.</w:t>
      </w:r>
    </w:p>
    <w:p>
      <w:pPr>
        <w:spacing w:before="0" w:after="0" w:line="360" w:lineRule="auto"/>
        <w:ind w:firstLine="709"/>
        <w:jc w:val="both"/>
      </w:pPr>
      <w:r>
        <w:rPr>
          <w:rFonts w:ascii="Arial" w:eastAsia="Arial" w:hAnsi="Arial" w:cs="Arial"/>
          <w:color w:val="000000"/>
          <w:sz w:val="24"/>
          <w:szCs w:val="24"/>
        </w:rPr>
        <w:t xml:space="preserve">La primera consecuencia es que el método del párrafo 1 rige los párrafos 2 y 3. La segunda es que el valor pleno de las documentales públicas es una regla de peso derrotable. La tercera es que la convicción del párrafo 3 puede leerse como resultado justificado y no como estado mental. Esa lectura encuentra apoyo en la Primera Sala de la Suprema Corte. La Primera Sala sostuvo que la duda asociada al principio de que la duda favorece al acusado no debe interpretarse en clave psicológica, porque esa lectura es contraria a un entendimiento garantista de la presunción de inocencia.</w:t>
      </w:r>
      <w:r>
        <w:rPr>
          <w:rFonts w:ascii="Arial" w:eastAsia="Arial" w:hAnsi="Arial" w:cs="Arial"/>
          <w:color w:val="000000"/>
          <w:sz w:val="24"/>
          <w:szCs w:val="24"/>
          <w:vertAlign w:val="superscript"/>
        </w:rPr>
        <w:footnoteReference w:id="550"/>
      </w:r>
      <w:r>
        <w:rPr>
          <w:rFonts w:ascii="Arial" w:eastAsia="Arial" w:hAnsi="Arial" w:cs="Arial"/>
          <w:color w:val="000000"/>
          <w:sz w:val="24"/>
          <w:szCs w:val="24"/>
        </w:rPr>
        <w:t xml:space="preserve"> El proyecto del voto particular de 2025 apoya esa lectura al definir la plena acreditación como la superación de un estándar previo.</w:t>
      </w:r>
      <w:r>
        <w:rPr>
          <w:rFonts w:ascii="Arial" w:eastAsia="Arial" w:hAnsi="Arial" w:cs="Arial"/>
          <w:color w:val="000000"/>
          <w:sz w:val="24"/>
          <w:szCs w:val="24"/>
          <w:vertAlign w:val="superscript"/>
        </w:rPr>
        <w:footnoteReference w:id="551"/>
      </w:r>
      <w:r>
        <w:rPr>
          <w:rFonts w:ascii="Arial" w:eastAsia="Arial" w:hAnsi="Arial" w:cs="Arial"/>
          <w:color w:val="000000"/>
          <w:sz w:val="24"/>
          <w:szCs w:val="24"/>
        </w:rPr>
        <w:t xml:space="preserve"> Sin embargo, la interpretación tiene un límite. La interpretación puede despsicologizar la palabra convicción, pero no puede extraer del texto un umbral que el texto no contiene.</w:t>
      </w:r>
    </w:p>
    <w:p>
      <w:pPr>
        <w:spacing w:before="0" w:after="0" w:line="360" w:lineRule="auto"/>
        <w:ind w:firstLine="709"/>
        <w:jc w:val="both"/>
      </w:pPr>
      <w:r>
        <w:rPr>
          <w:rFonts w:ascii="Arial" w:eastAsia="Arial" w:hAnsi="Arial" w:cs="Arial"/>
          <w:color w:val="000000"/>
          <w:sz w:val="24"/>
          <w:szCs w:val="24"/>
        </w:rPr>
        <w:t xml:space="preserve">Cualquier umbral construido por vía interpretativa depende de la voluntad de la mayoría que lo adopte. Por ello la calificación de cláusula mixta conduce a la necesidad de una regla de suficiencia de fuente legal. La noción de error de categoría, que la cláusula mixta expresa en el plano normativo, procede de Gilbert Ryle. Ryle definió ese error como la presentación de los hechos de un ámbito como si pertenecieran a un tipo lógico o categoría, cuando en realidad pertenecen a otro.</w:t>
      </w:r>
      <w:r>
        <w:rPr>
          <w:rFonts w:ascii="Arial" w:eastAsia="Arial" w:hAnsi="Arial" w:cs="Arial"/>
          <w:color w:val="000000"/>
          <w:sz w:val="24"/>
          <w:szCs w:val="24"/>
          <w:vertAlign w:val="superscript"/>
        </w:rPr>
        <w:footnoteReference w:id="552"/>
      </w:r>
      <w:r>
        <w:rPr>
          <w:rFonts w:ascii="Arial" w:eastAsia="Arial" w:hAnsi="Arial" w:cs="Arial"/>
          <w:color w:val="000000"/>
          <w:sz w:val="24"/>
          <w:szCs w:val="24"/>
        </w:rPr>
        <w:t xml:space="preserve"> Su ejemplo más conocido es el del visitante que, después de conocer los colegios, las bibliotecas y los laboratorios de Oxford, pregunta dónde está la Universidad.</w:t>
      </w:r>
      <w:r>
        <w:rPr>
          <w:rFonts w:ascii="Arial" w:eastAsia="Arial" w:hAnsi="Arial" w:cs="Arial"/>
          <w:color w:val="000000"/>
          <w:sz w:val="24"/>
          <w:szCs w:val="24"/>
          <w:vertAlign w:val="superscript"/>
        </w:rPr>
        <w:footnoteReference w:id="553"/>
      </w:r>
      <w:r>
        <w:rPr>
          <w:rFonts w:ascii="Arial" w:eastAsia="Arial" w:hAnsi="Arial" w:cs="Arial"/>
          <w:color w:val="000000"/>
          <w:sz w:val="24"/>
          <w:szCs w:val="24"/>
        </w:rPr>
        <w:t xml:space="preserve"> El visitante supone que la Universidad es una institución más de la misma clase que las que ha visto. En realidad la Universidad es la manera en que todas esas instituciones están organizadas. El ejemplo de Ryle ilumina un rasgo decisivo del error, que es la competencia de quien lo comete.</w:t>
      </w:r>
    </w:p>
    <w:p>
      <w:pPr>
        <w:spacing w:before="0" w:after="0" w:line="360" w:lineRule="auto"/>
        <w:ind w:firstLine="709"/>
        <w:jc w:val="both"/>
      </w:pPr>
      <w:r>
        <w:rPr>
          <w:rFonts w:ascii="Arial" w:eastAsia="Arial" w:hAnsi="Arial" w:cs="Arial"/>
          <w:color w:val="000000"/>
          <w:sz w:val="24"/>
          <w:szCs w:val="24"/>
        </w:rPr>
        <w:t xml:space="preserve">Ryle advierte que los errores de categoría teóricamente relevantes los cometen personas competentes para aplicar los conceptos en situaciones familiares.</w:t>
      </w:r>
      <w:r>
        <w:rPr>
          <w:rFonts w:ascii="Arial" w:eastAsia="Arial" w:hAnsi="Arial" w:cs="Arial"/>
          <w:color w:val="000000"/>
          <w:sz w:val="24"/>
          <w:szCs w:val="24"/>
          <w:vertAlign w:val="superscript"/>
        </w:rPr>
        <w:footnoteReference w:id="554"/>
      </w:r>
      <w:r>
        <w:rPr>
          <w:rFonts w:ascii="Arial" w:eastAsia="Arial" w:hAnsi="Arial" w:cs="Arial"/>
          <w:color w:val="000000"/>
          <w:sz w:val="24"/>
          <w:szCs w:val="24"/>
        </w:rPr>
        <w:t xml:space="preserve"> Esas personas asignan los conceptos, al razonar en abstracto, a tipos lógicos a los que no pertenecen. La observación es pertinente para el contencioso electoral. Los tribunales valoran pruebas y aplican con competencia criterios de peso y de adminiculación. El error surge cuando esos criterios, que pertenecen a la categoría de la valoración, se tratan como si pertenecieran a la categoría de las reglas de decisión. En consecuencia, el error de categoría no revela incompetencia judicial, sino una confusión conceptual que el propio texto legal propicia. La cláusula mixta permite precisar la relación entre el texto legal y ese error. El error consiste en tratar un criterio de valoración como si fuera una regla de suficiencia, y el artículo 16 lo favorece en dos planos.</w:t>
      </w:r>
    </w:p>
    <w:p>
      <w:pPr>
        <w:spacing w:before="0" w:after="0" w:line="360" w:lineRule="auto"/>
        <w:ind w:firstLine="709"/>
        <w:jc w:val="both"/>
      </w:pPr>
      <w:r>
        <w:rPr>
          <w:rFonts w:ascii="Arial" w:eastAsia="Arial" w:hAnsi="Arial" w:cs="Arial"/>
          <w:color w:val="000000"/>
          <w:sz w:val="24"/>
          <w:szCs w:val="24"/>
        </w:rPr>
        <w:t xml:space="preserve">En el primer plano, el párrafo 3 fusiona en una sola oración el método de valoración conjunta y el criterio de suficiencia. Esa fusión hace que la aplicación correcta del método parezca bastar para decidir. En el segundo plano, las reglas de peso, legales o jurisprudenciales, se presentan como si resolvieran la suficiencia, cuando solo gradúan el valor de un tipo de prueba. Montoya Zamora sostiene que la prueba solo probable excluye la valoración predeterminada. Una prueba puede aportar poca probabilidad en el caso aunque la ley le atribuya un valor específico.</w:t>
      </w:r>
      <w:r>
        <w:rPr>
          <w:rFonts w:ascii="Arial" w:eastAsia="Arial" w:hAnsi="Arial" w:cs="Arial"/>
          <w:color w:val="000000"/>
          <w:sz w:val="24"/>
          <w:szCs w:val="24"/>
          <w:vertAlign w:val="superscript"/>
        </w:rPr>
        <w:footnoteReference w:id="555"/>
      </w:r>
      <w:r>
        <w:rPr>
          <w:rFonts w:ascii="Arial" w:eastAsia="Arial" w:hAnsi="Arial" w:cs="Arial"/>
          <w:color w:val="000000"/>
          <w:sz w:val="24"/>
          <w:szCs w:val="24"/>
        </w:rPr>
        <w:t xml:space="preserve"> La observación muestra que el valor legal de un medio y su aporte a la hipótesis del caso son magnitudes distintas. Confundirlas equivale a tratar una propiedad del tipo de prueba como si fuera una propiedad del acervo concreto. Por tanto, el legislador codificó la confusión entre valoración y estándar, y la jurisprudencia la mantuvo con nuevas reglas de peso.</w:t>
      </w:r>
    </w:p>
    <w:p>
      <w:pPr>
        <w:spacing w:before="0" w:after="0" w:line="360" w:lineRule="auto"/>
        <w:ind w:firstLine="709"/>
        <w:jc w:val="both"/>
      </w:pPr>
      <w:r>
        <w:rPr>
          <w:rFonts w:ascii="Arial" w:eastAsia="Arial" w:hAnsi="Arial" w:cs="Arial"/>
          <w:color w:val="000000"/>
          <w:sz w:val="24"/>
          <w:szCs w:val="24"/>
        </w:rPr>
        <w:t xml:space="preserve">La investigación permite formular un diagnóstico integral. La valoración de la prueba y el estándar de prueba son figuras distintas, y un estándar válido debe satisfacer requisitos metodológicos precisos. La determinancia y la cláusula híbrida nacieron sin una regla de suficiencia, y mayoría y minoría del caso Tabasco compartieron el vocabulario de la convicción. La mayoría del SUP-JIN-194/2025 desarrolló un método racional para la prueba indiciaria, pero no definió el grado de corroboración exigido. El voto particular de Rodríguez Mondragón formuló una teoría explícita de los estándares, con tensiones derivadas del propio texto legal. El artículo 16 es una cláusula mixta que reúne método, reglas de peso y un criterio de convicción sin articularlos. En consecuencia, el componente racional opera en la valoración, pero permanece inerte en la decisión sobre la suficiencia. La jurisprudencia desplazó el problema hacia reglas de peso sin resolverlo, y el diagnóstico apunta a la necesidad de formular un estándar de prueba para el contencioso electoral.</w:t>
      </w:r>
    </w:p>
    <w:p>
      <w:pPr>
        <w:spacing w:before="0" w:after="0" w:line="360" w:lineRule="auto"/>
        <w:ind w:firstLine="709"/>
        <w:jc w:val="both"/>
      </w:pPr>
      <w:r>
        <w:rPr>
          <w:rFonts w:ascii="Arial" w:eastAsia="Arial" w:hAnsi="Arial" w:cs="Arial"/>
          <w:color w:val="000000"/>
          <w:sz w:val="24"/>
          <w:szCs w:val="24"/>
        </w:rPr>
        <w:t xml:space="preserve">La formulación de ese estándar parte de los requisitos metodológicos ya expuestos. Su objeto es identificar qué hechos deben probarse en los juicios de nulidad y qué grado de corroboración debe exigirse para cada uno. El voto particular de 2025 ofrece un punto de partida, al distinguir entre la prueba de la irregularidad y la atribución de autoría. Esa distinción debe contrastarse con la función de distribuir el riesgo de error que corresponde a los estándares. En la nulidad de elecciones, los errores posibles son la validación de una elección viciada y la anulación de una elección válida. La determinación del umbral exige ponderar ambos riesgos a la luz de los principios constitucionales en juego. Esa ponderación obliga a decidir si el estándar debe fijarse en la ley. La investigación transita de ese modo hacia una fase propositiva, fundada en la distribución del riesgo de error.</w:t>
      </w:r>
    </w:p>
    <w:p w14:paraId="35FB82A9" w14:textId="77777777" w:rsidR="00A32EF9" w:rsidRDefault="00E354C7">
      <w:r>
        <w:br w:type="page"/>
      </w:r>
    </w:p>
    <w:p>
      <w:pPr>
        <w:spacing w:before="0" w:after="0" w:line="360" w:lineRule="auto"/>
        <w:jc w:val="left"/>
      </w:pPr>
    </w:p>
    <w:p>
      <w:pPr>
        <w:spacing w:before="0" w:after="0" w:line="360" w:lineRule="auto"/>
        <w:jc w:val="left"/>
      </w:pPr>
    </w:p>
    <w:p>
      <w:pPr>
        <w:spacing w:before="0" w:after="0" w:line="360" w:lineRule="auto"/>
        <w:jc w:val="left"/>
      </w:pPr>
    </w:p>
    <w:p>
      <w:pPr>
        <w:spacing w:before="0" w:after="0" w:line="360" w:lineRule="auto"/>
        <w:jc w:val="left"/>
      </w:pPr>
    </w:p>
    <w:p>
      <w:pPr>
        <w:spacing w:before="0" w:after="0" w:line="360" w:lineRule="auto"/>
        <w:jc w:val="left"/>
      </w:pPr>
    </w:p>
    <w:p>
      <w:pPr>
        <w:pStyle w:val="Ttulo1"/>
        <w:keepNext/>
        <w:spacing w:before="0" w:after="0" w:line="360" w:lineRule="auto"/>
        <w:jc w:val="center"/>
      </w:pPr>
      <w:bookmarkStart w:id="818" w:name="_Toc9000018"/>
      <w:r>
        <w:rPr>
          <w:rFonts w:ascii="Arial" w:eastAsia="Arial" w:hAnsi="Arial" w:cs="Arial"/>
          <w:b/>
          <w:bCs/>
          <w:color w:val="000000"/>
          <w:sz w:val="24"/>
          <w:szCs w:val="24"/>
        </w:rPr>
        <w:t xml:space="preserve">Capítulo IV</w:t>
      </w:r>
      <w:r>
        <w:rPr>
          <w:rFonts w:ascii="Arial" w:eastAsia="Arial" w:hAnsi="Arial" w:cs="Arial"/>
          <w:b/>
          <w:bCs/>
          <w:color w:val="000000"/>
          <w:sz w:val="24"/>
          <w:szCs w:val="24"/>
        </w:rPr>
        <w:br/>
      </w:r>
      <w:r>
        <w:rPr>
          <w:rFonts w:ascii="Arial" w:eastAsia="Arial" w:hAnsi="Arial" w:cs="Arial"/>
          <w:b/>
          <w:bCs/>
          <w:color w:val="000000"/>
          <w:sz w:val="24"/>
          <w:szCs w:val="24"/>
        </w:rPr>
        <w:t xml:space="preserve">El fundamento metodológico de un estándar de prueba propio para la materia electoral</w:t>
      </w:r>
      <w:bookmarkEnd w:id="818"/>
    </w:p>
    <w:p>
      <w:pPr>
        <w:spacing w:before="0" w:after="0" w:line="360" w:lineRule="auto"/>
        <w:jc w:val="left"/>
      </w:pPr>
    </w:p>
    <w:p>
      <w:pPr>
        <w:spacing w:before="0" w:after="0" w:line="360" w:lineRule="auto"/>
        <w:ind w:left="567" w:right="567"/>
        <w:jc w:val="both"/>
      </w:pPr>
      <w:r>
        <w:rPr>
          <w:rFonts w:ascii="Arial" w:eastAsia="Arial" w:hAnsi="Arial" w:cs="Arial"/>
          <w:smallCaps/>
          <w:color w:val="000000"/>
          <w:sz w:val="22"/>
          <w:szCs w:val="22"/>
        </w:rPr>
        <w:t xml:space="preserve">Sumario</w:t>
      </w:r>
      <w:r>
        <w:rPr>
          <w:rFonts w:ascii="Arial" w:eastAsia="Arial" w:hAnsi="Arial" w:cs="Arial"/>
          <w:color w:val="000000"/>
          <w:sz w:val="22"/>
          <w:szCs w:val="22"/>
        </w:rPr>
        <w:t xml:space="preserve">: </w:t>
      </w:r>
      <w:r>
        <w:rPr>
          <w:rFonts w:ascii="Arial" w:eastAsia="Arial" w:hAnsi="Arial" w:cs="Arial"/>
          <w:color w:val="000000"/>
          <w:sz w:val="22"/>
          <w:szCs w:val="22"/>
        </w:rPr>
        <w:t xml:space="preserve">4.1. </w:t>
      </w:r>
      <w:r>
        <w:rPr>
          <w:rFonts w:ascii="Arial" w:eastAsia="Arial" w:hAnsi="Arial" w:cs="Arial"/>
          <w:i/>
          <w:iCs/>
          <w:color w:val="000000"/>
          <w:sz w:val="22"/>
          <w:szCs w:val="22"/>
        </w:rPr>
        <w:t xml:space="preserve">La distribución del riesgo del error como función del estándar de prueba</w:t>
      </w:r>
      <w:r>
        <w:rPr>
          <w:rFonts w:ascii="Arial" w:eastAsia="Arial" w:hAnsi="Arial" w:cs="Arial"/>
          <w:color w:val="000000"/>
          <w:sz w:val="22"/>
          <w:szCs w:val="22"/>
        </w:rPr>
        <w:t xml:space="preserve">. </w:t>
      </w:r>
      <w:r>
        <w:rPr>
          <w:rFonts w:ascii="Arial" w:eastAsia="Arial" w:hAnsi="Arial" w:cs="Arial"/>
          <w:color w:val="000000"/>
          <w:sz w:val="22"/>
          <w:szCs w:val="22"/>
        </w:rPr>
        <w:t xml:space="preserve">4.2. </w:t>
      </w:r>
      <w:r>
        <w:rPr>
          <w:rFonts w:ascii="Arial" w:eastAsia="Arial" w:hAnsi="Arial" w:cs="Arial"/>
          <w:i/>
          <w:iCs/>
          <w:color w:val="000000"/>
          <w:sz w:val="22"/>
          <w:szCs w:val="22"/>
        </w:rPr>
        <w:t xml:space="preserve">La relatividad del estándar de prueba según los bienes en juego y los costes del error</w:t>
      </w:r>
      <w:r>
        <w:rPr>
          <w:rFonts w:ascii="Arial" w:eastAsia="Arial" w:hAnsi="Arial" w:cs="Arial"/>
          <w:color w:val="000000"/>
          <w:sz w:val="22"/>
          <w:szCs w:val="22"/>
        </w:rPr>
        <w:t xml:space="preserve">. </w:t>
      </w:r>
      <w:r>
        <w:rPr>
          <w:rFonts w:ascii="Arial" w:eastAsia="Arial" w:hAnsi="Arial" w:cs="Arial"/>
          <w:color w:val="000000"/>
          <w:sz w:val="22"/>
          <w:szCs w:val="22"/>
        </w:rPr>
        <w:t xml:space="preserve">4.3. </w:t>
      </w:r>
      <w:r>
        <w:rPr>
          <w:rFonts w:ascii="Arial" w:eastAsia="Arial" w:hAnsi="Arial" w:cs="Arial"/>
          <w:i/>
          <w:iCs/>
          <w:color w:val="000000"/>
          <w:sz w:val="22"/>
          <w:szCs w:val="22"/>
        </w:rPr>
        <w:t xml:space="preserve">Los bienes en juego propios del contencioso electoral mexicano</w:t>
      </w:r>
      <w:r>
        <w:rPr>
          <w:rFonts w:ascii="Arial" w:eastAsia="Arial" w:hAnsi="Arial" w:cs="Arial"/>
          <w:color w:val="000000"/>
          <w:sz w:val="22"/>
          <w:szCs w:val="22"/>
        </w:rPr>
        <w:t xml:space="preserve">.</w:t>
      </w:r>
    </w:p>
    <w:p>
      <w:pPr>
        <w:spacing w:before="0" w:after="0" w:line="360" w:lineRule="auto"/>
        <w:jc w:val="left"/>
      </w:pPr>
    </w:p>
    <w:p>
      <w:pPr>
        <w:spacing w:before="0" w:after="0" w:line="360" w:lineRule="auto"/>
        <w:ind w:firstLine="0"/>
        <w:jc w:val="both"/>
      </w:pPr>
      <w:r>
        <w:rPr>
          <w:rFonts w:ascii="Arial" w:eastAsia="Arial" w:hAnsi="Arial" w:cs="Arial"/>
          <w:color w:val="000000"/>
          <w:sz w:val="24"/>
          <w:szCs w:val="24"/>
        </w:rPr>
        <w:t xml:space="preserve">La cláusula del artículo 16 de la LGSMIME es una cláusula mixta, con anclaje racional textual y funcionalmente inerte. Ese diagnóstico abre paso a la pregunta constructiva de la investigación. La pregunta busca el fundamento metodológico de un estándar propio del contencioso electoral, distinto del penal o del civil. La respuesta parte de la función de distribución del riesgo del error que cumple todo estándar de prueba conforme a la teoría de Ferrer Beltrán. Sobre esa base se desarrolla la tesis de que el nivel de exigencia de un estándar debe fijarse en función de los bienes en juego y de los costes del error propios de cada materia. Ese nivel no depende de la etiqueta jurisdiccional del proceso. La identificación de los bienes en juego específicos del contencioso electoral mexicano completa el fundamento. Esa secuencia aplica el marco teórico a la materia electoral y prepara la propuesta legislativa.</w:t>
      </w:r>
    </w:p>
    <w:p>
      <w:pPr>
        <w:spacing w:before="0" w:after="0" w:line="360" w:lineRule="auto"/>
        <w:jc w:val="left"/>
      </w:pPr>
    </w:p>
    <w:p>
      <w:pPr>
        <w:pStyle w:val="Ttulo2"/>
        <w:keepNext/>
        <w:spacing w:before="0" w:after="0" w:line="360" w:lineRule="auto"/>
        <w:ind w:left="567" w:hanging="284"/>
        <w:jc w:val="left"/>
      </w:pPr>
      <w:bookmarkStart w:id="819" w:name="_Toc9000019"/>
      <w:r>
        <w:rPr>
          <w:rFonts w:ascii="Arial" w:eastAsia="Arial" w:hAnsi="Arial" w:cs="Arial"/>
          <w:color w:val="000000"/>
          <w:sz w:val="24"/>
          <w:szCs w:val="24"/>
        </w:rPr>
        <w:t xml:space="preserve">4.1. </w:t>
      </w:r>
      <w:r>
        <w:rPr>
          <w:rFonts w:ascii="Arial" w:eastAsia="Arial" w:hAnsi="Arial" w:cs="Arial"/>
          <w:i/>
          <w:iCs/>
          <w:color w:val="000000"/>
          <w:sz w:val="24"/>
          <w:szCs w:val="24"/>
        </w:rPr>
        <w:t xml:space="preserve">La distribución del riesgo del error como función del estándar de prueba</w:t>
      </w:r>
      <w:bookmarkEnd w:id="819"/>
    </w:p>
    <w:p>
      <w:pPr>
        <w:spacing w:before="0" w:after="0" w:line="360" w:lineRule="auto"/>
        <w:jc w:val="left"/>
      </w:pPr>
    </w:p>
    <w:p>
      <w:pPr>
        <w:spacing w:before="0" w:after="0" w:line="360" w:lineRule="auto"/>
        <w:ind w:firstLine="0"/>
        <w:jc w:val="both"/>
      </w:pPr>
      <w:r>
        <w:rPr>
          <w:rFonts w:ascii="Arial" w:eastAsia="Arial" w:hAnsi="Arial" w:cs="Arial"/>
          <w:color w:val="000000"/>
          <w:sz w:val="24"/>
          <w:szCs w:val="24"/>
        </w:rPr>
        <w:t xml:space="preserve">El fundamento metodológico de un estándar de prueba propio para la materia electoral exige precisar primero qué hace un estándar dentro del proceso. La respuesta no puede limitarse a su función de repartir errores, aunque esa función sea la que aquí interesa de manera principal. La distribución del riesgo del error solo opera cuando el estándar cumple las funciones de justificación y de garantía, y cuando fija un umbral identificable. La exposición parte de las tres funciones del estándar según Ferrer Beltrán y de su crítica a la reducción distributiva. Después define los dos errores materiales y muestra que ningún umbral es neutral. El análisis examina a continuación la relación inversa entre ambos riesgos y el papel de la calidad del material probatorio. La identificación de quienes soportan cada error en el juicio de nulidad cierra el análisis. De esa identificación se deriva la pregunta de diseño normativo que orienta la construcción del estándar electoral.</w:t>
      </w:r>
    </w:p>
    <w:p>
      <w:pPr>
        <w:spacing w:before="0" w:after="0" w:line="360" w:lineRule="auto"/>
        <w:ind w:firstLine="709"/>
        <w:jc w:val="both"/>
      </w:pPr>
      <w:r>
        <w:rPr>
          <w:rFonts w:ascii="Arial" w:eastAsia="Arial" w:hAnsi="Arial" w:cs="Arial"/>
          <w:color w:val="000000"/>
          <w:sz w:val="24"/>
          <w:szCs w:val="24"/>
        </w:rPr>
        <w:t xml:space="preserve">Un estándar de prueba es una regla y no un estado mental del juzgador. Ferrer Beltrán define el estándar como la regla que determina el nivel de suficiencia probatoria para que una hipótesis pueda considerarse probada a los efectos de una decisión sobre los hechos.</w:t>
      </w:r>
      <w:r>
        <w:rPr>
          <w:rFonts w:ascii="Arial" w:eastAsia="Arial" w:hAnsi="Arial" w:cs="Arial"/>
          <w:color w:val="000000"/>
          <w:sz w:val="24"/>
          <w:szCs w:val="24"/>
          <w:vertAlign w:val="superscript"/>
        </w:rPr>
        <w:footnoteReference w:id="556"/>
      </w:r>
      <w:r>
        <w:rPr>
          <w:rFonts w:ascii="Arial" w:eastAsia="Arial" w:hAnsi="Arial" w:cs="Arial"/>
          <w:color w:val="000000"/>
          <w:sz w:val="24"/>
          <w:szCs w:val="24"/>
        </w:rPr>
        <w:t xml:space="preserve"> El autor sostiene que, para la concepción racional de la prueba, la convicción del juzgador es irrelevante desde el punto de vista justificativo.</w:t>
      </w:r>
      <w:r>
        <w:rPr>
          <w:rFonts w:ascii="Arial" w:eastAsia="Arial" w:hAnsi="Arial" w:cs="Arial"/>
          <w:color w:val="000000"/>
          <w:sz w:val="24"/>
          <w:szCs w:val="24"/>
          <w:vertAlign w:val="superscript"/>
        </w:rPr>
        <w:footnoteReference w:id="557"/>
      </w:r>
      <w:r>
        <w:rPr>
          <w:rFonts w:ascii="Arial" w:eastAsia="Arial" w:hAnsi="Arial" w:cs="Arial"/>
          <w:color w:val="000000"/>
          <w:sz w:val="24"/>
          <w:szCs w:val="24"/>
        </w:rPr>
        <w:t xml:space="preserve"> Por esa razón los estándares no pueden construirse como una graduación de esa convicción. La concepción persuasiva o subjetivista identifica el hecho probado con el convencimiento del juez. Esa concepción atraviesa tanto la tradición del </w:t>
      </w:r>
      <w:r>
        <w:rPr>
          <w:rFonts w:ascii="Arial" w:eastAsia="Arial" w:hAnsi="Arial" w:cs="Arial"/>
          <w:i/>
          <w:iCs/>
          <w:color w:val="000000"/>
          <w:sz w:val="24"/>
          <w:szCs w:val="24"/>
        </w:rPr>
        <w:t xml:space="preserve">common law</w:t>
      </w:r>
      <w:r>
        <w:rPr>
          <w:rFonts w:ascii="Arial" w:eastAsia="Arial" w:hAnsi="Arial" w:cs="Arial"/>
          <w:color w:val="000000"/>
          <w:sz w:val="24"/>
          <w:szCs w:val="24"/>
        </w:rPr>
        <w:t xml:space="preserve"> como la del </w:t>
      </w:r>
      <w:r>
        <w:rPr>
          <w:rFonts w:ascii="Arial" w:eastAsia="Arial" w:hAnsi="Arial" w:cs="Arial"/>
          <w:i/>
          <w:iCs/>
          <w:color w:val="000000"/>
          <w:sz w:val="24"/>
          <w:szCs w:val="24"/>
        </w:rPr>
        <w:t xml:space="preserve">civil law</w:t>
      </w:r>
      <w:r>
        <w:rPr>
          <w:rFonts w:ascii="Arial" w:eastAsia="Arial" w:hAnsi="Arial" w:cs="Arial"/>
          <w:color w:val="000000"/>
          <w:sz w:val="24"/>
          <w:szCs w:val="24"/>
        </w:rPr>
        <w:t xml:space="preserve">. En el derecho electoral mexicano, esa concepción se expresa en el artículo 16, párrafo 3, de la ley de medios, que hace depender la prueba plena de que los elementos del expediente generen convicción en el órgano competente.</w:t>
      </w:r>
      <w:r>
        <w:rPr>
          <w:rFonts w:ascii="Arial" w:eastAsia="Arial" w:hAnsi="Arial" w:cs="Arial"/>
          <w:color w:val="000000"/>
          <w:sz w:val="24"/>
          <w:szCs w:val="24"/>
          <w:vertAlign w:val="superscript"/>
        </w:rPr>
        <w:footnoteReference w:id="558"/>
      </w:r>
      <w:r>
        <w:rPr>
          <w:rFonts w:ascii="Arial" w:eastAsia="Arial" w:hAnsi="Arial" w:cs="Arial"/>
          <w:color w:val="000000"/>
          <w:sz w:val="24"/>
          <w:szCs w:val="24"/>
        </w:rPr>
        <w:t xml:space="preserve"> Ese precepto tiene rango legal y no constitucional.</w:t>
      </w:r>
    </w:p>
    <w:p>
      <w:pPr>
        <w:spacing w:before="0" w:after="0" w:line="360" w:lineRule="auto"/>
        <w:ind w:firstLine="709"/>
        <w:jc w:val="both"/>
      </w:pPr>
      <w:r>
        <w:rPr>
          <w:rFonts w:ascii="Arial" w:eastAsia="Arial" w:hAnsi="Arial" w:cs="Arial"/>
          <w:color w:val="000000"/>
          <w:sz w:val="24"/>
          <w:szCs w:val="24"/>
        </w:rPr>
        <w:t xml:space="preserve">Frente a la fórmula del artículo 16, concebir el estándar como regla externa permite preguntar si el grado de corroboración alcanzado por una hipótesis supera un umbral previamente fijado. Esa pregunta puede responderse con independencia de lo que el juzgador crea o sienta respecto de la hipótesis. Ferrer Beltrán atribuye a los estándares de prueba tres funciones.</w:t>
      </w:r>
      <w:r>
        <w:rPr>
          <w:rFonts w:ascii="Arial" w:eastAsia="Arial" w:hAnsi="Arial" w:cs="Arial"/>
          <w:color w:val="000000"/>
          <w:sz w:val="24"/>
          <w:szCs w:val="24"/>
          <w:vertAlign w:val="superscript"/>
        </w:rPr>
        <w:footnoteReference w:id="559"/>
      </w:r>
      <w:r>
        <w:rPr>
          <w:rFonts w:ascii="Arial" w:eastAsia="Arial" w:hAnsi="Arial" w:cs="Arial"/>
          <w:color w:val="000000"/>
          <w:sz w:val="24"/>
          <w:szCs w:val="24"/>
        </w:rPr>
        <w:t xml:space="preserve"> La primera función es aportar los criterios imprescindibles para justificar la decisión sobre la suficiencia probatoria. La segunda función es servir de garantía para las partes, que podrán decidir su estrategia probatoria y controlar la corrección de la decisión sobre los hechos. La tercera función es distribuir el riesgo del error entre las partes. El autor precisa que las tres funciones se cumplen con independencia del nivel de exigencia de cada estándar. La concreta distribución del riesgo depende, sin embargo, del umbral que se establezca.</w:t>
      </w:r>
    </w:p>
    <w:p>
      <w:pPr>
        <w:spacing w:before="0" w:after="0" w:line="360" w:lineRule="auto"/>
        <w:ind w:firstLine="709"/>
        <w:jc w:val="both"/>
      </w:pPr>
      <w:r>
        <w:rPr>
          <w:rFonts w:ascii="Arial" w:eastAsia="Arial" w:hAnsi="Arial" w:cs="Arial"/>
          <w:color w:val="000000"/>
          <w:sz w:val="24"/>
          <w:szCs w:val="24"/>
        </w:rPr>
        <w:t xml:space="preserve">Las dos primeras funciones dependen de que exista una regla que cumpla los requisitos metodológicos. La tercera función depende, por añadidura, de la altura del umbral elegido por el legislador. Las tres funciones no son independientes entre sí. Un estándar que no permita justificar la decisión tampoco permite a las partes controlarla. Un estándar cuyo umbral no puede identificarse tampoco distribuye el riesgo de manera previsible. En consecuencia, la función distributiva presupone las otras dos y no puede operar sin ellas. La función de justificación exige que el criterio de suficiencia sea intersubjetivamente controlable por las partes y por el tribunal revisor. Ferrer Beltrán, siguiendo a Gascón Abellán, distingue una dimensión heurística, que orienta al juez en la valoración, y una dimensión justificativa, que le proporciona los criterios del umbral de suficiencia.</w:t>
      </w:r>
      <w:r>
        <w:rPr>
          <w:rFonts w:ascii="Arial" w:eastAsia="Arial" w:hAnsi="Arial" w:cs="Arial"/>
          <w:color w:val="000000"/>
          <w:sz w:val="24"/>
          <w:szCs w:val="24"/>
          <w:vertAlign w:val="superscript"/>
        </w:rPr>
        <w:footnoteReference w:id="560"/>
      </w:r>
    </w:p>
    <w:p>
      <w:pPr>
        <w:spacing w:before="0" w:after="0" w:line="360" w:lineRule="auto"/>
        <w:ind w:firstLine="709"/>
        <w:jc w:val="both"/>
      </w:pPr>
      <w:r>
        <w:rPr>
          <w:rFonts w:ascii="Arial" w:eastAsia="Arial" w:hAnsi="Arial" w:cs="Arial"/>
          <w:color w:val="000000"/>
          <w:sz w:val="24"/>
          <w:szCs w:val="24"/>
        </w:rPr>
        <w:t xml:space="preserve">Sin los criterios del umbral resulta de imposible cumplimiento la obligación de motivar. Motivar la suficiencia significa justificar que una hipótesis supera o no el umbral que habilita a aceptarla como probada. Ferrer Beltrán vincula esas dimensiones con los controles de racionalidad previos y posteriores de Taruffo. Los estándares posibilitan de ese modo el control de la decisión mediante los recursos. El tribunal que revisa debe comprobar si la valoración individual y conjunta fue correcta y si el estándar se aplicó de modo apropiado al grado de corroboración alcanzado.</w:t>
      </w:r>
      <w:r>
        <w:rPr>
          <w:rFonts w:ascii="Arial" w:eastAsia="Arial" w:hAnsi="Arial" w:cs="Arial"/>
          <w:color w:val="000000"/>
          <w:sz w:val="24"/>
          <w:szCs w:val="24"/>
          <w:vertAlign w:val="superscript"/>
        </w:rPr>
        <w:footnoteReference w:id="561"/>
      </w:r>
      <w:r>
        <w:rPr>
          <w:rFonts w:ascii="Arial" w:eastAsia="Arial" w:hAnsi="Arial" w:cs="Arial"/>
          <w:color w:val="000000"/>
          <w:sz w:val="24"/>
          <w:szCs w:val="24"/>
        </w:rPr>
        <w:t xml:space="preserve"> El autor concluye que, sin estándares que cumplan los requisitos metodológicos, no es posible justificar las decisiones sobre los hechos ni controlar la justificación de las decisiones de otros. El autor pregunta cómo podría justificarse la manifiesta insuficiencia de una prueba si no se dispone de criterios intersubjetivamente controlables de suficiencia.</w:t>
      </w:r>
      <w:r>
        <w:rPr>
          <w:rFonts w:ascii="Arial" w:eastAsia="Arial" w:hAnsi="Arial" w:cs="Arial"/>
          <w:color w:val="000000"/>
          <w:sz w:val="24"/>
          <w:szCs w:val="24"/>
          <w:vertAlign w:val="superscript"/>
        </w:rPr>
        <w:footnoteReference w:id="562"/>
      </w:r>
      <w:r>
        <w:rPr>
          <w:rFonts w:ascii="Arial" w:eastAsia="Arial" w:hAnsi="Arial" w:cs="Arial"/>
          <w:color w:val="000000"/>
          <w:sz w:val="24"/>
          <w:szCs w:val="24"/>
        </w:rPr>
        <w:t xml:space="preserve"> La íntima convicción no admite ese control.</w:t>
      </w:r>
    </w:p>
    <w:p>
      <w:pPr>
        <w:spacing w:before="0" w:after="0" w:line="360" w:lineRule="auto"/>
        <w:ind w:firstLine="709"/>
        <w:jc w:val="both"/>
      </w:pPr>
      <w:r>
        <w:rPr>
          <w:rFonts w:ascii="Arial" w:eastAsia="Arial" w:hAnsi="Arial" w:cs="Arial"/>
          <w:color w:val="000000"/>
          <w:sz w:val="24"/>
          <w:szCs w:val="24"/>
        </w:rPr>
        <w:t xml:space="preserve">Laudan sostiene que un estándar intrínsecamente subjetivo no ofrece protección alguna contra las decisiones arbitrarias. Las pruebas que convencen a un juzgador de la culpabilidad pueden no persuadir a otro.</w:t>
      </w:r>
      <w:r>
        <w:rPr>
          <w:rFonts w:ascii="Arial" w:eastAsia="Arial" w:hAnsi="Arial" w:cs="Arial"/>
          <w:color w:val="000000"/>
          <w:sz w:val="24"/>
          <w:szCs w:val="24"/>
          <w:vertAlign w:val="superscript"/>
        </w:rPr>
        <w:footnoteReference w:id="563"/>
      </w:r>
      <w:r>
        <w:rPr>
          <w:rFonts w:ascii="Arial" w:eastAsia="Arial" w:hAnsi="Arial" w:cs="Arial"/>
          <w:color w:val="000000"/>
          <w:sz w:val="24"/>
          <w:szCs w:val="24"/>
        </w:rPr>
        <w:t xml:space="preserve"> Si cada juez utiliza sus propios criterios, no puede esperarse uniformidad ni justicia. Laudan llega a afirmar que una regla así no es un estándar de prueba, sino una excusa para condenar o absolver.</w:t>
      </w:r>
      <w:r>
        <w:rPr>
          <w:rFonts w:ascii="Arial" w:eastAsia="Arial" w:hAnsi="Arial" w:cs="Arial"/>
          <w:color w:val="000000"/>
          <w:sz w:val="24"/>
          <w:szCs w:val="24"/>
          <w:vertAlign w:val="superscript"/>
        </w:rPr>
        <w:footnoteReference w:id="564"/>
      </w:r>
      <w:r>
        <w:rPr>
          <w:rFonts w:ascii="Arial" w:eastAsia="Arial" w:hAnsi="Arial" w:cs="Arial"/>
          <w:color w:val="000000"/>
          <w:sz w:val="24"/>
          <w:szCs w:val="24"/>
        </w:rPr>
        <w:t xml:space="preserve"> La Primera Sala de la Suprema Corte ha sostenido una tesis semejante respecto de la duda asociada al principio de que la duda favorece al acusado. Según la Primera Sala, las concepciones subjetivistas impiden fijar objetivamente la suficiencia y son incompatibles con la valoración racional.</w:t>
      </w:r>
      <w:r>
        <w:rPr>
          <w:rFonts w:ascii="Arial" w:eastAsia="Arial" w:hAnsi="Arial" w:cs="Arial"/>
          <w:color w:val="000000"/>
          <w:sz w:val="24"/>
          <w:szCs w:val="24"/>
          <w:vertAlign w:val="superscript"/>
        </w:rPr>
        <w:footnoteReference w:id="565"/>
      </w:r>
      <w:r>
        <w:rPr>
          <w:rFonts w:ascii="Arial" w:eastAsia="Arial" w:hAnsi="Arial" w:cs="Arial"/>
          <w:color w:val="000000"/>
          <w:sz w:val="24"/>
          <w:szCs w:val="24"/>
        </w:rPr>
        <w:t xml:space="preserve"> La Primera Sala añadió que condicionar la decisión a estados de convicción íntima abre la puerta a la irracionalidad, porque esos estados pueden surgir sin conexión con la evidencia disponible. Esa exigencia de control adquiere una relevancia particular en la jurisdicción electoral.</w:t>
      </w:r>
    </w:p>
    <w:p>
      <w:pPr>
        <w:spacing w:before="0" w:after="0" w:line="360" w:lineRule="auto"/>
        <w:ind w:firstLine="709"/>
        <w:jc w:val="both"/>
      </w:pPr>
      <w:r>
        <w:rPr>
          <w:rFonts w:ascii="Arial" w:eastAsia="Arial" w:hAnsi="Arial" w:cs="Arial"/>
          <w:color w:val="000000"/>
          <w:sz w:val="24"/>
          <w:szCs w:val="24"/>
        </w:rPr>
        <w:t xml:space="preserve">Las sentencias electorales deciden la integración de los órganos del Estado. Por ello la motivación de la suficiencia debe apoyarse en la demostración de que las pruebas alcanzan un umbral identificable. El convencimiento del órgano no basta. La función de garantía consiste en que las partes conozcan de antemano el nivel de exigencia probatoria que regirá su caso. Ferrer Beltrán sostiene que la predeterminación del umbral mediante reglas que cumplan los requisitos metodológicos es una de las condiciones del debido proceso y del Estado de derecho.</w:t>
      </w:r>
      <w:r>
        <w:rPr>
          <w:rFonts w:ascii="Arial" w:eastAsia="Arial" w:hAnsi="Arial" w:cs="Arial"/>
          <w:color w:val="000000"/>
          <w:sz w:val="24"/>
          <w:szCs w:val="24"/>
          <w:vertAlign w:val="superscript"/>
        </w:rPr>
        <w:footnoteReference w:id="566"/>
      </w:r>
      <w:r>
        <w:rPr>
          <w:rFonts w:ascii="Arial" w:eastAsia="Arial" w:hAnsi="Arial" w:cs="Arial"/>
          <w:color w:val="000000"/>
          <w:sz w:val="24"/>
          <w:szCs w:val="24"/>
        </w:rPr>
        <w:t xml:space="preserve"> Solo si las partes conocen el umbral pueden tomar decisiones racionales antes y durante el proceso. En el proceso civil, ese conocimiento permite decidir si conviene plantear una cuestión de hecho y calibrar la posibilidad de un acuerdo.</w:t>
      </w:r>
      <w:r>
        <w:rPr>
          <w:rFonts w:ascii="Arial" w:eastAsia="Arial" w:hAnsi="Arial" w:cs="Arial"/>
          <w:color w:val="000000"/>
          <w:sz w:val="24"/>
          <w:szCs w:val="24"/>
          <w:vertAlign w:val="superscript"/>
        </w:rPr>
        <w:footnoteReference w:id="567"/>
      </w:r>
      <w:r>
        <w:rPr>
          <w:rFonts w:ascii="Arial" w:eastAsia="Arial" w:hAnsi="Arial" w:cs="Arial"/>
          <w:color w:val="000000"/>
          <w:sz w:val="24"/>
          <w:szCs w:val="24"/>
        </w:rPr>
        <w:t xml:space="preserve"> En el proceso penal, ese conocimiento permite al fiscal evaluar la solidez de la acusación y al imputado decidir si acepta una terminación anticipada.</w:t>
      </w:r>
    </w:p>
    <w:p>
      <w:pPr>
        <w:spacing w:before="0" w:after="0" w:line="360" w:lineRule="auto"/>
        <w:ind w:firstLine="709"/>
        <w:jc w:val="both"/>
      </w:pPr>
      <w:r>
        <w:rPr>
          <w:rFonts w:ascii="Arial" w:eastAsia="Arial" w:hAnsi="Arial" w:cs="Arial"/>
          <w:color w:val="000000"/>
          <w:sz w:val="24"/>
          <w:szCs w:val="24"/>
        </w:rPr>
        <w:t xml:space="preserve">El autor añade que las cargas de la prueba y las presunciones que admiten prueba en contrario presuponen un umbral determinado. Esas reglas indican quién pierde si no hay prueba suficiente o cuándo una presunción ha sido derrotada.</w:t>
      </w:r>
      <w:r>
        <w:rPr>
          <w:rFonts w:ascii="Arial" w:eastAsia="Arial" w:hAnsi="Arial" w:cs="Arial"/>
          <w:color w:val="000000"/>
          <w:sz w:val="24"/>
          <w:szCs w:val="24"/>
          <w:vertAlign w:val="superscript"/>
        </w:rPr>
        <w:footnoteReference w:id="568"/>
      </w:r>
      <w:r>
        <w:rPr>
          <w:rFonts w:ascii="Arial" w:eastAsia="Arial" w:hAnsi="Arial" w:cs="Arial"/>
          <w:color w:val="000000"/>
          <w:sz w:val="24"/>
          <w:szCs w:val="24"/>
        </w:rPr>
        <w:t xml:space="preserve"> La indeterminación del umbral vacía de contenido el derecho al recurso en su dimensión fáctica. La parte no puede argumentar que una hipótesis no alcanzó un nivel que nunca fue definido. La garantía impide que el umbral se ajuste después de conocer las pruebas o la identidad de las partes. Sin esa garantía, el derecho a probar pierde utilidad, porque la parte no sabe cuánto debe aportar. En consecuencia, la función de garantía convierte el umbral en una condición del ejercicio efectivo de los derechos procesales. En la materia electoral, esa función tiene un peso especial por la estructura temporal del proceso.</w:t>
      </w:r>
    </w:p>
    <w:p>
      <w:pPr>
        <w:spacing w:before="0" w:after="0" w:line="360" w:lineRule="auto"/>
        <w:ind w:firstLine="709"/>
        <w:jc w:val="both"/>
      </w:pPr>
      <w:r>
        <w:rPr>
          <w:rFonts w:ascii="Arial" w:eastAsia="Arial" w:hAnsi="Arial" w:cs="Arial"/>
          <w:color w:val="000000"/>
          <w:sz w:val="24"/>
          <w:szCs w:val="24"/>
        </w:rPr>
        <w:t xml:space="preserve">Los medios de impugnación deben presentarse dentro de los cuatro días siguientes al conocimiento o notificación del acto impugnado.</w:t>
      </w:r>
      <w:r>
        <w:rPr>
          <w:rFonts w:ascii="Arial" w:eastAsia="Arial" w:hAnsi="Arial" w:cs="Arial"/>
          <w:color w:val="000000"/>
          <w:sz w:val="24"/>
          <w:szCs w:val="24"/>
          <w:vertAlign w:val="superscript"/>
        </w:rPr>
        <w:footnoteReference w:id="569"/>
      </w:r>
      <w:r>
        <w:rPr>
          <w:rFonts w:ascii="Arial" w:eastAsia="Arial" w:hAnsi="Arial" w:cs="Arial"/>
          <w:color w:val="000000"/>
          <w:sz w:val="24"/>
          <w:szCs w:val="24"/>
        </w:rPr>
        <w:t xml:space="preserve"> La demanda debe ofrecer y aportar las pruebas, y no se toman en cuenta las ofrecidas fuera de los plazos legales, salvo las supervenientes.</w:t>
      </w:r>
      <w:r>
        <w:rPr>
          <w:rFonts w:ascii="Arial" w:eastAsia="Arial" w:hAnsi="Arial" w:cs="Arial"/>
          <w:color w:val="000000"/>
          <w:sz w:val="24"/>
          <w:szCs w:val="24"/>
          <w:vertAlign w:val="superscript"/>
        </w:rPr>
        <w:footnoteReference w:id="570"/>
      </w:r>
      <w:r>
        <w:rPr>
          <w:rFonts w:ascii="Arial" w:eastAsia="Arial" w:hAnsi="Arial" w:cs="Arial"/>
          <w:color w:val="000000"/>
          <w:sz w:val="24"/>
          <w:szCs w:val="24"/>
        </w:rPr>
        <w:t xml:space="preserve"> Las periciales y las inspecciones solo pueden ordenarse cuando los plazos permitan su desahogo.</w:t>
      </w:r>
      <w:r>
        <w:rPr>
          <w:rFonts w:ascii="Arial" w:eastAsia="Arial" w:hAnsi="Arial" w:cs="Arial"/>
          <w:color w:val="000000"/>
          <w:sz w:val="24"/>
          <w:szCs w:val="24"/>
          <w:vertAlign w:val="superscript"/>
        </w:rPr>
        <w:footnoteReference w:id="571"/>
      </w:r>
      <w:r>
        <w:rPr>
          <w:rFonts w:ascii="Arial" w:eastAsia="Arial" w:hAnsi="Arial" w:cs="Arial"/>
          <w:color w:val="000000"/>
          <w:sz w:val="24"/>
          <w:szCs w:val="24"/>
        </w:rPr>
        <w:t xml:space="preserve"> Buena parte del acervo está constituido por documentales públicas preexistentes, como las actas de las mesas directivas de casilla y las de los cómputos.</w:t>
      </w:r>
      <w:r>
        <w:rPr>
          <w:rFonts w:ascii="Arial" w:eastAsia="Arial" w:hAnsi="Arial" w:cs="Arial"/>
          <w:color w:val="000000"/>
          <w:sz w:val="24"/>
          <w:szCs w:val="24"/>
          <w:vertAlign w:val="superscript"/>
        </w:rPr>
        <w:footnoteReference w:id="572"/>
      </w:r>
      <w:r>
        <w:rPr>
          <w:rFonts w:ascii="Arial" w:eastAsia="Arial" w:hAnsi="Arial" w:cs="Arial"/>
          <w:color w:val="000000"/>
          <w:sz w:val="24"/>
          <w:szCs w:val="24"/>
        </w:rPr>
        <w:t xml:space="preserve"> En esas condiciones, el actor debe decidir al presentar su demanda si las actas e indicios con que cuenta bastan para derrotar la validez de la elección. Esa decisión solo puede ser racional si el umbral es conocido y está formulado con precisión. Si el estándar permanece indeterminado, la estrategia probatoria se construye sin saber cuál es la meta. La brevedad de los plazos agrava, por tanto, el daño que produce la indeterminación del umbral.</w:t>
      </w:r>
    </w:p>
    <w:p>
      <w:pPr>
        <w:spacing w:before="0" w:after="0" w:line="360" w:lineRule="auto"/>
        <w:ind w:firstLine="709"/>
        <w:jc w:val="both"/>
      </w:pPr>
      <w:r>
        <w:rPr>
          <w:rFonts w:ascii="Arial" w:eastAsia="Arial" w:hAnsi="Arial" w:cs="Arial"/>
          <w:color w:val="000000"/>
          <w:sz w:val="24"/>
          <w:szCs w:val="24"/>
        </w:rPr>
        <w:t xml:space="preserve">La tercera función del estándar es la distributiva. Todo proceso judicial se decide en condiciones de incertidumbre y, por tanto, con riesgo de error. Ferrer Beltrán sostiene que determinar cuánto riesgo de error es asumible que soporte cada parte es una cuestión política y no epistemológica.</w:t>
      </w:r>
      <w:r>
        <w:rPr>
          <w:rFonts w:ascii="Arial" w:eastAsia="Arial" w:hAnsi="Arial" w:cs="Arial"/>
          <w:color w:val="000000"/>
          <w:sz w:val="24"/>
          <w:szCs w:val="24"/>
          <w:vertAlign w:val="superscript"/>
        </w:rPr>
        <w:footnoteReference w:id="573"/>
      </w:r>
      <w:r>
        <w:rPr>
          <w:rFonts w:ascii="Arial" w:eastAsia="Arial" w:hAnsi="Arial" w:cs="Arial"/>
          <w:color w:val="000000"/>
          <w:sz w:val="24"/>
          <w:szCs w:val="24"/>
        </w:rPr>
        <w:t xml:space="preserve"> El estándar expresa esa decisión al fijar el grado de corroboración exigido para tener una hipótesis por probada. La concreta distribución del riesgo depende del umbral establecido. Por ello la función distributiva no puede cumplirse mediante una declaración genérica de preferencia por uno de los errores. Esa función se cumple solo cuando existe un nivel identificable de corroboración con el que se contrasta el acervo de cada caso. Si ese nivel no existe, la decisión sobre la distribución no desaparece, sino que se traslada al juzgador del caso concreto.</w:t>
      </w:r>
    </w:p>
    <w:p>
      <w:pPr>
        <w:spacing w:before="0" w:after="0" w:line="360" w:lineRule="auto"/>
        <w:ind w:firstLine="709"/>
        <w:jc w:val="both"/>
      </w:pPr>
      <w:r>
        <w:rPr>
          <w:rFonts w:ascii="Arial" w:eastAsia="Arial" w:hAnsi="Arial" w:cs="Arial"/>
          <w:color w:val="000000"/>
          <w:sz w:val="24"/>
          <w:szCs w:val="24"/>
        </w:rPr>
        <w:t xml:space="preserve">Laudan formula la misma idea desde la perspectiva opuesta. El autor sostiene que el único mecanismo de distribución de errores que un juicio requiere es un estándar no subjetivo situado a la altura correcta.</w:t>
      </w:r>
      <w:r>
        <w:rPr>
          <w:rFonts w:ascii="Arial" w:eastAsia="Arial" w:hAnsi="Arial" w:cs="Arial"/>
          <w:color w:val="000000"/>
          <w:sz w:val="24"/>
          <w:szCs w:val="24"/>
          <w:vertAlign w:val="superscript"/>
        </w:rPr>
        <w:footnoteReference w:id="574"/>
      </w:r>
      <w:r>
        <w:rPr>
          <w:rFonts w:ascii="Arial" w:eastAsia="Arial" w:hAnsi="Arial" w:cs="Arial"/>
          <w:color w:val="000000"/>
          <w:sz w:val="24"/>
          <w:szCs w:val="24"/>
        </w:rPr>
        <w:t xml:space="preserve"> Ferrer Beltrán examina las propuestas que defienden fórmulas extremadamente vagas para que cada juzgador decida en el caso concreto la distribución del riesgo que estime adecuada.</w:t>
      </w:r>
      <w:r>
        <w:rPr>
          <w:rFonts w:ascii="Arial" w:eastAsia="Arial" w:hAnsi="Arial" w:cs="Arial"/>
          <w:color w:val="000000"/>
          <w:sz w:val="24"/>
          <w:szCs w:val="24"/>
          <w:vertAlign w:val="superscript"/>
        </w:rPr>
        <w:footnoteReference w:id="575"/>
      </w:r>
      <w:r>
        <w:rPr>
          <w:rFonts w:ascii="Arial" w:eastAsia="Arial" w:hAnsi="Arial" w:cs="Arial"/>
          <w:color w:val="000000"/>
          <w:sz w:val="24"/>
          <w:szCs w:val="24"/>
        </w:rPr>
        <w:t xml:space="preserve"> Su respuesta es que una formulación tan imprecisa que no cumple mínimamente la función de establecer un umbral no merece el nombre de estándar de prueba. Defender esas fórmulas flexibles equivale, en su opinión, a prescindir de los estándares. El autor atribuye esa posición, entre otros, a Lillquist, para quien la vaguedad permite adaptar el estándar a las circunstancias del caso.</w:t>
      </w:r>
      <w:r>
        <w:rPr>
          <w:rFonts w:ascii="Arial" w:eastAsia="Arial" w:hAnsi="Arial" w:cs="Arial"/>
          <w:color w:val="000000"/>
          <w:sz w:val="24"/>
          <w:szCs w:val="24"/>
          <w:vertAlign w:val="superscript"/>
        </w:rPr>
        <w:footnoteReference w:id="576"/>
      </w:r>
      <w:r>
        <w:rPr>
          <w:rFonts w:ascii="Arial" w:eastAsia="Arial" w:hAnsi="Arial" w:cs="Arial"/>
          <w:color w:val="000000"/>
          <w:sz w:val="24"/>
          <w:szCs w:val="24"/>
        </w:rPr>
        <w:t xml:space="preserve"> Ferrer Beltrán añade que, si la distribución se decide caso por caso, ese particularismo no es epistémico sino político-moral. Ese particularismo entrega la decisión a la arbitrariedad judicial o a una supuesta respuesta moral objetiva en cada caso.</w:t>
      </w:r>
      <w:r>
        <w:rPr>
          <w:rFonts w:ascii="Arial" w:eastAsia="Arial" w:hAnsi="Arial" w:cs="Arial"/>
          <w:color w:val="000000"/>
          <w:sz w:val="24"/>
          <w:szCs w:val="24"/>
          <w:vertAlign w:val="superscript"/>
        </w:rPr>
        <w:footnoteReference w:id="577"/>
      </w:r>
    </w:p>
    <w:p>
      <w:pPr>
        <w:spacing w:before="0" w:after="0" w:line="360" w:lineRule="auto"/>
        <w:ind w:firstLine="709"/>
        <w:jc w:val="both"/>
      </w:pPr>
      <w:r>
        <w:rPr>
          <w:rFonts w:ascii="Arial" w:eastAsia="Arial" w:hAnsi="Arial" w:cs="Arial"/>
          <w:color w:val="000000"/>
          <w:sz w:val="24"/>
          <w:szCs w:val="24"/>
        </w:rPr>
        <w:t xml:space="preserve">De las tesis de Ferrer Beltrán se sigue que un estándar sin umbral identificable no distribuye el riesgo conforme a una regla general. Ese estándar deja al juzgador la decisión de a quién hacer soportar el error. La afirmación no aparece con esas palabras en la obra de Ferrer Beltrán, pero se desprende de las tesis citadas. En la materia electoral, la preferencia por la validez de las elecciones solo tendrá contenido controlable si se expresa en un umbral preciso. Una parte importante de la doctrina anglosajona ha centrado el análisis de los estándares en su función distributiva. Laudan sostiene que el estándar de prueba se concibe mejor como un mecanismo para distribuir errores.</w:t>
      </w:r>
      <w:r>
        <w:rPr>
          <w:rFonts w:ascii="Arial" w:eastAsia="Arial" w:hAnsi="Arial" w:cs="Arial"/>
          <w:color w:val="000000"/>
          <w:sz w:val="24"/>
          <w:szCs w:val="24"/>
          <w:vertAlign w:val="superscript"/>
        </w:rPr>
        <w:footnoteReference w:id="578"/>
      </w:r>
      <w:r>
        <w:rPr>
          <w:rFonts w:ascii="Arial" w:eastAsia="Arial" w:hAnsi="Arial" w:cs="Arial"/>
          <w:color w:val="000000"/>
          <w:sz w:val="24"/>
          <w:szCs w:val="24"/>
        </w:rPr>
        <w:t xml:space="preserve"> En consecuencia, el autor propone que la altura del estándar se derive de la razón entre los costes sociales de las condenas falsas y de las absoluciones falsas. Esa propuesta se integra en una doctrina más amplia sobre la distribución del error.</w:t>
      </w:r>
    </w:p>
    <w:p>
      <w:pPr>
        <w:spacing w:before="0" w:after="0" w:line="360" w:lineRule="auto"/>
        <w:ind w:firstLine="709"/>
        <w:jc w:val="both"/>
      </w:pPr>
      <w:r>
        <w:rPr>
          <w:rFonts w:ascii="Arial" w:eastAsia="Arial" w:hAnsi="Arial" w:cs="Arial"/>
          <w:color w:val="000000"/>
          <w:sz w:val="24"/>
          <w:szCs w:val="24"/>
        </w:rPr>
        <w:t xml:space="preserve">Laudan denomina doctrina de distribución del error al conjunto formado por el estándar de prueba, la presunción de inocencia, el beneficio de la duda y la carga de la prueba de la acusación.</w:t>
      </w:r>
      <w:r>
        <w:rPr>
          <w:rFonts w:ascii="Arial" w:eastAsia="Arial" w:hAnsi="Arial" w:cs="Arial"/>
          <w:color w:val="000000"/>
          <w:sz w:val="24"/>
          <w:szCs w:val="24"/>
          <w:vertAlign w:val="superscript"/>
        </w:rPr>
        <w:footnoteReference w:id="579"/>
      </w:r>
      <w:r>
        <w:rPr>
          <w:rFonts w:ascii="Arial" w:eastAsia="Arial" w:hAnsi="Arial" w:cs="Arial"/>
          <w:color w:val="000000"/>
          <w:sz w:val="24"/>
          <w:szCs w:val="24"/>
        </w:rPr>
        <w:t xml:space="preserve"> El autor sostiene que ninguno de esos principios está diseñado para reducir la probabilidad de error. Esos principios buscan que los errores que se produzcan sean predominantemente absoluciones falsas. En su artículo de 2005, Laudan distingue el núcleo duro de la epistemología jurídica, dedicado a reducir errores, del núcleo débil, dedicado a distribuirlos conforme a una decisión política.</w:t>
      </w:r>
      <w:r>
        <w:rPr>
          <w:rFonts w:ascii="Arial" w:eastAsia="Arial" w:hAnsi="Arial" w:cs="Arial"/>
          <w:color w:val="000000"/>
          <w:sz w:val="24"/>
          <w:szCs w:val="24"/>
          <w:vertAlign w:val="superscript"/>
        </w:rPr>
        <w:footnoteReference w:id="580"/>
      </w:r>
      <w:r>
        <w:rPr>
          <w:rFonts w:ascii="Arial" w:eastAsia="Arial" w:hAnsi="Arial" w:cs="Arial"/>
          <w:color w:val="000000"/>
          <w:sz w:val="24"/>
          <w:szCs w:val="24"/>
        </w:rPr>
        <w:t xml:space="preserve"> El autor añade que el epistemólogo no puede decir al sistema jurídico cómo distribuir los errores, pero sí ayudarle a satisfacer la distribución elegida mediante la altura del estándar. La aportación de Laudan es valiosa, porque hace explícitos los costes del error y su vínculo con el umbral. Ferrer Beltrán reconoce la importancia de esa función. Su crítica se dirige, sin embargo, contra el énfasis exclusivo en ella.</w:t>
      </w:r>
    </w:p>
    <w:p>
      <w:pPr>
        <w:spacing w:before="0" w:after="0" w:line="360" w:lineRule="auto"/>
        <w:ind w:firstLine="709"/>
        <w:jc w:val="both"/>
      </w:pPr>
      <w:r>
        <w:rPr>
          <w:rFonts w:ascii="Arial" w:eastAsia="Arial" w:hAnsi="Arial" w:cs="Arial"/>
          <w:color w:val="000000"/>
          <w:sz w:val="24"/>
          <w:szCs w:val="24"/>
        </w:rPr>
        <w:t xml:space="preserve">Ferrer Beltrán advierte que la doctrina mayoritaria, especialmente la anglosajona, ha puesto el acento únicamente en la función distributiva.</w:t>
      </w:r>
      <w:r>
        <w:rPr>
          <w:rFonts w:ascii="Arial" w:eastAsia="Arial" w:hAnsi="Arial" w:cs="Arial"/>
          <w:color w:val="000000"/>
          <w:sz w:val="24"/>
          <w:szCs w:val="24"/>
          <w:vertAlign w:val="superscript"/>
        </w:rPr>
        <w:footnoteReference w:id="581"/>
      </w:r>
      <w:r>
        <w:rPr>
          <w:rFonts w:ascii="Arial" w:eastAsia="Arial" w:hAnsi="Arial" w:cs="Arial"/>
          <w:color w:val="000000"/>
          <w:sz w:val="24"/>
          <w:szCs w:val="24"/>
        </w:rPr>
        <w:t xml:space="preserve"> El autor considera que esa es una de las equivocaciones que su obra pretende destacar. Ese énfasis oscurece la justificación y la garantía. Ese énfasis olvida que disponer de estándares correctamente formulados forma parte del debido proceso. La crítica no niega que el estándar reparta el riesgo del error, sino que esa sea su única o principal razón de ser. Un estándar diseñado solo para cierta proporción global de errores podría aceptar fórmulas que no permiten controlar cada caso. Ferrer Beltrán observa que tanto en el </w:t>
      </w:r>
      <w:r>
        <w:rPr>
          <w:rFonts w:ascii="Arial" w:eastAsia="Arial" w:hAnsi="Arial" w:cs="Arial"/>
          <w:i/>
          <w:iCs/>
          <w:color w:val="000000"/>
          <w:sz w:val="24"/>
          <w:szCs w:val="24"/>
        </w:rPr>
        <w:t xml:space="preserve">common law</w:t>
      </w:r>
      <w:r>
        <w:rPr>
          <w:rFonts w:ascii="Arial" w:eastAsia="Arial" w:hAnsi="Arial" w:cs="Arial"/>
          <w:color w:val="000000"/>
          <w:sz w:val="24"/>
          <w:szCs w:val="24"/>
        </w:rPr>
        <w:t xml:space="preserve"> como en el </w:t>
      </w:r>
      <w:r>
        <w:rPr>
          <w:rFonts w:ascii="Arial" w:eastAsia="Arial" w:hAnsi="Arial" w:cs="Arial"/>
          <w:i/>
          <w:iCs/>
          <w:color w:val="000000"/>
          <w:sz w:val="24"/>
          <w:szCs w:val="24"/>
        </w:rPr>
        <w:t xml:space="preserve">civil law</w:t>
      </w:r>
      <w:r>
        <w:rPr>
          <w:rFonts w:ascii="Arial" w:eastAsia="Arial" w:hAnsi="Arial" w:cs="Arial"/>
          <w:color w:val="000000"/>
          <w:sz w:val="24"/>
          <w:szCs w:val="24"/>
        </w:rPr>
        <w:t xml:space="preserve"> predomina una concepción persuasiva de la prueba, de modo que el problema no es exclusivo de una tradición.</w:t>
      </w:r>
      <w:r>
        <w:rPr>
          <w:rFonts w:ascii="Arial" w:eastAsia="Arial" w:hAnsi="Arial" w:cs="Arial"/>
          <w:color w:val="000000"/>
          <w:sz w:val="24"/>
          <w:szCs w:val="24"/>
          <w:vertAlign w:val="superscript"/>
        </w:rPr>
        <w:footnoteReference w:id="582"/>
      </w:r>
      <w:r>
        <w:rPr>
          <w:rFonts w:ascii="Arial" w:eastAsia="Arial" w:hAnsi="Arial" w:cs="Arial"/>
          <w:color w:val="000000"/>
          <w:sz w:val="24"/>
          <w:szCs w:val="24"/>
        </w:rPr>
        <w:t xml:space="preserve"> Por tanto, el contraste entre ambos autores es una diferencia sobre la jerarquía de las funciones del estándar y no una oposición total.</w:t>
      </w:r>
    </w:p>
    <w:p>
      <w:pPr>
        <w:spacing w:before="0" w:after="0" w:line="360" w:lineRule="auto"/>
        <w:ind w:firstLine="709"/>
        <w:jc w:val="both"/>
      </w:pPr>
      <w:r>
        <w:rPr>
          <w:rFonts w:ascii="Arial" w:eastAsia="Arial" w:hAnsi="Arial" w:cs="Arial"/>
          <w:color w:val="000000"/>
          <w:sz w:val="24"/>
          <w:szCs w:val="24"/>
        </w:rPr>
        <w:t xml:space="preserve">Esta investigación adopta las tres funciones como un conjunto articulado. La razón es que la función distributiva depende de las otras dos para operar en cada caso. Un umbral que expresa una preferencia política adecuada, pero que no permite justificar la decisión, no permite verificar si esa preferencia se aplicó al caso concreto. Un umbral que no se conoce de antemano distribuye el riesgo sin que las partes puedan ajustar su estrategia a él. Ferrer Beltrán muestra que las cargas de la prueba y las presunciones, que distribuyen igualmente el riesgo, presuponen un umbral de suficiencia determinado.</w:t>
      </w:r>
      <w:r>
        <w:rPr>
          <w:rFonts w:ascii="Arial" w:eastAsia="Arial" w:hAnsi="Arial" w:cs="Arial"/>
          <w:color w:val="000000"/>
          <w:sz w:val="24"/>
          <w:szCs w:val="24"/>
          <w:vertAlign w:val="superscript"/>
        </w:rPr>
        <w:footnoteReference w:id="583"/>
      </w:r>
      <w:r>
        <w:rPr>
          <w:rFonts w:ascii="Arial" w:eastAsia="Arial" w:hAnsi="Arial" w:cs="Arial"/>
          <w:color w:val="000000"/>
          <w:sz w:val="24"/>
          <w:szCs w:val="24"/>
        </w:rPr>
        <w:t xml:space="preserve"> Esa dependencia confirma que la distribución no tiene vida autónoma respecto de la justificación y la garantía. Los requisitos metodológicos de todo estándar, en particular que no remita a estados mentales y que fije un umbral de suficiencia, son la condición común de las tres funciones.</w:t>
      </w:r>
      <w:r>
        <w:rPr>
          <w:rFonts w:ascii="Arial" w:eastAsia="Arial" w:hAnsi="Arial" w:cs="Arial"/>
          <w:color w:val="000000"/>
          <w:sz w:val="24"/>
          <w:szCs w:val="24"/>
          <w:vertAlign w:val="superscript"/>
        </w:rPr>
        <w:footnoteReference w:id="584"/>
      </w:r>
      <w:r>
        <w:rPr>
          <w:rFonts w:ascii="Arial" w:eastAsia="Arial" w:hAnsi="Arial" w:cs="Arial"/>
          <w:color w:val="000000"/>
          <w:sz w:val="24"/>
          <w:szCs w:val="24"/>
        </w:rPr>
        <w:t xml:space="preserve"> En consecuencia, la distribución deseada debe expresarse en un estándar que al mismo tiempo justifique y garantice.</w:t>
      </w:r>
    </w:p>
    <w:p>
      <w:pPr>
        <w:spacing w:before="0" w:after="0" w:line="360" w:lineRule="auto"/>
        <w:ind w:firstLine="709"/>
        <w:jc w:val="both"/>
      </w:pPr>
      <w:r>
        <w:rPr>
          <w:rFonts w:ascii="Arial" w:eastAsia="Arial" w:hAnsi="Arial" w:cs="Arial"/>
          <w:color w:val="000000"/>
          <w:sz w:val="24"/>
          <w:szCs w:val="24"/>
        </w:rPr>
        <w:t xml:space="preserve">El estándar distribuye dos errores materiales. Ambos errores derivan de la falibilidad del razonamiento probatorio. Ferrer Beltrán define el falso positivo como la declaración de probada de una hipótesis falsa y el falso negativo como la declaración de no probada de una hipótesis verdadera.</w:t>
      </w:r>
      <w:r>
        <w:rPr>
          <w:rFonts w:ascii="Arial" w:eastAsia="Arial" w:hAnsi="Arial" w:cs="Arial"/>
          <w:color w:val="000000"/>
          <w:sz w:val="24"/>
          <w:szCs w:val="24"/>
          <w:vertAlign w:val="superscript"/>
        </w:rPr>
        <w:footnoteReference w:id="585"/>
      </w:r>
      <w:r>
        <w:rPr>
          <w:rFonts w:ascii="Arial" w:eastAsia="Arial" w:hAnsi="Arial" w:cs="Arial"/>
          <w:color w:val="000000"/>
          <w:sz w:val="24"/>
          <w:szCs w:val="24"/>
        </w:rPr>
        <w:t xml:space="preserve"> El autor distingue esos errores materiales de los errores inferenciales, que se producen cuando la decisión no está justificada por las pruebas disponibles. Laudan emplea para el proceso penal las expresiones hallazgo inculpatorio falso y hallazgo exculpatorio falso.</w:t>
      </w:r>
      <w:r>
        <w:rPr>
          <w:rFonts w:ascii="Arial" w:eastAsia="Arial" w:hAnsi="Arial" w:cs="Arial"/>
          <w:color w:val="000000"/>
          <w:sz w:val="24"/>
          <w:szCs w:val="24"/>
          <w:vertAlign w:val="superscript"/>
        </w:rPr>
        <w:footnoteReference w:id="586"/>
      </w:r>
      <w:r>
        <w:rPr>
          <w:rFonts w:ascii="Arial" w:eastAsia="Arial" w:hAnsi="Arial" w:cs="Arial"/>
          <w:color w:val="000000"/>
          <w:sz w:val="24"/>
          <w:szCs w:val="24"/>
        </w:rPr>
        <w:t xml:space="preserve"> El autor precisa que el error material no consiste en infringir una regla procesal, sino en que la decisión no corresponda a lo realmente ocurrido. Por tanto, un proceso tramitado con total apego a las reglas puede terminar en una decisión materialmente errónea. Una decisión correcta desde el punto de vista inferencial puede ser materialmente errónea, porque el acervo disponible puede apoyar una hipótesis falsa.</w:t>
      </w:r>
    </w:p>
    <w:p>
      <w:pPr>
        <w:spacing w:before="0" w:after="0" w:line="360" w:lineRule="auto"/>
        <w:ind w:firstLine="709"/>
        <w:jc w:val="both"/>
      </w:pPr>
      <w:r>
        <w:rPr>
          <w:rFonts w:ascii="Arial" w:eastAsia="Arial" w:hAnsi="Arial" w:cs="Arial"/>
          <w:color w:val="000000"/>
          <w:sz w:val="24"/>
          <w:szCs w:val="24"/>
        </w:rPr>
        <w:t xml:space="preserve">Los dos errores materiales son simétricos en su estructura, pero no en sus consecuencias. Esas consecuencias dependen de la decisión jurídica asociada a cada hipótesis. Un ejemplo neutro permite fijar los conceptos. En un juicio de responsabilidad civil, el actor afirma que un médico dejó material quirúrgico en su abdomen durante una intervención. Si el juez tiene por probado el olvido cuando en realidad el médico retiró todo el material, comete un falso positivo, y el demandado soporta una condena por un hecho que no ocurrió. Si el juez tiene por no probado el olvido cuando en realidad ocurrió, comete un falso negativo, y el actor queda sin reparación por un daño real. En ambos supuestos el error puede producirse sin que el juez haya razonado mal, porque el acervo pudo apoyar la hipótesis equivocada. En consecuencia, cada error recae sobre una parte distinta, y el diseño del estándar determina cuál de los dos resulta más probable.</w:t>
      </w:r>
    </w:p>
    <w:p>
      <w:pPr>
        <w:spacing w:before="0" w:after="0" w:line="360" w:lineRule="auto"/>
        <w:ind w:firstLine="709"/>
        <w:jc w:val="both"/>
      </w:pPr>
      <w:r>
        <w:rPr>
          <w:rFonts w:ascii="Arial" w:eastAsia="Arial" w:hAnsi="Arial" w:cs="Arial"/>
          <w:color w:val="000000"/>
          <w:sz w:val="24"/>
          <w:szCs w:val="24"/>
        </w:rPr>
        <w:t xml:space="preserve">Fijar un umbral de prueba equivale a expresar una preferencia sobre qué error resulta menos tolerable. Un umbral exigente reduce el riesgo de declarar probadas hipótesis falsas, a costa de aumentar el riesgo de dejar sin tutela hipótesis verdaderas. Un umbral menos exigente produce el efecto inverso. Laudan ilustra esa preferencia con la razón atribuida a Blackstone, según la cual es preferible que diez culpables escapen a que sufra un inocente, y la traduce en una proporción socialmente aceptable entre ambos errores.</w:t>
      </w:r>
      <w:r>
        <w:rPr>
          <w:rFonts w:ascii="Arial" w:eastAsia="Arial" w:hAnsi="Arial" w:cs="Arial"/>
          <w:color w:val="000000"/>
          <w:sz w:val="24"/>
          <w:szCs w:val="24"/>
          <w:vertAlign w:val="superscript"/>
        </w:rPr>
        <w:footnoteReference w:id="587"/>
      </w:r>
      <w:r>
        <w:rPr>
          <w:rFonts w:ascii="Arial" w:eastAsia="Arial" w:hAnsi="Arial" w:cs="Arial"/>
          <w:color w:val="000000"/>
          <w:sz w:val="24"/>
          <w:szCs w:val="24"/>
        </w:rPr>
        <w:t xml:space="preserve"> Ninguna elección del umbral es neutral respecto de esa proporción. Ferrer Beltrán advierte que ni siquiera la preponderancia de la prueba distribuye el riesgo de modo perfectamente simétrico, porque la carga de la prueba hace que pierda quien la soporta cuando ninguna hipótesis alcanza el umbral.</w:t>
      </w:r>
      <w:r>
        <w:rPr>
          <w:rFonts w:ascii="Arial" w:eastAsia="Arial" w:hAnsi="Arial" w:cs="Arial"/>
          <w:color w:val="000000"/>
          <w:sz w:val="24"/>
          <w:szCs w:val="24"/>
          <w:vertAlign w:val="superscript"/>
        </w:rPr>
        <w:footnoteReference w:id="588"/>
      </w:r>
      <w:r>
        <w:rPr>
          <w:rFonts w:ascii="Arial" w:eastAsia="Arial" w:hAnsi="Arial" w:cs="Arial"/>
          <w:color w:val="000000"/>
          <w:sz w:val="24"/>
          <w:szCs w:val="24"/>
        </w:rPr>
        <w:t xml:space="preserve"> Por tanto, la neutralidad no puede lograrse ni con umbrales altos ni con umbrales bajos. Lo único que puede exigirse es que la preferencia sea explícita, general y justificada.</w:t>
      </w:r>
    </w:p>
    <w:p>
      <w:pPr>
        <w:spacing w:before="0" w:after="0" w:line="360" w:lineRule="auto"/>
        <w:ind w:firstLine="709"/>
        <w:jc w:val="both"/>
      </w:pPr>
      <w:r>
        <w:rPr>
          <w:rFonts w:ascii="Arial" w:eastAsia="Arial" w:hAnsi="Arial" w:cs="Arial"/>
          <w:color w:val="000000"/>
          <w:sz w:val="24"/>
          <w:szCs w:val="24"/>
        </w:rPr>
        <w:t xml:space="preserve">La preferencia expresada en el umbral es política y no epistémica. Ferrer Beltrán sostiene que la epistemología puede ayudar a delinear un estándar que refleje el nivel de suficiencia decidido, pero no dice nada sobre cuál es el nivel adecuado.</w:t>
      </w:r>
      <w:r>
        <w:rPr>
          <w:rFonts w:ascii="Arial" w:eastAsia="Arial" w:hAnsi="Arial" w:cs="Arial"/>
          <w:color w:val="000000"/>
          <w:sz w:val="24"/>
          <w:szCs w:val="24"/>
          <w:vertAlign w:val="superscript"/>
        </w:rPr>
        <w:footnoteReference w:id="589"/>
      </w:r>
      <w:r>
        <w:rPr>
          <w:rFonts w:ascii="Arial" w:eastAsia="Arial" w:hAnsi="Arial" w:cs="Arial"/>
          <w:color w:val="000000"/>
          <w:sz w:val="24"/>
          <w:szCs w:val="24"/>
        </w:rPr>
        <w:t xml:space="preserve"> Laudan coincide en que el epistemólogo no puede decir al sistema jurídico cómo distribuir los errores.</w:t>
      </w:r>
      <w:r>
        <w:rPr>
          <w:rFonts w:ascii="Arial" w:eastAsia="Arial" w:hAnsi="Arial" w:cs="Arial"/>
          <w:color w:val="000000"/>
          <w:sz w:val="24"/>
          <w:szCs w:val="24"/>
          <w:vertAlign w:val="superscript"/>
        </w:rPr>
        <w:footnoteReference w:id="590"/>
      </w:r>
      <w:r>
        <w:rPr>
          <w:rFonts w:ascii="Arial" w:eastAsia="Arial" w:hAnsi="Arial" w:cs="Arial"/>
          <w:color w:val="000000"/>
          <w:sz w:val="24"/>
          <w:szCs w:val="24"/>
        </w:rPr>
        <w:t xml:space="preserve"> Según Ferrer Beltrán, la farmacología exige más que la historia por el coste del error y no por razones epistemológicas.</w:t>
      </w:r>
      <w:r>
        <w:rPr>
          <w:rFonts w:ascii="Arial" w:eastAsia="Arial" w:hAnsi="Arial" w:cs="Arial"/>
          <w:color w:val="000000"/>
          <w:sz w:val="24"/>
          <w:szCs w:val="24"/>
          <w:vertAlign w:val="superscript"/>
        </w:rPr>
        <w:footnoteReference w:id="591"/>
      </w:r>
      <w:r>
        <w:rPr>
          <w:rFonts w:ascii="Arial" w:eastAsia="Arial" w:hAnsi="Arial" w:cs="Arial"/>
          <w:color w:val="000000"/>
          <w:sz w:val="24"/>
          <w:szCs w:val="24"/>
        </w:rPr>
        <w:t xml:space="preserve"> El autor añade que la única diferencia en el derecho es que existen mecanismos institucionales para adoptar esas decisiones. La distinción entre valoración epistémica y umbral político tiene una consecuencia metodológica. Si la altura del umbral depende de los bienes en juego, es razonable que distintos tipos de decisión requieran umbrales distintos. Esa relatividad del estándar exige un examen propio, pero antes debe precisarse la relación entre los dos riesgos.</w:t>
      </w:r>
    </w:p>
    <w:p>
      <w:pPr>
        <w:spacing w:before="0" w:after="0" w:line="360" w:lineRule="auto"/>
        <w:ind w:firstLine="709"/>
        <w:jc w:val="both"/>
      </w:pPr>
      <w:r>
        <w:rPr>
          <w:rFonts w:ascii="Arial" w:eastAsia="Arial" w:hAnsi="Arial" w:cs="Arial"/>
          <w:color w:val="000000"/>
          <w:sz w:val="24"/>
          <w:szCs w:val="24"/>
        </w:rPr>
        <w:t xml:space="preserve">Los dos riesgos guardan una relación inversa. Ferrer Beltrán muestra que elevar el umbral disminuye el número de condenas falsas, pero aumenta el de absoluciones falsas, y que el número total de errores puede incluso crecer.</w:t>
      </w:r>
      <w:r>
        <w:rPr>
          <w:rFonts w:ascii="Arial" w:eastAsia="Arial" w:hAnsi="Arial" w:cs="Arial"/>
          <w:color w:val="000000"/>
          <w:sz w:val="24"/>
          <w:szCs w:val="24"/>
          <w:vertAlign w:val="superscript"/>
        </w:rPr>
        <w:footnoteReference w:id="592"/>
      </w:r>
      <w:r>
        <w:rPr>
          <w:rFonts w:ascii="Arial" w:eastAsia="Arial" w:hAnsi="Arial" w:cs="Arial"/>
          <w:color w:val="000000"/>
          <w:sz w:val="24"/>
          <w:szCs w:val="24"/>
        </w:rPr>
        <w:t xml:space="preserve"> Por ello aumentar la exigencia del estándar no es un mecanismo adecuado para reducir el número total de errores. El autor sostiene que el diseño procesal debe distinguir dos estrategias con instrumentos distintos.</w:t>
      </w:r>
      <w:r>
        <w:rPr>
          <w:rFonts w:ascii="Arial" w:eastAsia="Arial" w:hAnsi="Arial" w:cs="Arial"/>
          <w:color w:val="000000"/>
          <w:sz w:val="24"/>
          <w:szCs w:val="24"/>
          <w:vertAlign w:val="superscript"/>
        </w:rPr>
        <w:footnoteReference w:id="593"/>
      </w:r>
      <w:r>
        <w:rPr>
          <w:rFonts w:ascii="Arial" w:eastAsia="Arial" w:hAnsi="Arial" w:cs="Arial"/>
          <w:color w:val="000000"/>
          <w:sz w:val="24"/>
          <w:szCs w:val="24"/>
        </w:rPr>
        <w:t xml:space="preserve"> La primera estrategia es la reducción de los errores, que exige incorporar al proceso el mayor número posible de pruebas relevantes y fiables. La segunda estrategia es la distribución del riesgo, que obedece a preferencias morales o políticas. La segunda estrategia es subsidiaria, porque el riesgo se distribuye solo en la medida en que no puede eliminarse. En consecuencia, el diseño de un estándar debe acompañarse de medidas que enriquezcan el acervo probatorio.</w:t>
      </w:r>
    </w:p>
    <w:p>
      <w:pPr>
        <w:spacing w:before="0" w:after="0" w:line="360" w:lineRule="auto"/>
        <w:ind w:firstLine="709"/>
        <w:jc w:val="both"/>
      </w:pPr>
      <w:r>
        <w:rPr>
          <w:rFonts w:ascii="Arial" w:eastAsia="Arial" w:hAnsi="Arial" w:cs="Arial"/>
          <w:color w:val="000000"/>
          <w:sz w:val="24"/>
          <w:szCs w:val="24"/>
        </w:rPr>
        <w:t xml:space="preserve">Ferrer Beltrán concluye que la única política que permite reducir simultáneamente las condenas falsas y las absoluciones falsas es aumentar el peso de los acervos probatorios. Esa política incluye mejorar la formación de los operadores en razonamiento probatorio.</w:t>
      </w:r>
      <w:r>
        <w:rPr>
          <w:rFonts w:ascii="Arial" w:eastAsia="Arial" w:hAnsi="Arial" w:cs="Arial"/>
          <w:color w:val="000000"/>
          <w:sz w:val="24"/>
          <w:szCs w:val="24"/>
          <w:vertAlign w:val="superscript"/>
        </w:rPr>
        <w:footnoteReference w:id="594"/>
      </w:r>
      <w:r>
        <w:rPr>
          <w:rFonts w:ascii="Arial" w:eastAsia="Arial" w:hAnsi="Arial" w:cs="Arial"/>
          <w:color w:val="000000"/>
          <w:sz w:val="24"/>
          <w:szCs w:val="24"/>
        </w:rPr>
        <w:t xml:space="preserve"> El peso probatorio es la riqueza del conjunto de elementos de juicio. Ese peso separa las hipótesis verdaderas de las falsas y reduce la zona en que ambas se confunden.</w:t>
      </w:r>
      <w:r>
        <w:rPr>
          <w:rFonts w:ascii="Arial" w:eastAsia="Arial" w:hAnsi="Arial" w:cs="Arial"/>
          <w:color w:val="000000"/>
          <w:sz w:val="24"/>
          <w:szCs w:val="24"/>
          <w:vertAlign w:val="superscript"/>
        </w:rPr>
        <w:footnoteReference w:id="595"/>
      </w:r>
      <w:r>
        <w:rPr>
          <w:rFonts w:ascii="Arial" w:eastAsia="Arial" w:hAnsi="Arial" w:cs="Arial"/>
          <w:color w:val="000000"/>
          <w:sz w:val="24"/>
          <w:szCs w:val="24"/>
        </w:rPr>
        <w:t xml:space="preserve"> Esta conclusión tiene una proyección directa en la materia electoral. Las irregularidades que fundan la nulidad de una elección rara vez se acreditan con pruebas directas. La Sala Superior reconoció en el SUP-JIN-194/2025 que resultaba poco probable que la parte actora pudiera obtener pruebas directas de cada hecho alegado, y admitió la posibilidad de probar conductas antijurídicas mediante indicios e inferencias.</w:t>
      </w:r>
      <w:r>
        <w:rPr>
          <w:rFonts w:ascii="Arial" w:eastAsia="Arial" w:hAnsi="Arial" w:cs="Arial"/>
          <w:color w:val="000000"/>
          <w:sz w:val="24"/>
          <w:szCs w:val="24"/>
          <w:vertAlign w:val="superscript"/>
        </w:rPr>
        <w:footnoteReference w:id="596"/>
      </w:r>
      <w:r>
        <w:rPr>
          <w:rFonts w:ascii="Arial" w:eastAsia="Arial" w:hAnsi="Arial" w:cs="Arial"/>
          <w:color w:val="000000"/>
          <w:sz w:val="24"/>
          <w:szCs w:val="24"/>
        </w:rPr>
        <w:t xml:space="preserve"> A esa dificultad se suman los plazos breves y la limitación de las periciales.</w:t>
      </w:r>
    </w:p>
    <w:p>
      <w:pPr>
        <w:spacing w:before="0" w:after="0" w:line="360" w:lineRule="auto"/>
        <w:ind w:firstLine="709"/>
        <w:jc w:val="both"/>
      </w:pPr>
      <w:r>
        <w:rPr>
          <w:rFonts w:ascii="Arial" w:eastAsia="Arial" w:hAnsi="Arial" w:cs="Arial"/>
          <w:color w:val="000000"/>
          <w:sz w:val="24"/>
          <w:szCs w:val="24"/>
        </w:rPr>
        <w:t xml:space="preserve">El acervo electoral tiende a tener un peso probatorio reducido. En esas condiciones, la zona en que las hipótesis verdaderas y falsas se confunden es amplia. Por ello la elección del umbral tiene consecuencias mayores sobre la frecuencia de cada uno de los dos errores materiales. La primera respuesta debe buscarse en los instrumentos de reducción, como las facultades del órgano para requerir documentación y ordenar diligencias.</w:t>
      </w:r>
      <w:r>
        <w:rPr>
          <w:rFonts w:ascii="Arial" w:eastAsia="Arial" w:hAnsi="Arial" w:cs="Arial"/>
          <w:color w:val="000000"/>
          <w:sz w:val="24"/>
          <w:szCs w:val="24"/>
          <w:vertAlign w:val="superscript"/>
        </w:rPr>
        <w:footnoteReference w:id="597"/>
      </w:r>
      <w:r>
        <w:rPr>
          <w:rFonts w:ascii="Arial" w:eastAsia="Arial" w:hAnsi="Arial" w:cs="Arial"/>
          <w:color w:val="000000"/>
          <w:sz w:val="24"/>
          <w:szCs w:val="24"/>
        </w:rPr>
        <w:t xml:space="preserve"> Sin embargo, esos instrumentos tienen los mismos límites temporales. El riesgo que no pueda reducirse deberá distribuirse de manera consciente mediante el umbral. En el juicio de nulidad, los errores se reparten entre sujetos procesales identificables. La ley de medios reconoce como partes al actor, a la autoridad responsable y al tercero interesado, que tiene un interés legítimo derivado de un derecho incompatible con el del actor.</w:t>
      </w:r>
      <w:r>
        <w:rPr>
          <w:rFonts w:ascii="Arial" w:eastAsia="Arial" w:hAnsi="Arial" w:cs="Arial"/>
          <w:color w:val="000000"/>
          <w:sz w:val="24"/>
          <w:szCs w:val="24"/>
          <w:vertAlign w:val="superscript"/>
        </w:rPr>
        <w:footnoteReference w:id="598"/>
      </w:r>
    </w:p>
    <w:p>
      <w:pPr>
        <w:spacing w:before="0" w:after="0" w:line="360" w:lineRule="auto"/>
        <w:ind w:firstLine="709"/>
        <w:jc w:val="both"/>
      </w:pPr>
      <w:r>
        <w:rPr>
          <w:rFonts w:ascii="Arial" w:eastAsia="Arial" w:hAnsi="Arial" w:cs="Arial"/>
          <w:color w:val="000000"/>
          <w:sz w:val="24"/>
          <w:szCs w:val="24"/>
        </w:rPr>
        <w:t xml:space="preserve">En la impugnación de una elección, el actor sostiene la hipótesis de las irregularidades determinantes. La autoridad responsable y, en su caso, la candidatura triunfadora como tercero interesado defienden la validez de la elección. El falso positivo consiste en tener por acreditadas irregularidades que no ocurrieron o no fueron determinantes, y conduce a anular una elección válida. Su coste recae sobre la candidatura triunfadora, sobre la actuación de la autoridad y sobre la ciudadanía cuyos votos pierden efectos. El falso negativo consiste en tener por no acreditadas irregularidades determinantes que sí ocurrieron, y conduce a validar una elección viciada. Su coste recae sobre el actor y, sobre todo, sobre la ciudadanía, que queda sujeta a un resultado que no expresa su voluntad libre. La regla general de la carga de la prueba ya coloca sobre el actor el riesgo de la falta de prueba.</w:t>
      </w:r>
      <w:r>
        <w:rPr>
          <w:rFonts w:ascii="Arial" w:eastAsia="Arial" w:hAnsi="Arial" w:cs="Arial"/>
          <w:color w:val="000000"/>
          <w:sz w:val="24"/>
          <w:szCs w:val="24"/>
          <w:vertAlign w:val="superscript"/>
        </w:rPr>
        <w:footnoteReference w:id="599"/>
      </w:r>
      <w:r>
        <w:rPr>
          <w:rFonts w:ascii="Arial" w:eastAsia="Arial" w:hAnsi="Arial" w:cs="Arial"/>
          <w:color w:val="000000"/>
          <w:sz w:val="24"/>
          <w:szCs w:val="24"/>
        </w:rPr>
        <w:t xml:space="preserve"> En consecuencia, el umbral debe fijarse con conciencia de quiénes soportan cada error.</w:t>
      </w:r>
    </w:p>
    <w:p>
      <w:pPr>
        <w:spacing w:before="0" w:after="0" w:line="360" w:lineRule="auto"/>
        <w:ind w:firstLine="709"/>
        <w:jc w:val="both"/>
      </w:pPr>
      <w:r>
        <w:rPr>
          <w:rFonts w:ascii="Arial" w:eastAsia="Arial" w:hAnsi="Arial" w:cs="Arial"/>
          <w:color w:val="000000"/>
          <w:sz w:val="24"/>
          <w:szCs w:val="24"/>
        </w:rPr>
        <w:t xml:space="preserve">La fijación del umbral de nulidad es un problema de diseño normativo y no una cuestión de convicción judicial. La decisión sobre el reparto del riesgo es política y debe expresarse en reglas generales. Ferrer Beltrán concluye que el debido proceso exige que el legislador determine, para cada tipo de casos, el umbral de suficiencia probatoria.</w:t>
      </w:r>
      <w:r>
        <w:rPr>
          <w:rFonts w:ascii="Arial" w:eastAsia="Arial" w:hAnsi="Arial" w:cs="Arial"/>
          <w:color w:val="000000"/>
          <w:sz w:val="24"/>
          <w:szCs w:val="24"/>
          <w:vertAlign w:val="superscript"/>
        </w:rPr>
        <w:footnoteReference w:id="600"/>
      </w:r>
      <w:r>
        <w:rPr>
          <w:rFonts w:ascii="Arial" w:eastAsia="Arial" w:hAnsi="Arial" w:cs="Arial"/>
          <w:color w:val="000000"/>
          <w:sz w:val="24"/>
          <w:szCs w:val="24"/>
        </w:rPr>
        <w:t xml:space="preserve"> Si esa decisión se deja al órgano jurisdiccional, cada sentencia puede distribuir el riesgo de manera distinta sin que las partes puedan anticiparlo. La pregunta de diseño consiste en determinar cuánto riesgo de anular elecciones válidas es tolerable para evitar la validación de elecciones viciadas, y a la inversa. La respuesta no puede obtenerse de la introspección del juzgador ni de la teoría de la prueba. Esa respuesta exige examinar los bienes constitucionales afectados por cada error y la magnitud de su afectación. El examen de esos bienes requiere aclarar antes por qué el nivel de exigencia de un estándar varía según la materia.</w:t>
      </w:r>
    </w:p>
    <w:p>
      <w:pPr>
        <w:spacing w:before="0" w:after="0" w:line="360" w:lineRule="auto"/>
        <w:jc w:val="left"/>
      </w:pPr>
    </w:p>
    <w:p>
      <w:pPr>
        <w:pStyle w:val="Ttulo2"/>
        <w:keepNext/>
        <w:spacing w:before="0" w:after="0" w:line="360" w:lineRule="auto"/>
        <w:ind w:left="567" w:hanging="284"/>
        <w:jc w:val="left"/>
      </w:pPr>
      <w:bookmarkStart w:id="820" w:name="_Toc9000020"/>
      <w:r>
        <w:rPr>
          <w:rFonts w:ascii="Arial" w:eastAsia="Arial" w:hAnsi="Arial" w:cs="Arial"/>
          <w:color w:val="000000"/>
          <w:sz w:val="24"/>
          <w:szCs w:val="24"/>
        </w:rPr>
        <w:t xml:space="preserve">4.2. </w:t>
      </w:r>
      <w:r>
        <w:rPr>
          <w:rFonts w:ascii="Arial" w:eastAsia="Arial" w:hAnsi="Arial" w:cs="Arial"/>
          <w:i/>
          <w:iCs/>
          <w:color w:val="000000"/>
          <w:sz w:val="24"/>
          <w:szCs w:val="24"/>
        </w:rPr>
        <w:t xml:space="preserve">La relatividad del estándar de prueba según los bienes en juego y los costes del error</w:t>
      </w:r>
      <w:bookmarkEnd w:id="820"/>
    </w:p>
    <w:p>
      <w:pPr>
        <w:spacing w:before="0" w:after="0" w:line="360" w:lineRule="auto"/>
        <w:jc w:val="left"/>
      </w:pPr>
    </w:p>
    <w:p>
      <w:pPr>
        <w:spacing w:before="0" w:after="0" w:line="360" w:lineRule="auto"/>
        <w:ind w:firstLine="0"/>
        <w:jc w:val="both"/>
      </w:pPr>
      <w:r>
        <w:rPr>
          <w:rFonts w:ascii="Arial" w:eastAsia="Arial" w:hAnsi="Arial" w:cs="Arial"/>
          <w:color w:val="000000"/>
          <w:sz w:val="24"/>
          <w:szCs w:val="24"/>
        </w:rPr>
        <w:t xml:space="preserve">Todo estándar distribuye entre las partes el riesgo de los dos errores materiales, y esa distribución depende de la altura del umbral. Esa premisa deja abierta la pregunta sobre el factor del que depende esa altura. La tesis que aquí se sostiene es que el nivel de exigencia adecuado no puede fijarse en abstracto. Ese nivel depende de los bienes en juego y de los costes de cada error en el tipo de decisión de que se trate. El desarrollo de la tesis expone primero el fundamento de la relatividad y descarta su explicación mediante el contextualismo epistémico. Después examina el criterio de la consecuencia jurídica y su ilustración en el Tribunal Europeo de Derechos Humanos. A continuación se sistematizan las razones que pueden justificar la variación del umbral. El análisis cierra con la inadecuación de los modelos penal y civil para la nulidad.</w:t>
      </w:r>
    </w:p>
    <w:p>
      <w:pPr>
        <w:spacing w:before="0" w:after="0" w:line="360" w:lineRule="auto"/>
        <w:ind w:firstLine="709"/>
        <w:jc w:val="both"/>
      </w:pPr>
      <w:r>
        <w:rPr>
          <w:rFonts w:ascii="Arial" w:eastAsia="Arial" w:hAnsi="Arial" w:cs="Arial"/>
          <w:color w:val="000000"/>
          <w:sz w:val="24"/>
          <w:szCs w:val="24"/>
        </w:rPr>
        <w:t xml:space="preserve">La relatividad del umbral es una consecuencia de su carácter político. Ferrer Beltrán sostiene que la epistemología puede ayudar a formular un estándar que refleje el nivel de suficiencia decidido, pero no indica cuál es el nivel adecuado.</w:t>
      </w:r>
      <w:r>
        <w:rPr>
          <w:rFonts w:ascii="Arial" w:eastAsia="Arial" w:hAnsi="Arial" w:cs="Arial"/>
          <w:color w:val="000000"/>
          <w:sz w:val="24"/>
          <w:szCs w:val="24"/>
          <w:vertAlign w:val="superscript"/>
        </w:rPr>
        <w:footnoteReference w:id="601"/>
      </w:r>
      <w:r>
        <w:rPr>
          <w:rFonts w:ascii="Arial" w:eastAsia="Arial" w:hAnsi="Arial" w:cs="Arial"/>
          <w:color w:val="000000"/>
          <w:sz w:val="24"/>
          <w:szCs w:val="24"/>
        </w:rPr>
        <w:t xml:space="preserve"> En otras disciplinas ocurre lo mismo, pues la farmacología exige más que la historia por el coste del error.</w:t>
      </w:r>
      <w:r>
        <w:rPr>
          <w:rFonts w:ascii="Arial" w:eastAsia="Arial" w:hAnsi="Arial" w:cs="Arial"/>
          <w:color w:val="000000"/>
          <w:sz w:val="24"/>
          <w:szCs w:val="24"/>
          <w:vertAlign w:val="superscript"/>
        </w:rPr>
        <w:footnoteReference w:id="602"/>
      </w:r>
      <w:r>
        <w:rPr>
          <w:rFonts w:ascii="Arial" w:eastAsia="Arial" w:hAnsi="Arial" w:cs="Arial"/>
          <w:color w:val="000000"/>
          <w:sz w:val="24"/>
          <w:szCs w:val="24"/>
        </w:rPr>
        <w:t xml:space="preserve"> En otro lugar el autor precisa que el umbral para considerar probada una hipótesis difiere entre la farmacología y la paleontología. La razón es que cada disciplina usa estándares diversos en función de la gravedad de los errores que se puedan producir.</w:t>
      </w:r>
      <w:r>
        <w:rPr>
          <w:rFonts w:ascii="Arial" w:eastAsia="Arial" w:hAnsi="Arial" w:cs="Arial"/>
          <w:color w:val="000000"/>
          <w:sz w:val="24"/>
          <w:szCs w:val="24"/>
          <w:vertAlign w:val="superscript"/>
        </w:rPr>
        <w:footnoteReference w:id="603"/>
      </w:r>
      <w:r>
        <w:rPr>
          <w:rFonts w:ascii="Arial" w:eastAsia="Arial" w:hAnsi="Arial" w:cs="Arial"/>
          <w:color w:val="000000"/>
          <w:sz w:val="24"/>
          <w:szCs w:val="24"/>
        </w:rPr>
        <w:t xml:space="preserve"> Antes había sostenido que las comunidades científicas fijan sus estándares según la proporción aceptable de errores positivos y negativos.</w:t>
      </w:r>
      <w:r>
        <w:rPr>
          <w:rFonts w:ascii="Arial" w:eastAsia="Arial" w:hAnsi="Arial" w:cs="Arial"/>
          <w:color w:val="000000"/>
          <w:sz w:val="24"/>
          <w:szCs w:val="24"/>
          <w:vertAlign w:val="superscript"/>
        </w:rPr>
        <w:footnoteReference w:id="604"/>
      </w:r>
      <w:r>
        <w:rPr>
          <w:rFonts w:ascii="Arial" w:eastAsia="Arial" w:hAnsi="Arial" w:cs="Arial"/>
          <w:color w:val="000000"/>
          <w:sz w:val="24"/>
          <w:szCs w:val="24"/>
        </w:rPr>
        <w:t xml:space="preserve"> El autor añadía que la especificidad del derecho es el carácter institucionalizado de esa decisión. Por razones democráticas, esa decisión corresponde a los legisladores para cada tipo de proceso.</w:t>
      </w:r>
    </w:p>
    <w:p>
      <w:pPr>
        <w:spacing w:before="0" w:after="0" w:line="360" w:lineRule="auto"/>
        <w:ind w:firstLine="709"/>
        <w:jc w:val="both"/>
      </w:pPr>
      <w:r>
        <w:rPr>
          <w:rFonts w:ascii="Arial" w:eastAsia="Arial" w:hAnsi="Arial" w:cs="Arial"/>
          <w:color w:val="000000"/>
          <w:sz w:val="24"/>
          <w:szCs w:val="24"/>
        </w:rPr>
        <w:t xml:space="preserve">Laudan coincide en que el epistemólogo no puede decir al sistema jurídico cómo distribuir los errores. El epistemólogo puede, sin embargo, ayudarle a satisfacer la distribución elegida mediante la altura del estándar.</w:t>
      </w:r>
      <w:r>
        <w:rPr>
          <w:rFonts w:ascii="Arial" w:eastAsia="Arial" w:hAnsi="Arial" w:cs="Arial"/>
          <w:color w:val="000000"/>
          <w:sz w:val="24"/>
          <w:szCs w:val="24"/>
          <w:vertAlign w:val="superscript"/>
        </w:rPr>
        <w:footnoteReference w:id="605"/>
      </w:r>
      <w:r>
        <w:rPr>
          <w:rFonts w:ascii="Arial" w:eastAsia="Arial" w:hAnsi="Arial" w:cs="Arial"/>
          <w:color w:val="000000"/>
          <w:sz w:val="24"/>
          <w:szCs w:val="24"/>
        </w:rPr>
        <w:t xml:space="preserve"> Si la altura del umbral depende de los costes del error, y esos costes varían según la decisión, el umbral debe variar. Una explicación posible de la relatividad es el contextualismo epistémico. Según Ferrer Beltrán, esa teoría sostiene que la justificación de una creencia en la que basamos una decisión práctica depende de la importancia de lo que esté en juego.</w:t>
      </w:r>
      <w:r>
        <w:rPr>
          <w:rFonts w:ascii="Arial" w:eastAsia="Arial" w:hAnsi="Arial" w:cs="Arial"/>
          <w:color w:val="000000"/>
          <w:sz w:val="24"/>
          <w:szCs w:val="24"/>
          <w:vertAlign w:val="superscript"/>
        </w:rPr>
        <w:footnoteReference w:id="606"/>
      </w:r>
      <w:r>
        <w:rPr>
          <w:rFonts w:ascii="Arial" w:eastAsia="Arial" w:hAnsi="Arial" w:cs="Arial"/>
          <w:color w:val="000000"/>
          <w:sz w:val="24"/>
          <w:szCs w:val="24"/>
        </w:rPr>
        <w:t xml:space="preserve"> El autor ilustra la teoría con el ejemplo de Fantl y McGrath sobre la información que otro pasajero ofrece acerca de las paradas de un tren. Esa información basta para abordar el tren cuando el viaje es irrelevante, pero no cuando de ello depende una carrera profesional. El contextualismo presenta dos corrientes que conviene distinguir.</w:t>
      </w:r>
    </w:p>
    <w:p>
      <w:pPr>
        <w:spacing w:before="0" w:after="0" w:line="360" w:lineRule="auto"/>
        <w:ind w:firstLine="709"/>
        <w:jc w:val="both"/>
      </w:pPr>
      <w:r>
        <w:rPr>
          <w:rFonts w:ascii="Arial" w:eastAsia="Arial" w:hAnsi="Arial" w:cs="Arial"/>
          <w:color w:val="000000"/>
          <w:sz w:val="24"/>
          <w:szCs w:val="24"/>
        </w:rPr>
        <w:t xml:space="preserve">La corriente semántica del contextualismo atiende al contexto de quien atribuye conocimiento. La corriente inferencialista o sustantiva atiende a la estructura inferencial del contexto de quien conoce.</w:t>
      </w:r>
      <w:r>
        <w:rPr>
          <w:rFonts w:ascii="Arial" w:eastAsia="Arial" w:hAnsi="Arial" w:cs="Arial"/>
          <w:color w:val="000000"/>
          <w:sz w:val="24"/>
          <w:szCs w:val="24"/>
          <w:vertAlign w:val="superscript"/>
        </w:rPr>
        <w:footnoteReference w:id="607"/>
      </w:r>
      <w:r>
        <w:rPr>
          <w:rFonts w:ascii="Arial" w:eastAsia="Arial" w:hAnsi="Arial" w:cs="Arial"/>
          <w:color w:val="000000"/>
          <w:sz w:val="24"/>
          <w:szCs w:val="24"/>
        </w:rPr>
        <w:t xml:space="preserve"> Ferrer Beltrán rechaza ambas corrientes como fundamento de la relatividad de los estándares jurídicos. Frente a la corriente inferencialista, el autor sostiene que no es fácil encontrar diferencias estructurales de tipo inferencial entre el contexto del juez civil y el del juez penal que deciden sobre los mismos hechos.</w:t>
      </w:r>
      <w:r>
        <w:rPr>
          <w:rFonts w:ascii="Arial" w:eastAsia="Arial" w:hAnsi="Arial" w:cs="Arial"/>
          <w:color w:val="000000"/>
          <w:sz w:val="24"/>
          <w:szCs w:val="24"/>
          <w:vertAlign w:val="superscript"/>
        </w:rPr>
        <w:footnoteReference w:id="608"/>
      </w:r>
      <w:r>
        <w:rPr>
          <w:rFonts w:ascii="Arial" w:eastAsia="Arial" w:hAnsi="Arial" w:cs="Arial"/>
          <w:color w:val="000000"/>
          <w:sz w:val="24"/>
          <w:szCs w:val="24"/>
        </w:rPr>
        <w:t xml:space="preserve"> El autor tampoco encuentra esas diferencias entre las diversas decisiones sobre los hechos que se adoptan a lo largo de un mismo proceso. El autor añade una segunda objeción que afecta a ambas corrientes. Las dos corrientes presuponen el concepto clásico de conocimiento, mientras que la actitud del juzgador al declarar probado un hecho no es la creencia ni el conocimiento, sino la aceptación. En consecuencia, el contextualismo no ofrece un fundamento adecuado para los estándares jurídicos.</w:t>
      </w:r>
    </w:p>
    <w:p>
      <w:pPr>
        <w:spacing w:before="0" w:after="0" w:line="360" w:lineRule="auto"/>
        <w:ind w:firstLine="709"/>
        <w:jc w:val="both"/>
      </w:pPr>
      <w:r>
        <w:rPr>
          <w:rFonts w:ascii="Arial" w:eastAsia="Arial" w:hAnsi="Arial" w:cs="Arial"/>
          <w:color w:val="000000"/>
          <w:sz w:val="24"/>
          <w:szCs w:val="24"/>
        </w:rPr>
        <w:t xml:space="preserve">Ferrer Beltrán concluye que el contextualismo no puede ser el fundamento de la relatividad. El autor añade que tampoco se necesita, porque la decisión sobre el umbral no es epistemológica sino política.</w:t>
      </w:r>
      <w:r>
        <w:rPr>
          <w:rFonts w:ascii="Arial" w:eastAsia="Arial" w:hAnsi="Arial" w:cs="Arial"/>
          <w:color w:val="000000"/>
          <w:sz w:val="24"/>
          <w:szCs w:val="24"/>
          <w:vertAlign w:val="superscript"/>
        </w:rPr>
        <w:footnoteReference w:id="609"/>
      </w:r>
      <w:r>
        <w:rPr>
          <w:rFonts w:ascii="Arial" w:eastAsia="Arial" w:hAnsi="Arial" w:cs="Arial"/>
          <w:color w:val="000000"/>
          <w:sz w:val="24"/>
          <w:szCs w:val="24"/>
        </w:rPr>
        <w:t xml:space="preserve"> El descarte del contextualismo tiene una consecuencia importante para el diseño de los estándares. Si la relatividad no depende de una variación en la estructura del razonamiento, el método de valoración puede ser el mismo en todas las materias. Lo que varía es el grado de corroboración exigido para tener una hipótesis por probada. Ferrer Beltrán formula esa idea al decir que, en cualquier disciplina, la prueba de una hipótesis no depende del convencimiento del decisor. La prueba depende del grado de corroboración que aportan las pruebas y del estándar aplicable en ese ámbito.</w:t>
      </w:r>
      <w:r>
        <w:rPr>
          <w:rFonts w:ascii="Arial" w:eastAsia="Arial" w:hAnsi="Arial" w:cs="Arial"/>
          <w:color w:val="000000"/>
          <w:sz w:val="24"/>
          <w:szCs w:val="24"/>
          <w:vertAlign w:val="superscript"/>
        </w:rPr>
        <w:footnoteReference w:id="610"/>
      </w:r>
      <w:r>
        <w:rPr>
          <w:rFonts w:ascii="Arial" w:eastAsia="Arial" w:hAnsi="Arial" w:cs="Arial"/>
          <w:color w:val="000000"/>
          <w:sz w:val="24"/>
          <w:szCs w:val="24"/>
        </w:rPr>
        <w:t xml:space="preserve"> El proyecto incorporado al voto particular del magistrado Rodríguez Mondragón en el SUP-JIN-194/2025 reprodujo esta idea y la extendió expresamente al derecho electoral mexicano.</w:t>
      </w:r>
      <w:r>
        <w:rPr>
          <w:rFonts w:ascii="Arial" w:eastAsia="Arial" w:hAnsi="Arial" w:cs="Arial"/>
          <w:color w:val="000000"/>
          <w:sz w:val="24"/>
          <w:szCs w:val="24"/>
          <w:vertAlign w:val="superscript"/>
        </w:rPr>
        <w:footnoteReference w:id="611"/>
      </w:r>
    </w:p>
    <w:p>
      <w:pPr>
        <w:spacing w:before="0" w:after="0" w:line="360" w:lineRule="auto"/>
        <w:ind w:firstLine="709"/>
        <w:jc w:val="both"/>
      </w:pPr>
      <w:r>
        <w:rPr>
          <w:rFonts w:ascii="Arial" w:eastAsia="Arial" w:hAnsi="Arial" w:cs="Arial"/>
          <w:color w:val="000000"/>
          <w:sz w:val="24"/>
          <w:szCs w:val="24"/>
        </w:rPr>
        <w:t xml:space="preserve">La relatividad del estándar no autoriza a relajar las exigencias de racionalidad en la valoración de la prueba electoral. La relatividad solo autoriza a que el umbral de suficiencia se fije atendiendo a los bienes y costes propios de la nulidad de elecciones. El análisis posterior parte de esa distinción entre el método y el umbral. Descartado el contextualismo, el criterio de la relatividad debe buscarse en la consecuencia jurídica. Ferrer Beltrán propone atender, en primer lugar, a la gravedad del error de la condena falsa.</w:t>
      </w:r>
      <w:r>
        <w:rPr>
          <w:rFonts w:ascii="Arial" w:eastAsia="Arial" w:hAnsi="Arial" w:cs="Arial"/>
          <w:color w:val="000000"/>
          <w:sz w:val="24"/>
          <w:szCs w:val="24"/>
          <w:vertAlign w:val="superscript"/>
        </w:rPr>
        <w:footnoteReference w:id="612"/>
      </w:r>
      <w:r>
        <w:rPr>
          <w:rFonts w:ascii="Arial" w:eastAsia="Arial" w:hAnsi="Arial" w:cs="Arial"/>
          <w:color w:val="000000"/>
          <w:sz w:val="24"/>
          <w:szCs w:val="24"/>
        </w:rPr>
        <w:t xml:space="preserve"> Esa gravedad depende de la importancia del bien afectado por la consecuencia jurídica y del grado de su afectación. Una sanción pecuniaria no tiene la misma gravedad que una privación de libertad, ni un arresto domiciliario de fin de semana la misma que veinte años de prisión. Por ello el autor considera demasiado gruesa la distinción tradicional entre el estándar penal y el civil.</w:t>
      </w:r>
    </w:p>
    <w:p>
      <w:pPr>
        <w:spacing w:before="0" w:after="0" w:line="360" w:lineRule="auto"/>
        <w:ind w:firstLine="709"/>
        <w:jc w:val="both"/>
      </w:pPr>
      <w:r>
        <w:rPr>
          <w:rFonts w:ascii="Arial" w:eastAsia="Arial" w:hAnsi="Arial" w:cs="Arial"/>
          <w:color w:val="000000"/>
          <w:sz w:val="24"/>
          <w:szCs w:val="24"/>
        </w:rPr>
        <w:t xml:space="preserve">Los sistemas penales contemporáneos incluyen sanciones pecuniarias, inhabilitaciones y otras consecuencias que no se distinguen de las que resultan de procesos civiles, administrativos o laborales. Una sanción pecuniaria penal errónea no es obviamente más grave que la retirada errónea de la patria potestad en un proceso civil. Por la misma razón, no tiene sentido preguntar por un único estándar para el derecho administrativo sancionador. Ese derecho abarca desde las sanciones de tráfico hasta las infracciones a la competencia.</w:t>
      </w:r>
      <w:r>
        <w:rPr>
          <w:rFonts w:ascii="Arial" w:eastAsia="Arial" w:hAnsi="Arial" w:cs="Arial"/>
          <w:color w:val="000000"/>
          <w:sz w:val="24"/>
          <w:szCs w:val="24"/>
          <w:vertAlign w:val="superscript"/>
        </w:rPr>
        <w:footnoteReference w:id="613"/>
      </w:r>
      <w:r>
        <w:rPr>
          <w:rFonts w:ascii="Arial" w:eastAsia="Arial" w:hAnsi="Arial" w:cs="Arial"/>
          <w:color w:val="000000"/>
          <w:sz w:val="24"/>
          <w:szCs w:val="24"/>
        </w:rPr>
        <w:t xml:space="preserve"> Ferrer Beltrán concluye que los costes de la condena falsa son relativos al tipo de condena y no a la jurisdicción. Por tanto, el criterio relevante es la consecuencia jurídica que se pretende adoptar y no la etiqueta del proceso en que se adopta. El autor extrae de ese criterio dos consecuencias. Ambas consecuencias desplazan el análisis desde la rama del derecho hacia la decisión concreta.</w:t>
      </w:r>
    </w:p>
    <w:p>
      <w:pPr>
        <w:spacing w:before="0" w:after="0" w:line="360" w:lineRule="auto"/>
        <w:ind w:firstLine="709"/>
        <w:jc w:val="both"/>
      </w:pPr>
      <w:r>
        <w:rPr>
          <w:rFonts w:ascii="Arial" w:eastAsia="Arial" w:hAnsi="Arial" w:cs="Arial"/>
          <w:color w:val="000000"/>
          <w:sz w:val="24"/>
          <w:szCs w:val="24"/>
        </w:rPr>
        <w:t xml:space="preserve">La primera consecuencia es que el estándar podría diversificarse dentro de un mismo tipo de proceso. Si la pena de muerte justifica un umbral más exigente, parece razonable un umbral menor cuando la afectación sea menor, como en las sanciones pecuniarias.</w:t>
      </w:r>
      <w:r>
        <w:rPr>
          <w:rFonts w:ascii="Arial" w:eastAsia="Arial" w:hAnsi="Arial" w:cs="Arial"/>
          <w:color w:val="000000"/>
          <w:sz w:val="24"/>
          <w:szCs w:val="24"/>
          <w:vertAlign w:val="superscript"/>
        </w:rPr>
        <w:footnoteReference w:id="614"/>
      </w:r>
      <w:r>
        <w:rPr>
          <w:rFonts w:ascii="Arial" w:eastAsia="Arial" w:hAnsi="Arial" w:cs="Arial"/>
          <w:color w:val="000000"/>
          <w:sz w:val="24"/>
          <w:szCs w:val="24"/>
        </w:rPr>
        <w:t xml:space="preserve"> Sin esa variedad de estándares, la vaguedad de la fórmula de la duda razonable permite que los juzgadores la modulen según las circunstancias del caso. Esa modulación devuelve la decisión al particularismo. La segunda consecuencia es que las razones para elevar el umbral de la hipótesis de culpabilidad no operan necesariamente del mismo modo para la hipótesis de la inocencia.</w:t>
      </w:r>
      <w:r>
        <w:rPr>
          <w:rFonts w:ascii="Arial" w:eastAsia="Arial" w:hAnsi="Arial" w:cs="Arial"/>
          <w:color w:val="000000"/>
          <w:sz w:val="24"/>
          <w:szCs w:val="24"/>
          <w:vertAlign w:val="superscript"/>
        </w:rPr>
        <w:footnoteReference w:id="615"/>
      </w:r>
      <w:r>
        <w:rPr>
          <w:rFonts w:ascii="Arial" w:eastAsia="Arial" w:hAnsi="Arial" w:cs="Arial"/>
          <w:color w:val="000000"/>
          <w:sz w:val="24"/>
          <w:szCs w:val="24"/>
        </w:rPr>
        <w:t xml:space="preserve"> Si esas razones difieren, puede ser razonable que ambas hipótesis se rijan por estándares distintos. En ambos casos la unidad de análisis deja de ser la rama del derecho y pasa a ser la decisión concreta con sus consecuencias típicas. Este desplazamiento permite plantear un estándar propio para la nulidad de elecciones.</w:t>
      </w:r>
    </w:p>
    <w:p>
      <w:pPr>
        <w:spacing w:before="0" w:after="0" w:line="360" w:lineRule="auto"/>
        <w:ind w:firstLine="709"/>
        <w:jc w:val="both"/>
      </w:pPr>
      <w:r>
        <w:rPr>
          <w:rFonts w:ascii="Arial" w:eastAsia="Arial" w:hAnsi="Arial" w:cs="Arial"/>
          <w:color w:val="000000"/>
          <w:sz w:val="24"/>
          <w:szCs w:val="24"/>
        </w:rPr>
        <w:t xml:space="preserve">Ferrer Beltrán ilustra el equívoco contrario con la jurisprudencia del Tribunal Europeo de Derechos Humanos. Según esa doctrina, la presunción de inocencia rige, tras una absolución penal, en toda interacción posterior del Estado con el absuelto, incluido el procedimiento para indemnizarle por prisión preventiva.</w:t>
      </w:r>
      <w:r>
        <w:rPr>
          <w:rFonts w:ascii="Arial" w:eastAsia="Arial" w:hAnsi="Arial" w:cs="Arial"/>
          <w:color w:val="000000"/>
          <w:sz w:val="24"/>
          <w:szCs w:val="24"/>
          <w:vertAlign w:val="superscript"/>
        </w:rPr>
        <w:footnoteReference w:id="616"/>
      </w:r>
      <w:r>
        <w:rPr>
          <w:rFonts w:ascii="Arial" w:eastAsia="Arial" w:hAnsi="Arial" w:cs="Arial"/>
          <w:color w:val="000000"/>
          <w:sz w:val="24"/>
          <w:szCs w:val="24"/>
        </w:rPr>
        <w:t xml:space="preserve"> En el caso Stavropoulos contra Grecia, de 27 de septiembre de 2017, un particular obtuvo una vivienda social tras certificar que no era propietario de otra vivienda en la región.</w:t>
      </w:r>
      <w:r>
        <w:rPr>
          <w:rFonts w:ascii="Arial" w:eastAsia="Arial" w:hAnsi="Arial" w:cs="Arial"/>
          <w:color w:val="000000"/>
          <w:sz w:val="24"/>
          <w:szCs w:val="24"/>
          <w:vertAlign w:val="superscript"/>
        </w:rPr>
        <w:footnoteReference w:id="617"/>
      </w:r>
      <w:r>
        <w:rPr>
          <w:rFonts w:ascii="Arial" w:eastAsia="Arial" w:hAnsi="Arial" w:cs="Arial"/>
          <w:color w:val="000000"/>
          <w:sz w:val="24"/>
          <w:szCs w:val="24"/>
        </w:rPr>
        <w:t xml:space="preserve"> Al descubrirse que sí lo era, la administración revocó la concesión y se inició un proceso penal por fraude. El interesado fue absuelto porque no se acreditó suficientemente su intención de defraudar. Con base en esa absolución, el interesado solicitó que se anulara la revocación administrativa. La solicitud fue denegada porque la sentencia penal no tenía efectos sobre la revocación y no había probado su inocencia. El caso llegó entonces al Tribunal Europeo.</w:t>
      </w:r>
    </w:p>
    <w:p>
      <w:pPr>
        <w:spacing w:before="0" w:after="0" w:line="360" w:lineRule="auto"/>
        <w:ind w:firstLine="709"/>
        <w:jc w:val="both"/>
      </w:pPr>
      <w:r>
        <w:rPr>
          <w:rFonts w:ascii="Arial" w:eastAsia="Arial" w:hAnsi="Arial" w:cs="Arial"/>
          <w:color w:val="000000"/>
          <w:sz w:val="24"/>
          <w:szCs w:val="24"/>
        </w:rPr>
        <w:t xml:space="preserve">El Tribunal Europeo consideró violada la presunción de inocencia. Según el Tribunal, el Estado debía tratar al absuelto como no autor de los hechos en todos los ámbitos en que fueran relevantes.</w:t>
      </w:r>
      <w:r>
        <w:rPr>
          <w:rFonts w:ascii="Arial" w:eastAsia="Arial" w:hAnsi="Arial" w:cs="Arial"/>
          <w:color w:val="000000"/>
          <w:sz w:val="24"/>
          <w:szCs w:val="24"/>
          <w:vertAlign w:val="superscript"/>
        </w:rPr>
        <w:footnoteReference w:id="618"/>
      </w:r>
      <w:r>
        <w:rPr>
          <w:rFonts w:ascii="Arial" w:eastAsia="Arial" w:hAnsi="Arial" w:cs="Arial"/>
          <w:color w:val="000000"/>
          <w:sz w:val="24"/>
          <w:szCs w:val="24"/>
        </w:rPr>
        <w:t xml:space="preserve"> Ferrer Beltrán critica esa decisión porque desconoce los distintos bienes en juego en sede penal y administrativa y la distinta gravedad de sus errores potenciales. El autor pregunta si la revocación habría sido correcta de no haberse iniciado el proceso penal y responde que sí. Por ello el autor cuestiona por qué la existencia de consecuencias penales adicionales debería elevar la exigencia probatoria en sede administrativa. La crítica tiene un fundamento más general. Ferrer Beltrán advierte que extender una presunción inderrotable a los procedimientos posteriores equivale a aplicar en ellos el estándar penal. Esa extensión considera que la cuestión probatoria ya fue decidida en sede penal.</w:t>
      </w:r>
      <w:r>
        <w:rPr>
          <w:rFonts w:ascii="Arial" w:eastAsia="Arial" w:hAnsi="Arial" w:cs="Arial"/>
          <w:color w:val="000000"/>
          <w:sz w:val="24"/>
          <w:szCs w:val="24"/>
          <w:vertAlign w:val="superscript"/>
        </w:rPr>
        <w:footnoteReference w:id="619"/>
      </w:r>
    </w:p>
    <w:p>
      <w:pPr>
        <w:spacing w:before="0" w:after="0" w:line="360" w:lineRule="auto"/>
        <w:ind w:firstLine="709"/>
        <w:jc w:val="both"/>
      </w:pPr>
      <w:r>
        <w:rPr>
          <w:rFonts w:ascii="Arial" w:eastAsia="Arial" w:hAnsi="Arial" w:cs="Arial"/>
          <w:color w:val="000000"/>
          <w:sz w:val="24"/>
          <w:szCs w:val="24"/>
        </w:rPr>
        <w:t xml:space="preserve">El error de fondo consiste en asociar la presunción de inocencia con un estándar de prueba especialmente elevado. Ese error extiende a la vez la presunción a otros ámbitos, como el derecho administrativo sancionador o el laboral disciplinario. De esa combinación se concluye que en todos esos ámbitos se requiere el estándar penal. Para rechazar esa conclusión, el autor propone abandonar la vinculación entre la presunción de inocencia y un estándar determinado.</w:t>
      </w:r>
      <w:r>
        <w:rPr>
          <w:rFonts w:ascii="Arial" w:eastAsia="Arial" w:hAnsi="Arial" w:cs="Arial"/>
          <w:color w:val="000000"/>
          <w:sz w:val="24"/>
          <w:szCs w:val="24"/>
          <w:vertAlign w:val="superscript"/>
        </w:rPr>
        <w:footnoteReference w:id="620"/>
      </w:r>
      <w:r>
        <w:rPr>
          <w:rFonts w:ascii="Arial" w:eastAsia="Arial" w:hAnsi="Arial" w:cs="Arial"/>
          <w:color w:val="000000"/>
          <w:sz w:val="24"/>
          <w:szCs w:val="24"/>
        </w:rPr>
        <w:t xml:space="preserve"> La presunción exige que la hipótesis de culpabilidad esté probada. La altura de esa exigencia depende de consideraciones políticas y no de la presunción misma. La lección es relevante para el contencioso electoral, en el que la gravedad de la nulidad suele invocarse para exigir una acreditación plena. Esa gravedad es una razón para fijar el umbral, pero no autoriza por sí sola a importar el estándar de otra materia.</w:t>
      </w:r>
    </w:p>
    <w:p>
      <w:pPr>
        <w:spacing w:before="0" w:after="0" w:line="360" w:lineRule="auto"/>
        <w:ind w:firstLine="709"/>
        <w:jc w:val="both"/>
      </w:pPr>
      <w:r>
        <w:rPr>
          <w:rFonts w:ascii="Arial" w:eastAsia="Arial" w:hAnsi="Arial" w:cs="Arial"/>
          <w:color w:val="000000"/>
          <w:sz w:val="24"/>
          <w:szCs w:val="24"/>
        </w:rPr>
        <w:t xml:space="preserve">La gravedad de la condena falsa no es la única razón que incide en la altura del umbral. Ferrer Beltrán propone una lista abierta de seis razones y advierte que no ofrece resultados objetivos porque expresa preferencias políticas.</w:t>
      </w:r>
      <w:r>
        <w:rPr>
          <w:rFonts w:ascii="Arial" w:eastAsia="Arial" w:hAnsi="Arial" w:cs="Arial"/>
          <w:color w:val="000000"/>
          <w:sz w:val="24"/>
          <w:szCs w:val="24"/>
          <w:vertAlign w:val="superscript"/>
        </w:rPr>
        <w:footnoteReference w:id="621"/>
      </w:r>
      <w:r>
        <w:rPr>
          <w:rFonts w:ascii="Arial" w:eastAsia="Arial" w:hAnsi="Arial" w:cs="Arial"/>
          <w:color w:val="000000"/>
          <w:sz w:val="24"/>
          <w:szCs w:val="24"/>
        </w:rPr>
        <w:t xml:space="preserve"> La segunda es el coste de las absoluciones falsas, como la minera absuelta por error de contaminar un acuífero.</w:t>
      </w:r>
      <w:r>
        <w:rPr>
          <w:rFonts w:ascii="Arial" w:eastAsia="Arial" w:hAnsi="Arial" w:cs="Arial"/>
          <w:color w:val="000000"/>
          <w:sz w:val="24"/>
          <w:szCs w:val="24"/>
          <w:vertAlign w:val="superscript"/>
        </w:rPr>
        <w:footnoteReference w:id="622"/>
      </w:r>
      <w:r>
        <w:rPr>
          <w:rFonts w:ascii="Arial" w:eastAsia="Arial" w:hAnsi="Arial" w:cs="Arial"/>
          <w:color w:val="000000"/>
          <w:sz w:val="24"/>
          <w:szCs w:val="24"/>
        </w:rPr>
        <w:t xml:space="preserve"> La tercera son las dificultades probatorias, que pueden justificar un umbral menor para que la norma no sea inaplicable, como en la corrupción.</w:t>
      </w:r>
      <w:r>
        <w:rPr>
          <w:rFonts w:ascii="Arial" w:eastAsia="Arial" w:hAnsi="Arial" w:cs="Arial"/>
          <w:color w:val="000000"/>
          <w:sz w:val="24"/>
          <w:szCs w:val="24"/>
          <w:vertAlign w:val="superscript"/>
        </w:rPr>
        <w:footnoteReference w:id="623"/>
      </w:r>
      <w:r>
        <w:rPr>
          <w:rFonts w:ascii="Arial" w:eastAsia="Arial" w:hAnsi="Arial" w:cs="Arial"/>
          <w:color w:val="000000"/>
          <w:sz w:val="24"/>
          <w:szCs w:val="24"/>
        </w:rPr>
        <w:t xml:space="preserve"> La cuarta es la incidencia de otras reglas que distribuyen el riesgo, como las cargas de la prueba y las presunciones.</w:t>
      </w:r>
      <w:r>
        <w:rPr>
          <w:rFonts w:ascii="Arial" w:eastAsia="Arial" w:hAnsi="Arial" w:cs="Arial"/>
          <w:color w:val="000000"/>
          <w:sz w:val="24"/>
          <w:szCs w:val="24"/>
          <w:vertAlign w:val="superscript"/>
        </w:rPr>
        <w:footnoteReference w:id="624"/>
      </w:r>
      <w:r>
        <w:rPr>
          <w:rFonts w:ascii="Arial" w:eastAsia="Arial" w:hAnsi="Arial" w:cs="Arial"/>
          <w:color w:val="000000"/>
          <w:sz w:val="24"/>
          <w:szCs w:val="24"/>
        </w:rPr>
        <w:t xml:space="preserve"> La quinta es la distribución de poder entre las partes, que ya no coincide con la dicotomía entre proceso penal y civil.</w:t>
      </w:r>
      <w:r>
        <w:rPr>
          <w:rFonts w:ascii="Arial" w:eastAsia="Arial" w:hAnsi="Arial" w:cs="Arial"/>
          <w:color w:val="000000"/>
          <w:sz w:val="24"/>
          <w:szCs w:val="24"/>
          <w:vertAlign w:val="superscript"/>
        </w:rPr>
        <w:footnoteReference w:id="625"/>
      </w:r>
      <w:r>
        <w:rPr>
          <w:rFonts w:ascii="Arial" w:eastAsia="Arial" w:hAnsi="Arial" w:cs="Arial"/>
          <w:color w:val="000000"/>
          <w:sz w:val="24"/>
          <w:szCs w:val="24"/>
        </w:rPr>
        <w:t xml:space="preserve"> La sexta es la etapa del proceso, pues el umbral debe ser más bajo cuanto más cerca se esté del inicio.</w:t>
      </w:r>
      <w:r>
        <w:rPr>
          <w:rFonts w:ascii="Arial" w:eastAsia="Arial" w:hAnsi="Arial" w:cs="Arial"/>
          <w:color w:val="000000"/>
          <w:sz w:val="24"/>
          <w:szCs w:val="24"/>
          <w:vertAlign w:val="superscript"/>
        </w:rPr>
        <w:footnoteReference w:id="626"/>
      </w:r>
      <w:r>
        <w:rPr>
          <w:rFonts w:ascii="Arial" w:eastAsia="Arial" w:hAnsi="Arial" w:cs="Arial"/>
          <w:color w:val="000000"/>
          <w:sz w:val="24"/>
          <w:szCs w:val="24"/>
        </w:rPr>
        <w:t xml:space="preserve"> Esas razones no siempre apuntan en la misma dirección.</w:t>
      </w:r>
    </w:p>
    <w:p>
      <w:pPr>
        <w:spacing w:before="0" w:after="0" w:line="360" w:lineRule="auto"/>
        <w:ind w:firstLine="709"/>
        <w:jc w:val="both"/>
      </w:pPr>
      <w:r>
        <w:rPr>
          <w:rFonts w:ascii="Arial" w:eastAsia="Arial" w:hAnsi="Arial" w:cs="Arial"/>
          <w:color w:val="000000"/>
          <w:sz w:val="24"/>
          <w:szCs w:val="24"/>
        </w:rPr>
        <w:t xml:space="preserve">Ferrer Beltrán reconoce que las razones pueden entrar en conflicto, como cuando a tipos de casos de difícil prueba se les asignan consecuencias graves. El autor admite que no existe un método objetivo para ponderarlas.</w:t>
      </w:r>
      <w:r>
        <w:rPr>
          <w:rFonts w:ascii="Arial" w:eastAsia="Arial" w:hAnsi="Arial" w:cs="Arial"/>
          <w:color w:val="000000"/>
          <w:sz w:val="24"/>
          <w:szCs w:val="24"/>
          <w:vertAlign w:val="superscript"/>
        </w:rPr>
        <w:footnoteReference w:id="627"/>
      </w:r>
      <w:r>
        <w:rPr>
          <w:rFonts w:ascii="Arial" w:eastAsia="Arial" w:hAnsi="Arial" w:cs="Arial"/>
          <w:color w:val="000000"/>
          <w:sz w:val="24"/>
          <w:szCs w:val="24"/>
        </w:rPr>
        <w:t xml:space="preserve"> El derecho mexicano contiene ejemplos de umbrales diferenciados por tipo de decisión. El </w:t>
      </w:r>
      <w:r>
        <w:rPr>
          <w:rFonts w:ascii="Arial" w:eastAsia="Arial" w:hAnsi="Arial" w:cs="Arial"/>
          <w:i/>
          <w:iCs/>
          <w:color w:val="000000"/>
          <w:sz w:val="24"/>
          <w:szCs w:val="24"/>
        </w:rPr>
        <w:t xml:space="preserve">Código Nacional de Procedimientos Penales</w:t>
      </w:r>
      <w:r>
        <w:rPr>
          <w:rFonts w:ascii="Arial" w:eastAsia="Arial" w:hAnsi="Arial" w:cs="Arial"/>
          <w:color w:val="000000"/>
          <w:sz w:val="24"/>
          <w:szCs w:val="24"/>
        </w:rPr>
        <w:t xml:space="preserve"> exige, para ordenar la aprehensión y para vincular a proceso, datos que establezcan el hecho y la probabilidad de que el imputado lo cometió o participó en su comisión.</w:t>
      </w:r>
      <w:r>
        <w:rPr>
          <w:rFonts w:ascii="Arial" w:eastAsia="Arial" w:hAnsi="Arial" w:cs="Arial"/>
          <w:color w:val="000000"/>
          <w:sz w:val="24"/>
          <w:szCs w:val="24"/>
          <w:vertAlign w:val="superscript"/>
        </w:rPr>
        <w:footnoteReference w:id="628"/>
      </w:r>
      <w:r>
        <w:rPr>
          <w:rFonts w:ascii="Arial" w:eastAsia="Arial" w:hAnsi="Arial" w:cs="Arial"/>
          <w:color w:val="000000"/>
          <w:sz w:val="24"/>
          <w:szCs w:val="24"/>
        </w:rPr>
        <w:t xml:space="preserve"> Para la sentencia condenatoria, el código exige la convicción de la culpabilidad más allá de toda duda razonable.</w:t>
      </w:r>
      <w:r>
        <w:rPr>
          <w:rFonts w:ascii="Arial" w:eastAsia="Arial" w:hAnsi="Arial" w:cs="Arial"/>
          <w:color w:val="000000"/>
          <w:sz w:val="24"/>
          <w:szCs w:val="24"/>
          <w:vertAlign w:val="superscript"/>
        </w:rPr>
        <w:footnoteReference w:id="629"/>
      </w:r>
      <w:r>
        <w:rPr>
          <w:rFonts w:ascii="Arial" w:eastAsia="Arial" w:hAnsi="Arial" w:cs="Arial"/>
          <w:color w:val="000000"/>
          <w:sz w:val="24"/>
          <w:szCs w:val="24"/>
        </w:rPr>
        <w:t xml:space="preserve"> Esa diferencia responde a la sexta razón, porque la exigencia crece conforme avanza el proceso y conforme la decisión se vuelve definitiva. El ejemplo no demuestra que las formulaciones del código sean adecuadas, pues la fórmula final remite a la convicción del tribunal. El ejemplo demuestra que el legislador mexicano acepta que un mismo proceso requiera umbrales distintos.</w:t>
      </w:r>
    </w:p>
    <w:p>
      <w:pPr>
        <w:spacing w:before="0" w:after="0" w:line="360" w:lineRule="auto"/>
        <w:ind w:firstLine="709"/>
        <w:jc w:val="both"/>
      </w:pPr>
      <w:r>
        <w:rPr>
          <w:rFonts w:ascii="Arial" w:eastAsia="Arial" w:hAnsi="Arial" w:cs="Arial"/>
          <w:color w:val="000000"/>
          <w:sz w:val="24"/>
          <w:szCs w:val="24"/>
        </w:rPr>
        <w:t xml:space="preserve">La materia electoral carece de cualquier diferenciación legal del umbral. La ley de medios se limita a remitir la prueba plena a la convicción del órgano competente, sin distinguir entre tipos de decisiones ni entre tipos de hechos.</w:t>
      </w:r>
      <w:r>
        <w:rPr>
          <w:rFonts w:ascii="Arial" w:eastAsia="Arial" w:hAnsi="Arial" w:cs="Arial"/>
          <w:color w:val="000000"/>
          <w:sz w:val="24"/>
          <w:szCs w:val="24"/>
          <w:vertAlign w:val="superscript"/>
        </w:rPr>
        <w:footnoteReference w:id="630"/>
      </w:r>
      <w:r>
        <w:rPr>
          <w:rFonts w:ascii="Arial" w:eastAsia="Arial" w:hAnsi="Arial" w:cs="Arial"/>
          <w:color w:val="000000"/>
          <w:sz w:val="24"/>
          <w:szCs w:val="24"/>
        </w:rPr>
        <w:t xml:space="preserve"> La teoría de los estándares se ha construido en torno a dos modelos, cada uno con una justificación distributiva propia. Según Allen, la política civil es tratar igual a las partes y reducir los errores globales. En los procesos penales, la política es proteger a los inocentes, con la conocida afirmación de que es diez veces peor condenar a un inocente que absolver a un culpable.</w:t>
      </w:r>
      <w:r>
        <w:rPr>
          <w:rFonts w:ascii="Arial" w:eastAsia="Arial" w:hAnsi="Arial" w:cs="Arial"/>
          <w:color w:val="000000"/>
          <w:sz w:val="24"/>
          <w:szCs w:val="24"/>
          <w:vertAlign w:val="superscript"/>
        </w:rPr>
        <w:footnoteReference w:id="631"/>
      </w:r>
      <w:r>
        <w:rPr>
          <w:rFonts w:ascii="Arial" w:eastAsia="Arial" w:hAnsi="Arial" w:cs="Arial"/>
          <w:color w:val="000000"/>
          <w:sz w:val="24"/>
          <w:szCs w:val="24"/>
        </w:rPr>
        <w:t xml:space="preserve"> Según Pardo, la preponderancia reparte el riesgo de modo casi equitativo. Ese reparto resulta aceptable en la mayoría de los casos civiles, donde la igualdad entre las partes es una consideración procesal importante, pero no para los acusados en un caso penal.</w:t>
      </w:r>
      <w:r>
        <w:rPr>
          <w:rFonts w:ascii="Arial" w:eastAsia="Arial" w:hAnsi="Arial" w:cs="Arial"/>
          <w:color w:val="000000"/>
          <w:sz w:val="24"/>
          <w:szCs w:val="24"/>
          <w:vertAlign w:val="superscript"/>
        </w:rPr>
        <w:footnoteReference w:id="632"/>
      </w:r>
      <w:r>
        <w:rPr>
          <w:rFonts w:ascii="Arial" w:eastAsia="Arial" w:hAnsi="Arial" w:cs="Arial"/>
          <w:color w:val="000000"/>
          <w:sz w:val="24"/>
          <w:szCs w:val="24"/>
        </w:rPr>
        <w:t xml:space="preserve"> Ambos modelos presentan, sin embargo, defectos que la doctrina ha señalado.</w:t>
      </w:r>
    </w:p>
    <w:p>
      <w:pPr>
        <w:spacing w:before="0" w:after="0" w:line="360" w:lineRule="auto"/>
        <w:ind w:firstLine="709"/>
        <w:jc w:val="both"/>
      </w:pPr>
      <w:r>
        <w:rPr>
          <w:rFonts w:ascii="Arial" w:eastAsia="Arial" w:hAnsi="Arial" w:cs="Arial"/>
          <w:color w:val="000000"/>
          <w:sz w:val="24"/>
          <w:szCs w:val="24"/>
        </w:rPr>
        <w:t xml:space="preserve">Allen advierte que las justificaciones de ambos modelos tienen defectos importantes. Sin conocer la proporción de partes que merecen una decisión favorable, no es posible predecir el efecto de un estándar sobre los errores reales. Ferrer Beltrán añade que ni siquiera la preponderancia distribuye el riesgo por igual. La carga de la prueba hace perder a quien la soporta cuando ninguna hipótesis alcanza el umbral.</w:t>
      </w:r>
      <w:r>
        <w:rPr>
          <w:rFonts w:ascii="Arial" w:eastAsia="Arial" w:hAnsi="Arial" w:cs="Arial"/>
          <w:color w:val="000000"/>
          <w:sz w:val="24"/>
          <w:szCs w:val="24"/>
          <w:vertAlign w:val="superscript"/>
        </w:rPr>
        <w:footnoteReference w:id="633"/>
      </w:r>
      <w:r>
        <w:rPr>
          <w:rFonts w:ascii="Arial" w:eastAsia="Arial" w:hAnsi="Arial" w:cs="Arial"/>
          <w:color w:val="000000"/>
          <w:sz w:val="24"/>
          <w:szCs w:val="24"/>
        </w:rPr>
        <w:t xml:space="preserve"> Por tanto, ambos modelos descansan en supuestos sobre los costes del error que deben verificarse en cada materia concreta. Esos supuestos no se cumplen en la nulidad de elecciones. El modelo penal presupone que el error más grave es la condena de un inocente, que consiste en imponer una sanción a una persona que no cometió el hecho. En el juicio de nulidad no hay un acusado en sentido penal, porque la consecuencia principal recae sobre el resultado de una votación.</w:t>
      </w:r>
    </w:p>
    <w:p>
      <w:pPr>
        <w:spacing w:before="0" w:after="0" w:line="360" w:lineRule="auto"/>
        <w:ind w:firstLine="709"/>
        <w:jc w:val="both"/>
      </w:pPr>
      <w:r>
        <w:rPr>
          <w:rFonts w:ascii="Arial" w:eastAsia="Arial" w:hAnsi="Arial" w:cs="Arial"/>
          <w:color w:val="000000"/>
          <w:sz w:val="24"/>
          <w:szCs w:val="24"/>
        </w:rPr>
        <w:t xml:space="preserve">La Sala Superior ha calificado la nulidad como la consecuencia más extrema y lesiva, porque implica el desconocimiento de la voluntad popular emitida en las urnas.</w:t>
      </w:r>
      <w:r>
        <w:rPr>
          <w:rFonts w:ascii="Arial" w:eastAsia="Arial" w:hAnsi="Arial" w:cs="Arial"/>
          <w:color w:val="000000"/>
          <w:sz w:val="24"/>
          <w:szCs w:val="24"/>
          <w:vertAlign w:val="superscript"/>
        </w:rPr>
        <w:footnoteReference w:id="634"/>
      </w:r>
      <w:r>
        <w:rPr>
          <w:rFonts w:ascii="Arial" w:eastAsia="Arial" w:hAnsi="Arial" w:cs="Arial"/>
          <w:color w:val="000000"/>
          <w:sz w:val="24"/>
          <w:szCs w:val="24"/>
        </w:rPr>
        <w:t xml:space="preserve"> Esa gravedad es real. Esa gravedad deriva de la afectación de los votos y no de la protección de un individuo frente al poder punitivo. El modelo civil presupone, por su parte, que los costes del error recaen principalmente sobre las partes y que estas se encuentran en situación de igualdad. En la nulidad, los costes de ambos errores recaen igualmente sobre la ciudadanía, ajena al juicio. Ferrer Beltrán sostiene que la decisión sobre el reparto del riesgo responde al interés público y no puede quedar a disposición de las partes del caso concreto.</w:t>
      </w:r>
      <w:r>
        <w:rPr>
          <w:rFonts w:ascii="Arial" w:eastAsia="Arial" w:hAnsi="Arial" w:cs="Arial"/>
          <w:color w:val="000000"/>
          <w:sz w:val="24"/>
          <w:szCs w:val="24"/>
          <w:vertAlign w:val="superscript"/>
        </w:rPr>
        <w:footnoteReference w:id="635"/>
      </w:r>
      <w:r>
        <w:rPr>
          <w:rFonts w:ascii="Arial" w:eastAsia="Arial" w:hAnsi="Arial" w:cs="Arial"/>
          <w:color w:val="000000"/>
          <w:sz w:val="24"/>
          <w:szCs w:val="24"/>
        </w:rPr>
        <w:t xml:space="preserve"> Por tanto, ni la asimetría penal ni la simetría civil pueden trasladarse sin una ponderación propia de la materia electoral. El proyecto de Rodríguez Mondragón en el SUP-JIN-194/2025 apuntó en esa dirección.</w:t>
      </w:r>
    </w:p>
    <w:p>
      <w:pPr>
        <w:spacing w:before="0" w:after="0" w:line="360" w:lineRule="auto"/>
        <w:ind w:firstLine="709"/>
        <w:jc w:val="both"/>
      </w:pPr>
      <w:r>
        <w:rPr>
          <w:rFonts w:ascii="Arial" w:eastAsia="Arial" w:hAnsi="Arial" w:cs="Arial"/>
          <w:color w:val="000000"/>
          <w:sz w:val="24"/>
          <w:szCs w:val="24"/>
        </w:rPr>
        <w:t xml:space="preserve">El proyecto afirmó que los sistemas jurídicos establecen estándares distintos porque cada ámbito protege valores y bienes específicos. Según el proyecto, esa diversidad requiere niveles diferenciados para justificar las consecuencias de las decisiones.</w:t>
      </w:r>
      <w:r>
        <w:rPr>
          <w:rFonts w:ascii="Arial" w:eastAsia="Arial" w:hAnsi="Arial" w:cs="Arial"/>
          <w:color w:val="000000"/>
          <w:sz w:val="24"/>
          <w:szCs w:val="24"/>
          <w:vertAlign w:val="superscript"/>
        </w:rPr>
        <w:footnoteReference w:id="636"/>
      </w:r>
      <w:r>
        <w:rPr>
          <w:rFonts w:ascii="Arial" w:eastAsia="Arial" w:hAnsi="Arial" w:cs="Arial"/>
          <w:color w:val="000000"/>
          <w:sz w:val="24"/>
          <w:szCs w:val="24"/>
        </w:rPr>
        <w:t xml:space="preserve"> Según el proyecto, la gravedad de una resolución adversa, como anular la voluntad popular, determina la exigencia probatoria por proporcionalidad. El proyecto no llegó a formular un umbral general para la nulidad, sino estándares para los hechos del caso. Su planteamiento confirma, sin embargo, que la relatividad del estándar ya ha sido invocada en la jurisdicción electoral mexicana. Lo que falta es una determinación general, previa y justificada de los bienes y costes que deben orientar el umbral en esta materia. Esa proporcionalidad aplicada caso por caso reproduce el particularismo que Ferrer Beltrán critica. En consecuencia, esa ponderación debe realizarse en el momento del diseño normativo y no en el de la aplicación.</w:t>
      </w:r>
    </w:p>
    <w:p>
      <w:pPr>
        <w:spacing w:before="0" w:after="0" w:line="360" w:lineRule="auto"/>
        <w:ind w:firstLine="709"/>
        <w:jc w:val="both"/>
      </w:pPr>
      <w:r>
        <w:rPr>
          <w:rFonts w:ascii="Arial" w:eastAsia="Arial" w:hAnsi="Arial" w:cs="Arial"/>
          <w:color w:val="000000"/>
          <w:sz w:val="24"/>
          <w:szCs w:val="24"/>
        </w:rPr>
        <w:t xml:space="preserve">El análisis de la relatividad permite formular tres conclusiones. La primera conclusión sostiene que la relatividad del estándar se explica por los bienes en juego y los costes del error, no por el contexto del conocimiento. La segunda conclusión sostiene que el criterio relevante es la consecuencia jurídica y no la etiqueta del proceso. Por ello no existe una razón conceptual para importar a la materia electoral el estándar penal o el civil. La tercera sostiene que la nulidad presenta costes que ningún modelo contempla, porque ambos errores afectan a la ciudadanía. Ferrer Beltrán sostiene que el debido proceso exige que el legislador determine, para cada tipo de casos, el umbral de suficiencia probatoria, aunque no exige ninguno en particular.</w:t>
      </w:r>
      <w:r>
        <w:rPr>
          <w:rFonts w:ascii="Arial" w:eastAsia="Arial" w:hAnsi="Arial" w:cs="Arial"/>
          <w:color w:val="000000"/>
          <w:sz w:val="24"/>
          <w:szCs w:val="24"/>
          <w:vertAlign w:val="superscript"/>
        </w:rPr>
        <w:footnoteReference w:id="637"/>
      </w:r>
      <w:r>
        <w:rPr>
          <w:rFonts w:ascii="Arial" w:eastAsia="Arial" w:hAnsi="Arial" w:cs="Arial"/>
          <w:color w:val="000000"/>
          <w:sz w:val="24"/>
          <w:szCs w:val="24"/>
        </w:rPr>
        <w:t xml:space="preserve"> Esa determinación requiere identificar primero los bienes constitucionales en juego en la nulidad de elecciones. Esa identificación debe precisar los costes específicos del falso positivo y del falso negativo al resolver sobre la validez de una elección.</w:t>
      </w:r>
    </w:p>
    <w:p>
      <w:pPr>
        <w:spacing w:before="0" w:after="0" w:line="360" w:lineRule="auto"/>
        <w:jc w:val="left"/>
      </w:pPr>
    </w:p>
    <w:p>
      <w:pPr>
        <w:pStyle w:val="Ttulo2"/>
        <w:keepNext/>
        <w:spacing w:before="0" w:after="0" w:line="360" w:lineRule="auto"/>
        <w:ind w:left="567" w:hanging="284"/>
        <w:jc w:val="left"/>
      </w:pPr>
      <w:bookmarkStart w:id="821" w:name="_Toc9000021"/>
      <w:r>
        <w:rPr>
          <w:rFonts w:ascii="Arial" w:eastAsia="Arial" w:hAnsi="Arial" w:cs="Arial"/>
          <w:color w:val="000000"/>
          <w:sz w:val="24"/>
          <w:szCs w:val="24"/>
        </w:rPr>
        <w:t xml:space="preserve">4.3. </w:t>
      </w:r>
      <w:r>
        <w:rPr>
          <w:rFonts w:ascii="Arial" w:eastAsia="Arial" w:hAnsi="Arial" w:cs="Arial"/>
          <w:i/>
          <w:iCs/>
          <w:color w:val="000000"/>
          <w:sz w:val="24"/>
          <w:szCs w:val="24"/>
        </w:rPr>
        <w:t xml:space="preserve">Los bienes en juego propios del contencioso electoral mexicano</w:t>
      </w:r>
      <w:bookmarkEnd w:id="821"/>
    </w:p>
    <w:p>
      <w:pPr>
        <w:spacing w:before="0" w:after="0" w:line="360" w:lineRule="auto"/>
        <w:jc w:val="left"/>
      </w:pPr>
    </w:p>
    <w:p>
      <w:pPr>
        <w:spacing w:before="0" w:after="0" w:line="360" w:lineRule="auto"/>
        <w:ind w:firstLine="0"/>
        <w:jc w:val="both"/>
      </w:pPr>
      <w:r>
        <w:rPr>
          <w:rFonts w:ascii="Arial" w:eastAsia="Arial" w:hAnsi="Arial" w:cs="Arial"/>
          <w:color w:val="000000"/>
          <w:sz w:val="24"/>
          <w:szCs w:val="24"/>
        </w:rPr>
        <w:t xml:space="preserve">La relatividad del estándar exige identificar los bienes en juego de cada tipo de decisión antes de fijar su umbral. Esa identificación se realiza aquí para la decisión sobre la validez o nulidad de una elección. La tesis que se sostiene es que el contencioso electoral mexicano presenta bienes en juego que no coinciden con los del proceso penal ni con los del proceso civil. Los bienes principales son tres, que son la certeza sobre el resultado, el derecho al voto de la ciudadanía y la renovación ordenada y periódica de los órganos del poder público. Cada bien se funda en el texto constitucional y en criterios de la Sala Superior. El análisis muestra después cómo esos bienes permiten caracterizar los dos errores que un estándar electoral debe distribuir. El examen de la preferencia declarada entre ambos errores completa el análisis. La identificación es una construcción propia, apoyada en las fuentes citadas.</w:t>
      </w:r>
    </w:p>
    <w:p>
      <w:pPr>
        <w:spacing w:before="0" w:after="0" w:line="360" w:lineRule="auto"/>
        <w:ind w:firstLine="709"/>
        <w:jc w:val="both"/>
      </w:pPr>
      <w:r>
        <w:rPr>
          <w:rFonts w:ascii="Arial" w:eastAsia="Arial" w:hAnsi="Arial" w:cs="Arial"/>
          <w:color w:val="000000"/>
          <w:sz w:val="24"/>
          <w:szCs w:val="24"/>
        </w:rPr>
        <w:t xml:space="preserve">Los modelos penal y civil responden a bienes en juego distintos. En el proceso penal, la consecuencia típica del error es la condena de una persona inocente y la afectación de su libertad. Laudan observa que prácticamente todos coinciden en que condenar a un inocente es un error más costoso que absolver a un culpable. Sobre esa convicción se ha construido un cuerpo de doctrinas procesales.</w:t>
      </w:r>
      <w:r>
        <w:rPr>
          <w:rFonts w:ascii="Arial" w:eastAsia="Arial" w:hAnsi="Arial" w:cs="Arial"/>
          <w:color w:val="000000"/>
          <w:sz w:val="24"/>
          <w:szCs w:val="24"/>
          <w:vertAlign w:val="superscript"/>
        </w:rPr>
        <w:footnoteReference w:id="638"/>
      </w:r>
      <w:r>
        <w:rPr>
          <w:rFonts w:ascii="Arial" w:eastAsia="Arial" w:hAnsi="Arial" w:cs="Arial"/>
          <w:color w:val="000000"/>
          <w:sz w:val="24"/>
          <w:szCs w:val="24"/>
        </w:rPr>
        <w:t xml:space="preserve"> En el proceso civil, la consecuencia recae principalmente sobre el patrimonio o los derechos de las partes. Ferrer Beltrán advierte que incluso en ese proceso el reparto del riesgo responde a garantías de interés público y no puede quedar a disposición de las partes.</w:t>
      </w:r>
      <w:r>
        <w:rPr>
          <w:rFonts w:ascii="Arial" w:eastAsia="Arial" w:hAnsi="Arial" w:cs="Arial"/>
          <w:color w:val="000000"/>
          <w:sz w:val="24"/>
          <w:szCs w:val="24"/>
          <w:vertAlign w:val="superscript"/>
        </w:rPr>
        <w:footnoteReference w:id="639"/>
      </w:r>
      <w:r>
        <w:rPr>
          <w:rFonts w:ascii="Arial" w:eastAsia="Arial" w:hAnsi="Arial" w:cs="Arial"/>
          <w:color w:val="000000"/>
          <w:sz w:val="24"/>
          <w:szCs w:val="24"/>
        </w:rPr>
        <w:t xml:space="preserve"> La nulidad de una elección presenta una estructura diferente, porque su consecuencia principal no recae sobre una persona ni sobre un patrimonio, sino sobre el resultado de una votación. Esa estructura propia exige examinar los bienes de la materia antes de adoptar cualquier estándar.</w:t>
      </w:r>
    </w:p>
    <w:p>
      <w:pPr>
        <w:spacing w:before="0" w:after="0" w:line="360" w:lineRule="auto"/>
        <w:ind w:firstLine="709"/>
        <w:jc w:val="both"/>
      </w:pPr>
      <w:r>
        <w:rPr>
          <w:rFonts w:ascii="Arial" w:eastAsia="Arial" w:hAnsi="Arial" w:cs="Arial"/>
          <w:color w:val="000000"/>
          <w:sz w:val="24"/>
          <w:szCs w:val="24"/>
        </w:rPr>
        <w:t xml:space="preserve">La Sala Superior ha calificado la nulidad como la consecuencia más extrema y lesiva del sistema, porque implica el desconocimiento de la voluntad popular emitida en las urnas.</w:t>
      </w:r>
      <w:r>
        <w:rPr>
          <w:rFonts w:ascii="Arial" w:eastAsia="Arial" w:hAnsi="Arial" w:cs="Arial"/>
          <w:color w:val="000000"/>
          <w:sz w:val="24"/>
          <w:szCs w:val="24"/>
          <w:vertAlign w:val="superscript"/>
        </w:rPr>
        <w:footnoteReference w:id="640"/>
      </w:r>
      <w:r>
        <w:rPr>
          <w:rFonts w:ascii="Arial" w:eastAsia="Arial" w:hAnsi="Arial" w:cs="Arial"/>
          <w:color w:val="000000"/>
          <w:sz w:val="24"/>
          <w:szCs w:val="24"/>
        </w:rPr>
        <w:t xml:space="preserve"> Los bienes afectados por la nulidad son bienes de la ciudadanía y del orden constitucional, junto con los intereses de los contendientes. El primer bien en juego es la certeza sobre el resultado de la elección. La Constitución establece la certeza como principio rector de la función estatal electoral que ejerce el Instituto Nacional Electoral.</w:t>
      </w:r>
      <w:r>
        <w:rPr>
          <w:rFonts w:ascii="Arial" w:eastAsia="Arial" w:hAnsi="Arial" w:cs="Arial"/>
          <w:color w:val="000000"/>
          <w:sz w:val="24"/>
          <w:szCs w:val="24"/>
          <w:vertAlign w:val="superscript"/>
        </w:rPr>
        <w:footnoteReference w:id="641"/>
      </w:r>
      <w:r>
        <w:rPr>
          <w:rFonts w:ascii="Arial" w:eastAsia="Arial" w:hAnsi="Arial" w:cs="Arial"/>
          <w:color w:val="000000"/>
          <w:sz w:val="24"/>
          <w:szCs w:val="24"/>
        </w:rPr>
        <w:t xml:space="preserve"> El proyecto del voto de Rodríguez Mondragón precisó ese principio. Según el proyecto, la certeza exige reglas claras, estables y conocidas por todos los participantes, y que los resultados reflejen fielmente la voluntad ciudadana en condiciones de transparencia y verificabilidad.</w:t>
      </w:r>
      <w:r>
        <w:rPr>
          <w:rFonts w:ascii="Arial" w:eastAsia="Arial" w:hAnsi="Arial" w:cs="Arial"/>
          <w:color w:val="000000"/>
          <w:sz w:val="24"/>
          <w:szCs w:val="24"/>
          <w:vertAlign w:val="superscript"/>
        </w:rPr>
        <w:footnoteReference w:id="642"/>
      </w:r>
      <w:r>
        <w:rPr>
          <w:rFonts w:ascii="Arial" w:eastAsia="Arial" w:hAnsi="Arial" w:cs="Arial"/>
          <w:color w:val="000000"/>
          <w:sz w:val="24"/>
          <w:szCs w:val="24"/>
        </w:rPr>
        <w:t xml:space="preserve"> El proyecto recordó la contradicción SUP-CDC-2/2013, según la cual el proceso electoral renueva periódicamente los poderes y respeta la certeza y la definitividad.</w:t>
      </w:r>
      <w:r>
        <w:rPr>
          <w:rFonts w:ascii="Arial" w:eastAsia="Arial" w:hAnsi="Arial" w:cs="Arial"/>
          <w:color w:val="000000"/>
          <w:sz w:val="24"/>
          <w:szCs w:val="24"/>
          <w:vertAlign w:val="superscript"/>
        </w:rPr>
        <w:footnoteReference w:id="643"/>
      </w:r>
      <w:r>
        <w:rPr>
          <w:rFonts w:ascii="Arial" w:eastAsia="Arial" w:hAnsi="Arial" w:cs="Arial"/>
          <w:color w:val="000000"/>
          <w:sz w:val="24"/>
          <w:szCs w:val="24"/>
        </w:rPr>
        <w:t xml:space="preserve"> Por tanto, la certeza tiene dos dimensiones distintas.</w:t>
      </w:r>
    </w:p>
    <w:p>
      <w:pPr>
        <w:spacing w:before="0" w:after="0" w:line="360" w:lineRule="auto"/>
        <w:ind w:firstLine="709"/>
        <w:jc w:val="both"/>
      </w:pPr>
      <w:r>
        <w:rPr>
          <w:rFonts w:ascii="Arial" w:eastAsia="Arial" w:hAnsi="Arial" w:cs="Arial"/>
          <w:color w:val="000000"/>
          <w:sz w:val="24"/>
          <w:szCs w:val="24"/>
        </w:rPr>
        <w:t xml:space="preserve">La primera dimensión de la certeza es la fidelidad del resultado respecto de la voluntad expresada en las urnas. La segunda dimensión es la firmeza y prontitud con que la ciudadanía conoce quién resultó electo. Esa segunda dimensión se vincula con la definitividad de las etapas del proceso electoral.</w:t>
      </w:r>
      <w:r>
        <w:rPr>
          <w:rFonts w:ascii="Arial" w:eastAsia="Arial" w:hAnsi="Arial" w:cs="Arial"/>
          <w:color w:val="000000"/>
          <w:sz w:val="24"/>
          <w:szCs w:val="24"/>
          <w:vertAlign w:val="superscript"/>
        </w:rPr>
        <w:footnoteReference w:id="644"/>
      </w:r>
      <w:r>
        <w:rPr>
          <w:rFonts w:ascii="Arial" w:eastAsia="Arial" w:hAnsi="Arial" w:cs="Arial"/>
          <w:color w:val="000000"/>
          <w:sz w:val="24"/>
          <w:szCs w:val="24"/>
        </w:rPr>
        <w:t xml:space="preserve"> La ley de medios expresa esa segunda dimensión al disponer que las elecciones no impugnadas en tiempo y forma se consideran válidas, definitivas e inatacables.</w:t>
      </w:r>
      <w:r>
        <w:rPr>
          <w:rFonts w:ascii="Arial" w:eastAsia="Arial" w:hAnsi="Arial" w:cs="Arial"/>
          <w:color w:val="000000"/>
          <w:sz w:val="24"/>
          <w:szCs w:val="24"/>
          <w:vertAlign w:val="superscript"/>
        </w:rPr>
        <w:footnoteReference w:id="645"/>
      </w:r>
      <w:r>
        <w:rPr>
          <w:rFonts w:ascii="Arial" w:eastAsia="Arial" w:hAnsi="Arial" w:cs="Arial"/>
          <w:color w:val="000000"/>
          <w:sz w:val="24"/>
          <w:szCs w:val="24"/>
        </w:rPr>
        <w:t xml:space="preserve"> Ambas dimensiones pueden entrar en tensión, porque la pronta firmeza de un resultado no garantiza su fidelidad. La distinción permite precisar cómo afecta cada error a este bien. La validación de una elección viciada compromete la certeza en su primera dimensión, porque el resultado declarado firme no corresponde a la voluntad libremente expresada. La anulación de una elección limpia compromete la certeza en ambas dimensiones, porque priva de firmeza a un resultado que era fiel y obliga a repetir el proceso.</w:t>
      </w:r>
    </w:p>
    <w:p>
      <w:pPr>
        <w:spacing w:before="0" w:after="0" w:line="360" w:lineRule="auto"/>
        <w:ind w:firstLine="709"/>
        <w:jc w:val="both"/>
      </w:pPr>
      <w:r>
        <w:rPr>
          <w:rFonts w:ascii="Arial" w:eastAsia="Arial" w:hAnsi="Arial" w:cs="Arial"/>
          <w:color w:val="000000"/>
          <w:sz w:val="24"/>
          <w:szCs w:val="24"/>
        </w:rPr>
        <w:t xml:space="preserve">La certeza no favorece de manera unilateral a ninguno de los dos errores. Invocar la certeza solo en favor de la validez supondría reducirla a su dimensión de firmeza y desatender su dimensión de fidelidad. Esa reducción convertiría la certeza en una razón para preferir siempre el falso negativo. Esa preferencia desconocería que un resultado firme pero viciado lesiona igualmente la certeza. Por ello un estándar electoral no puede justificarse apelando a la certeza sin precisar a cuál de sus dimensiones se refiere. La ponderación entre ambas dimensiones forma parte de la decisión sobre la distribución del riesgo del error. En consecuencia, la certeza obliga a considerar tanto el riesgo de anular como el de validar indebidamente. El segundo bien en juego, el derecho al voto, presenta una estructura semejante.</w:t>
      </w:r>
    </w:p>
    <w:p>
      <w:pPr>
        <w:spacing w:before="0" w:after="0" w:line="360" w:lineRule="auto"/>
        <w:ind w:firstLine="709"/>
        <w:jc w:val="both"/>
      </w:pPr>
      <w:r>
        <w:rPr>
          <w:rFonts w:ascii="Arial" w:eastAsia="Arial" w:hAnsi="Arial" w:cs="Arial"/>
          <w:color w:val="000000"/>
          <w:sz w:val="24"/>
          <w:szCs w:val="24"/>
        </w:rPr>
        <w:t xml:space="preserve">La Constitución reconoce como derecho de la ciudadanía votar en las elecciones populares.</w:t>
      </w:r>
      <w:r>
        <w:rPr>
          <w:rFonts w:ascii="Arial" w:eastAsia="Arial" w:hAnsi="Arial" w:cs="Arial"/>
          <w:color w:val="000000"/>
          <w:sz w:val="24"/>
          <w:szCs w:val="24"/>
          <w:vertAlign w:val="superscript"/>
        </w:rPr>
        <w:footnoteReference w:id="646"/>
      </w:r>
      <w:r>
        <w:rPr>
          <w:rFonts w:ascii="Arial" w:eastAsia="Arial" w:hAnsi="Arial" w:cs="Arial"/>
          <w:color w:val="000000"/>
          <w:sz w:val="24"/>
          <w:szCs w:val="24"/>
        </w:rPr>
        <w:t xml:space="preserve"> El artículo 41 dispone que la renovación de los poderes Legislativo y Ejecutivo se realice mediante elecciones libres, auténticas y periódicas.</w:t>
      </w:r>
      <w:r>
        <w:rPr>
          <w:rFonts w:ascii="Arial" w:eastAsia="Arial" w:hAnsi="Arial" w:cs="Arial"/>
          <w:color w:val="000000"/>
          <w:sz w:val="24"/>
          <w:szCs w:val="24"/>
          <w:vertAlign w:val="superscript"/>
        </w:rPr>
        <w:footnoteReference w:id="647"/>
      </w:r>
      <w:r>
        <w:rPr>
          <w:rFonts w:ascii="Arial" w:eastAsia="Arial" w:hAnsi="Arial" w:cs="Arial"/>
          <w:color w:val="000000"/>
          <w:sz w:val="24"/>
          <w:szCs w:val="24"/>
        </w:rPr>
        <w:t xml:space="preserve"> El proyecto de Rodríguez Mondragón vinculó esa disposición con el artículo 23.1 de la </w:t>
      </w:r>
      <w:r>
        <w:rPr>
          <w:rFonts w:ascii="Arial" w:eastAsia="Arial" w:hAnsi="Arial" w:cs="Arial"/>
          <w:i/>
          <w:iCs/>
          <w:color w:val="000000"/>
          <w:sz w:val="24"/>
          <w:szCs w:val="24"/>
        </w:rPr>
        <w:t xml:space="preserve">Convención Americana sobre Derechos Humanos</w:t>
      </w:r>
      <w:r>
        <w:rPr>
          <w:rFonts w:ascii="Arial" w:eastAsia="Arial" w:hAnsi="Arial" w:cs="Arial"/>
          <w:color w:val="000000"/>
          <w:sz w:val="24"/>
          <w:szCs w:val="24"/>
        </w:rPr>
        <w:t xml:space="preserve">. Ese artículo reconoce el derecho a votar en elecciones periódicas auténticas que garanticen la libre expresión de la voluntad de los electores.</w:t>
      </w:r>
      <w:r>
        <w:rPr>
          <w:rFonts w:ascii="Arial" w:eastAsia="Arial" w:hAnsi="Arial" w:cs="Arial"/>
          <w:color w:val="000000"/>
          <w:sz w:val="24"/>
          <w:szCs w:val="24"/>
          <w:vertAlign w:val="superscript"/>
        </w:rPr>
        <w:footnoteReference w:id="648"/>
      </w:r>
      <w:r>
        <w:rPr>
          <w:rFonts w:ascii="Arial" w:eastAsia="Arial" w:hAnsi="Arial" w:cs="Arial"/>
          <w:color w:val="000000"/>
          <w:sz w:val="24"/>
          <w:szCs w:val="24"/>
        </w:rPr>
        <w:t xml:space="preserve"> La jurisprudencia 9/98 identifica expresamente este bien como el fundamento del principio de conservación de los actos públicos válidamente celebrados. Según ese criterio, la nulidad no debe extender sus efectos más allá de la votación, el cómputo o la elección en que se actualice la causal. El propósito es no dañar el voto activo de la mayoría que sufragó válidamente.</w:t>
      </w:r>
      <w:r>
        <w:rPr>
          <w:rFonts w:ascii="Arial" w:eastAsia="Arial" w:hAnsi="Arial" w:cs="Arial"/>
          <w:color w:val="000000"/>
          <w:sz w:val="24"/>
          <w:szCs w:val="24"/>
          <w:vertAlign w:val="superscript"/>
        </w:rPr>
        <w:footnoteReference w:id="649"/>
      </w:r>
      <w:r>
        <w:rPr>
          <w:rFonts w:ascii="Arial" w:eastAsia="Arial" w:hAnsi="Arial" w:cs="Arial"/>
          <w:color w:val="000000"/>
          <w:sz w:val="24"/>
          <w:szCs w:val="24"/>
        </w:rPr>
        <w:t xml:space="preserve"> La jurisprudencia añade que la nulidad por cualquier infracción haría nugatorio el ejercicio de la prerrogativa ciudadana de votar.</w:t>
      </w:r>
    </w:p>
    <w:p>
      <w:pPr>
        <w:spacing w:before="0" w:after="0" w:line="360" w:lineRule="auto"/>
        <w:ind w:firstLine="709"/>
        <w:jc w:val="both"/>
      </w:pPr>
      <w:r>
        <w:rPr>
          <w:rFonts w:ascii="Arial" w:eastAsia="Arial" w:hAnsi="Arial" w:cs="Arial"/>
          <w:color w:val="000000"/>
          <w:sz w:val="24"/>
          <w:szCs w:val="24"/>
        </w:rPr>
        <w:t xml:space="preserve">El derecho al voto aparece en la jurisprudencia electoral como la razón principal para evitar anulaciones injustificadas. Ese derecho se ve afectado, sin embargo, por ambos errores. La anulación de una elección limpia priva de efectos a los votos emitidos válidamente, incluidos los de la mayoría que sufragó por la opción ganadora. La validación de una elección obtenida mediante violaciones graves afecta a quienes votaron en condiciones de inequidad o de presión. El voto de esas personas se integró en un resultado alterado por factores ajenos a su libre expresión. La Constitución protege el voto libre emitido en una elección auténtica. Por ello el derecho al voto no puede invocarse solo en favor de la conservación del resultado. La jurisprudencia 9/98 se refiere a irregularidades e imperfecciones menores cometidas por funcionarios de casilla no profesionales, y no a violaciones graves y determinantes.</w:t>
      </w:r>
    </w:p>
    <w:p>
      <w:pPr>
        <w:spacing w:before="0" w:after="0" w:line="360" w:lineRule="auto"/>
        <w:ind w:firstLine="709"/>
        <w:jc w:val="both"/>
      </w:pPr>
      <w:r>
        <w:rPr>
          <w:rFonts w:ascii="Arial" w:eastAsia="Arial" w:hAnsi="Arial" w:cs="Arial"/>
          <w:color w:val="000000"/>
          <w:sz w:val="24"/>
          <w:szCs w:val="24"/>
        </w:rPr>
        <w:t xml:space="preserve">Cuando la violación es determinante, la conservación del resultado deja de proteger el voto y pasa a proteger el efecto de la violación. El estándar debe permitir distinguir ambos supuestos con un grado de corroboración explícito. El tercer bien en juego suele formularse como estabilidad institucional. Esa formulación requiere precisión, porque la estabilidad no es por sí misma un principio constitucional de la materia electoral. La alternancia es un resultado posible de las elecciones y no un bien que el estándar deba proteger. La Constitución garantiza la renovación de los poderes mediante elecciones periódicas y la integración de los órganos en las fechas previstas. La reparación de las violaciones en el juicio de revisión constitucional electoral solo procede cuando sea material y jurídicamente posible antes de la instalación de los órganos o de la toma de posesión de los funcionarios electos.</w:t>
      </w:r>
      <w:r>
        <w:rPr>
          <w:rFonts w:ascii="Arial" w:eastAsia="Arial" w:hAnsi="Arial" w:cs="Arial"/>
          <w:color w:val="000000"/>
          <w:sz w:val="24"/>
          <w:szCs w:val="24"/>
          <w:vertAlign w:val="superscript"/>
        </w:rPr>
        <w:footnoteReference w:id="650"/>
      </w:r>
      <w:r>
        <w:rPr>
          <w:rFonts w:ascii="Arial" w:eastAsia="Arial" w:hAnsi="Arial" w:cs="Arial"/>
          <w:color w:val="000000"/>
          <w:sz w:val="24"/>
          <w:szCs w:val="24"/>
        </w:rPr>
        <w:t xml:space="preserve"> En consecuencia, el calendario constitucional condiciona la eficacia de cualquier decisión de nulidad.</w:t>
      </w:r>
    </w:p>
    <w:p>
      <w:pPr>
        <w:spacing w:before="0" w:after="0" w:line="360" w:lineRule="auto"/>
        <w:ind w:firstLine="709"/>
        <w:jc w:val="both"/>
      </w:pPr>
      <w:r>
        <w:rPr>
          <w:rFonts w:ascii="Arial" w:eastAsia="Arial" w:hAnsi="Arial" w:cs="Arial"/>
          <w:color w:val="000000"/>
          <w:sz w:val="24"/>
          <w:szCs w:val="24"/>
        </w:rPr>
        <w:t xml:space="preserve">Algunas fechas de instalación están fijadas en la propia Constitución, como el inicio del encargo presidencial el 1o. de octubre.</w:t>
      </w:r>
      <w:r>
        <w:rPr>
          <w:rFonts w:ascii="Arial" w:eastAsia="Arial" w:hAnsi="Arial" w:cs="Arial"/>
          <w:color w:val="000000"/>
          <w:sz w:val="24"/>
          <w:szCs w:val="24"/>
          <w:vertAlign w:val="superscript"/>
        </w:rPr>
        <w:footnoteReference w:id="651"/>
      </w:r>
      <w:r>
        <w:rPr>
          <w:rFonts w:ascii="Arial" w:eastAsia="Arial" w:hAnsi="Arial" w:cs="Arial"/>
          <w:color w:val="000000"/>
          <w:sz w:val="24"/>
          <w:szCs w:val="24"/>
        </w:rPr>
        <w:t xml:space="preserve"> En caso de nulidad, la Constitución ordena convocar a una elección extraordinaria, en la que no podrá participar la persona sancionada.</w:t>
      </w:r>
      <w:r>
        <w:rPr>
          <w:rFonts w:ascii="Arial" w:eastAsia="Arial" w:hAnsi="Arial" w:cs="Arial"/>
          <w:color w:val="000000"/>
          <w:sz w:val="24"/>
          <w:szCs w:val="24"/>
          <w:vertAlign w:val="superscript"/>
        </w:rPr>
        <w:footnoteReference w:id="652"/>
      </w:r>
      <w:r>
        <w:rPr>
          <w:rFonts w:ascii="Arial" w:eastAsia="Arial" w:hAnsi="Arial" w:cs="Arial"/>
          <w:color w:val="000000"/>
          <w:sz w:val="24"/>
          <w:szCs w:val="24"/>
        </w:rPr>
        <w:t xml:space="preserve"> El tercer bien puede reformularse, entonces, como la renovación ordenada y periódica de los órganos del poder público y la continuidad de su funcionamiento. Esa reformulación permite anclar el bien en el texto constitucional. La reformulación evita confundir ese bien con la preservación del resultado obtenido. La invocación de este bien exige, sin embargo, cautela. En su voto particular en el SUP-JIN-194/2025, el magistrado Rodríguez Mondragón sostuvo que, al validar la elección, la mayoría eligió priorizar una estabilidad institucional artificial sobre la integridad democrática.</w:t>
      </w:r>
      <w:r>
        <w:rPr>
          <w:rFonts w:ascii="Arial" w:eastAsia="Arial" w:hAnsi="Arial" w:cs="Arial"/>
          <w:color w:val="000000"/>
          <w:sz w:val="24"/>
          <w:szCs w:val="24"/>
          <w:vertAlign w:val="superscript"/>
        </w:rPr>
        <w:footnoteReference w:id="653"/>
      </w:r>
      <w:r>
        <w:rPr>
          <w:rFonts w:ascii="Arial" w:eastAsia="Arial" w:hAnsi="Arial" w:cs="Arial"/>
          <w:color w:val="000000"/>
          <w:sz w:val="24"/>
          <w:szCs w:val="24"/>
        </w:rPr>
        <w:t xml:space="preserve"> El magistrado añadió que la anulación no representaba una crisis institucional, porque la elección extraordinaria habría permitido corregir las deficiencias identificadas.</w:t>
      </w:r>
    </w:p>
    <w:p>
      <w:pPr>
        <w:spacing w:before="0" w:after="0" w:line="360" w:lineRule="auto"/>
        <w:ind w:firstLine="709"/>
        <w:jc w:val="both"/>
      </w:pPr>
      <w:r>
        <w:rPr>
          <w:rFonts w:ascii="Arial" w:eastAsia="Arial" w:hAnsi="Arial" w:cs="Arial"/>
          <w:color w:val="000000"/>
          <w:sz w:val="24"/>
          <w:szCs w:val="24"/>
        </w:rPr>
        <w:t xml:space="preserve">La crítica del magistrado muestra que la estabilidad puede operar como una razón implícita en favor de la validez, sin que se declare ni se pondere. La anulación de una elección limpia afecta la renovación ordenada, porque obliga a un proceso extraordinario y altera la integración prevista de los órganos. La validación de una elección viciada no afecta la continuidad formal. Esa validación integra, sin embargo, los órganos con un mandato de origen irregular por todo el periodo del encargo. Por tanto, el bien de la renovación ordenada pesa principalmente contra el falso positivo. Su peso no puede ser absoluto, porque el propio constituyente previó la elección extraordinaria como consecuencia ordinaria de la nulidad. Los tres bienes identificados permiten caracterizar los dos errores que un estándar electoral debe distribuir. Esa caracterización debe hacerse desde la perspectiva de la hipótesis que sostiene el actor.</w:t>
      </w:r>
    </w:p>
    <w:p>
      <w:pPr>
        <w:spacing w:before="0" w:after="0" w:line="360" w:lineRule="auto"/>
        <w:ind w:firstLine="709"/>
        <w:jc w:val="both"/>
      </w:pPr>
      <w:r>
        <w:rPr>
          <w:rFonts w:ascii="Arial" w:eastAsia="Arial" w:hAnsi="Arial" w:cs="Arial"/>
          <w:color w:val="000000"/>
          <w:sz w:val="24"/>
          <w:szCs w:val="24"/>
        </w:rPr>
        <w:t xml:space="preserve">El primer error consiste en declarar válida una elección que, en realidad, estuvo viciada por irregularidades determinantes. Desde la perspectiva de la hipótesis del actor, ese error es un falso negativo, porque se tiene por no probada una hipótesis verdadera. Ese error compromete la certeza en su dimensión de fidelidad del resultado y el derecho al voto de quienes sufragaron en condiciones viciadas. El mismo error afecta a las candidaturas que compitieron conforme a las reglas y a la ciudadanía que queda sujeta a un mandato de origen irregular. El segundo error consiste en anular una elección que, en realidad, fue limpia. Ese error es un falso positivo, porque se tiene por probada una hipótesis falsa. Ese error compromete la renovación ordenada de los órganos, la certeza en sus dos dimensiones y el derecho al voto de la mayoría que sufragó válidamente, incluidos quienes votaron por la opción ganadora. En consecuencia, cada error lesiona bienes constitucionales de primer orden.</w:t>
      </w:r>
    </w:p>
    <w:p>
      <w:pPr>
        <w:spacing w:before="0" w:after="0" w:line="360" w:lineRule="auto"/>
        <w:ind w:firstLine="709"/>
        <w:jc w:val="both"/>
      </w:pPr>
      <w:r>
        <w:rPr>
          <w:rFonts w:ascii="Arial" w:eastAsia="Arial" w:hAnsi="Arial" w:cs="Arial"/>
          <w:color w:val="000000"/>
          <w:sz w:val="24"/>
          <w:szCs w:val="24"/>
        </w:rPr>
        <w:t xml:space="preserve">La caracterización muestra que los costes de ambos errores recaen, en buena medida, sobre los mismos sujetos. La ciudadanía resulta afectada tanto si se anulan sus votos válidos como si se valida un resultado que no expresa su voluntad libre. En el proceso penal, en cambio, cada error recae sobre sujetos distintos, el acusado o bien las víctimas y la sociedad. En el proceso civil, a diferencia de la materia electoral, los costes recaen principalmente sobre las partes. En la nulidad de elecciones, el mismo bien, que es el voto de la ciudadanía, se encuentra en ambos lados de la balanza. Por ello la distribución del riesgo no puede resolverse identificando una parte débil a la que deba protegerse, como ocurre con el acusado en materia penal. Esa distribución debe resolverse comparando la intensidad con que cada error afecta los mismos bienes. Esa comparación es la que el estándar electoral debe expresar.</w:t>
      </w:r>
    </w:p>
    <w:p>
      <w:pPr>
        <w:spacing w:before="0" w:after="0" w:line="360" w:lineRule="auto"/>
        <w:ind w:firstLine="709"/>
        <w:jc w:val="both"/>
      </w:pPr>
      <w:r>
        <w:rPr>
          <w:rFonts w:ascii="Arial" w:eastAsia="Arial" w:hAnsi="Arial" w:cs="Arial"/>
          <w:color w:val="000000"/>
          <w:sz w:val="24"/>
          <w:szCs w:val="24"/>
        </w:rPr>
        <w:t xml:space="preserve">En materia penal existe una preferencia ampliamente compartida por evitar la condena de un inocente. Laudan llama doctrina de distribución del error al estándar, la presunción de inocencia, el beneficio de la duda y la carga de la acusación.</w:t>
      </w:r>
      <w:r>
        <w:rPr>
          <w:rFonts w:ascii="Arial" w:eastAsia="Arial" w:hAnsi="Arial" w:cs="Arial"/>
          <w:color w:val="000000"/>
          <w:sz w:val="24"/>
          <w:szCs w:val="24"/>
          <w:vertAlign w:val="superscript"/>
        </w:rPr>
        <w:footnoteReference w:id="654"/>
      </w:r>
      <w:r>
        <w:rPr>
          <w:rFonts w:ascii="Arial" w:eastAsia="Arial" w:hAnsi="Arial" w:cs="Arial"/>
          <w:color w:val="000000"/>
          <w:sz w:val="24"/>
          <w:szCs w:val="24"/>
        </w:rPr>
        <w:t xml:space="preserve"> Según el autor, todas esas reglas están diseñadas para que los errores que se produzcan sean predominantemente absoluciones falsas. El </w:t>
      </w:r>
      <w:r>
        <w:rPr>
          <w:rFonts w:ascii="Arial" w:eastAsia="Arial" w:hAnsi="Arial" w:cs="Arial"/>
          <w:i/>
          <w:iCs/>
          <w:color w:val="000000"/>
          <w:sz w:val="24"/>
          <w:szCs w:val="24"/>
        </w:rPr>
        <w:t xml:space="preserve">Código Nacional de Procedimientos Penales</w:t>
      </w:r>
      <w:r>
        <w:rPr>
          <w:rFonts w:ascii="Arial" w:eastAsia="Arial" w:hAnsi="Arial" w:cs="Arial"/>
          <w:color w:val="000000"/>
          <w:sz w:val="24"/>
          <w:szCs w:val="24"/>
        </w:rPr>
        <w:t xml:space="preserve"> expresa esa preferencia al exigir, para condenar, la convicción de la culpabilidad más allá de toda duda razonable.</w:t>
      </w:r>
      <w:r>
        <w:rPr>
          <w:rFonts w:ascii="Arial" w:eastAsia="Arial" w:hAnsi="Arial" w:cs="Arial"/>
          <w:color w:val="000000"/>
          <w:sz w:val="24"/>
          <w:szCs w:val="24"/>
          <w:vertAlign w:val="superscript"/>
        </w:rPr>
        <w:footnoteReference w:id="655"/>
      </w:r>
      <w:r>
        <w:rPr>
          <w:rFonts w:ascii="Arial" w:eastAsia="Arial" w:hAnsi="Arial" w:cs="Arial"/>
          <w:color w:val="000000"/>
          <w:sz w:val="24"/>
          <w:szCs w:val="24"/>
        </w:rPr>
        <w:t xml:space="preserve"> Ferrer Beltrán advierte que ese enfoque suele atender solo a las condenas falsas y desconocer que las absoluciones falsas son igualmente errores.</w:t>
      </w:r>
      <w:r>
        <w:rPr>
          <w:rFonts w:ascii="Arial" w:eastAsia="Arial" w:hAnsi="Arial" w:cs="Arial"/>
          <w:color w:val="000000"/>
          <w:sz w:val="24"/>
          <w:szCs w:val="24"/>
          <w:vertAlign w:val="superscript"/>
        </w:rPr>
        <w:footnoteReference w:id="656"/>
      </w:r>
      <w:r>
        <w:rPr>
          <w:rFonts w:ascii="Arial" w:eastAsia="Arial" w:hAnsi="Arial" w:cs="Arial"/>
          <w:color w:val="000000"/>
          <w:sz w:val="24"/>
          <w:szCs w:val="24"/>
        </w:rPr>
        <w:t xml:space="preserve"> Con todo, la preferencia penal está declarada y cuenta con un respaldo doctrinal y normativo reconocible. El contencioso electoral no cuenta con una preferencia análoga formulada con esa claridad. Esa diferencia no significa que el ordenamiento electoral sea indiferente entre los errores, sino que su preferencia no ha sido declarada ni medida.</w:t>
      </w:r>
    </w:p>
    <w:p>
      <w:pPr>
        <w:spacing w:before="0" w:after="0" w:line="360" w:lineRule="auto"/>
        <w:ind w:firstLine="709"/>
        <w:jc w:val="both"/>
      </w:pPr>
      <w:r>
        <w:rPr>
          <w:rFonts w:ascii="Arial" w:eastAsia="Arial" w:hAnsi="Arial" w:cs="Arial"/>
          <w:color w:val="000000"/>
          <w:sz w:val="24"/>
          <w:szCs w:val="24"/>
        </w:rPr>
        <w:t xml:space="preserve">El ordenamiento electoral contiene, en realidad, una preferencia implícita por la validez. La jurisprudencia 9/98 exige que las causales se acrediten plenamente y sean determinantes, con el fin de proteger el voto válidamente emitido. La carga de la prueba corresponde a quien afirma, que en el juicio de nulidad es quien impugna.</w:t>
      </w:r>
      <w:r>
        <w:rPr>
          <w:rFonts w:ascii="Arial" w:eastAsia="Arial" w:hAnsi="Arial" w:cs="Arial"/>
          <w:color w:val="000000"/>
          <w:sz w:val="24"/>
          <w:szCs w:val="24"/>
          <w:vertAlign w:val="superscript"/>
        </w:rPr>
        <w:footnoteReference w:id="657"/>
      </w:r>
      <w:r>
        <w:rPr>
          <w:rFonts w:ascii="Arial" w:eastAsia="Arial" w:hAnsi="Arial" w:cs="Arial"/>
          <w:color w:val="000000"/>
          <w:sz w:val="24"/>
          <w:szCs w:val="24"/>
        </w:rPr>
        <w:t xml:space="preserve"> La Constitución exige que las violaciones graves, dolosas y determinantes se acrediten de manera objetiva y material.</w:t>
      </w:r>
      <w:r>
        <w:rPr>
          <w:rFonts w:ascii="Arial" w:eastAsia="Arial" w:hAnsi="Arial" w:cs="Arial"/>
          <w:color w:val="000000"/>
          <w:sz w:val="24"/>
          <w:szCs w:val="24"/>
          <w:vertAlign w:val="superscript"/>
        </w:rPr>
        <w:footnoteReference w:id="658"/>
      </w:r>
      <w:r>
        <w:rPr>
          <w:rFonts w:ascii="Arial" w:eastAsia="Arial" w:hAnsi="Arial" w:cs="Arial"/>
          <w:color w:val="000000"/>
          <w:sz w:val="24"/>
          <w:szCs w:val="24"/>
        </w:rPr>
        <w:t xml:space="preserve"> En sentido contrario, la misma disposición presume que las violaciones son determinantes cuando la diferencia entre el primero y el segundo lugar es menor al cinco por ciento. Ninguna regla indica cuánto riesgo de validar una elección viciada es tolerable para no anular una limpia. La ley de medios remite la prueba plena de los medios distintos de las documentales públicas a la convicción del órgano competente.</w:t>
      </w:r>
      <w:r>
        <w:rPr>
          <w:rFonts w:ascii="Arial" w:eastAsia="Arial" w:hAnsi="Arial" w:cs="Arial"/>
          <w:color w:val="000000"/>
          <w:sz w:val="24"/>
          <w:szCs w:val="24"/>
          <w:vertAlign w:val="superscript"/>
        </w:rPr>
        <w:footnoteReference w:id="659"/>
      </w:r>
      <w:r>
        <w:rPr>
          <w:rFonts w:ascii="Arial" w:eastAsia="Arial" w:hAnsi="Arial" w:cs="Arial"/>
          <w:color w:val="000000"/>
          <w:sz w:val="24"/>
          <w:szCs w:val="24"/>
        </w:rPr>
        <w:t xml:space="preserve"> En consecuencia, la medida de la preferencia queda librada al juzgador de cada caso, que es precisamente lo que un estándar explícito debería evitar.</w:t>
      </w:r>
    </w:p>
    <w:p>
      <w:pPr>
        <w:spacing w:before="0" w:after="0" w:line="360" w:lineRule="auto"/>
        <w:ind w:firstLine="709"/>
        <w:jc w:val="both"/>
      </w:pPr>
      <w:r>
        <w:rPr>
          <w:rFonts w:ascii="Arial" w:eastAsia="Arial" w:hAnsi="Arial" w:cs="Arial"/>
          <w:color w:val="000000"/>
          <w:sz w:val="24"/>
          <w:szCs w:val="24"/>
        </w:rPr>
        <w:t xml:space="preserve">La ausencia de una preferencia declarada es el vacío que un estándar electoral explícito debería llenar. Ferrer Beltrán sostiene que el debido proceso exige que el legislador determine, para cada tipo de casos, el umbral de suficiencia probatoria, aunque no exige ninguno en particular.</w:t>
      </w:r>
      <w:r>
        <w:rPr>
          <w:rFonts w:ascii="Arial" w:eastAsia="Arial" w:hAnsi="Arial" w:cs="Arial"/>
          <w:color w:val="000000"/>
          <w:sz w:val="24"/>
          <w:szCs w:val="24"/>
          <w:vertAlign w:val="superscript"/>
        </w:rPr>
        <w:footnoteReference w:id="660"/>
      </w:r>
      <w:r>
        <w:rPr>
          <w:rFonts w:ascii="Arial" w:eastAsia="Arial" w:hAnsi="Arial" w:cs="Arial"/>
          <w:color w:val="000000"/>
          <w:sz w:val="24"/>
          <w:szCs w:val="24"/>
        </w:rPr>
        <w:t xml:space="preserve"> Por tanto, la decisión sobre la preferencia entre los errores electorales corresponde al legislador y debe expresarse en términos de corroboración y no de convicción. Los tres bienes identificados son los insumos de esa decisión. La certeza obliga a considerar tanto la fidelidad como la firmeza del resultado. El derecho al voto aparece en ambos lados de la balanza y obliga a comparar la intensidad de cada afectación. La renovación ordenada pesa contra el falso positivo, pero su peso está limitado por la previsión constitucional de la elección extraordinaria. Estos tres bienes y estos dos errores constituyen los insumos directos para formular un estándar de prueba electoral de fuente legal.</w:t>
      </w:r>
    </w:p>
    <w:p>
      <w:pPr>
        <w:spacing w:before="0" w:after="0" w:line="360" w:lineRule="auto"/>
      </w:pPr>
      <w:r>
        <w:br w:type="page"/>
      </w:r>
    </w:p>
    <w:p>
      <w:pPr>
        <w:spacing w:before="0" w:after="0" w:line="360" w:lineRule="auto"/>
        <w:jc w:val="left"/>
      </w:pPr>
    </w:p>
    <w:p>
      <w:pPr>
        <w:spacing w:before="0" w:after="0" w:line="360" w:lineRule="auto"/>
        <w:jc w:val="left"/>
      </w:pPr>
    </w:p>
    <w:p>
      <w:pPr>
        <w:spacing w:before="0" w:after="0" w:line="360" w:lineRule="auto"/>
        <w:jc w:val="left"/>
      </w:pPr>
    </w:p>
    <w:p>
      <w:pPr>
        <w:spacing w:before="0" w:after="0" w:line="360" w:lineRule="auto"/>
        <w:jc w:val="left"/>
      </w:pPr>
    </w:p>
    <w:p>
      <w:pPr>
        <w:spacing w:before="0" w:after="0" w:line="360" w:lineRule="auto"/>
        <w:jc w:val="left"/>
      </w:pPr>
    </w:p>
    <w:p>
      <w:pPr>
        <w:pStyle w:val="Ttulo1"/>
        <w:keepNext/>
        <w:spacing w:before="0" w:after="0" w:line="360" w:lineRule="auto"/>
        <w:jc w:val="center"/>
      </w:pPr>
      <w:bookmarkStart w:id="822" w:name="_Toc9000022"/>
      <w:r>
        <w:rPr>
          <w:rFonts w:ascii="Arial" w:eastAsia="Arial" w:hAnsi="Arial" w:cs="Arial"/>
          <w:b/>
          <w:bCs/>
          <w:color w:val="000000"/>
          <w:sz w:val="24"/>
          <w:szCs w:val="24"/>
        </w:rPr>
        <w:t xml:space="preserve">Capítulo V</w:t>
      </w:r>
      <w:r>
        <w:rPr>
          <w:rFonts w:ascii="Arial" w:eastAsia="Arial" w:hAnsi="Arial" w:cs="Arial"/>
          <w:b/>
          <w:bCs/>
          <w:color w:val="000000"/>
          <w:sz w:val="24"/>
          <w:szCs w:val="24"/>
        </w:rPr>
        <w:br/>
      </w:r>
      <w:r>
        <w:rPr>
          <w:rFonts w:ascii="Arial" w:eastAsia="Arial" w:hAnsi="Arial" w:cs="Arial"/>
          <w:b/>
          <w:bCs/>
          <w:color w:val="000000"/>
          <w:sz w:val="24"/>
          <w:szCs w:val="24"/>
        </w:rPr>
        <w:t xml:space="preserve">Propuesta de diseño legislativo de un estándar de prueba para el contencioso electoral mexicano</w:t>
      </w:r>
      <w:bookmarkEnd w:id="822"/>
    </w:p>
    <w:p>
      <w:pPr>
        <w:spacing w:before="0" w:after="0" w:line="360" w:lineRule="auto"/>
        <w:jc w:val="left"/>
      </w:pPr>
    </w:p>
    <w:p>
      <w:pPr>
        <w:spacing w:before="0" w:after="0" w:line="360" w:lineRule="auto"/>
        <w:ind w:left="567" w:right="567"/>
        <w:jc w:val="both"/>
      </w:pPr>
      <w:r>
        <w:rPr>
          <w:rFonts w:ascii="Arial" w:eastAsia="Arial" w:hAnsi="Arial" w:cs="Arial"/>
          <w:smallCaps/>
          <w:color w:val="000000"/>
          <w:sz w:val="22"/>
          <w:szCs w:val="22"/>
        </w:rPr>
        <w:t xml:space="preserve">Sumario</w:t>
      </w:r>
      <w:r>
        <w:rPr>
          <w:rFonts w:ascii="Arial" w:eastAsia="Arial" w:hAnsi="Arial" w:cs="Arial"/>
          <w:color w:val="000000"/>
          <w:sz w:val="22"/>
          <w:szCs w:val="22"/>
        </w:rPr>
        <w:t xml:space="preserve">: </w:t>
      </w:r>
      <w:r>
        <w:rPr>
          <w:rFonts w:ascii="Arial" w:eastAsia="Arial" w:hAnsi="Arial" w:cs="Arial"/>
          <w:color w:val="000000"/>
          <w:sz w:val="22"/>
          <w:szCs w:val="22"/>
        </w:rPr>
        <w:t xml:space="preserve">5.1. </w:t>
      </w:r>
      <w:r>
        <w:rPr>
          <w:rFonts w:ascii="Arial" w:eastAsia="Arial" w:hAnsi="Arial" w:cs="Arial"/>
          <w:i/>
          <w:iCs/>
          <w:color w:val="000000"/>
          <w:sz w:val="22"/>
          <w:szCs w:val="22"/>
        </w:rPr>
        <w:t xml:space="preserve">Criterios para la reforma del artículo 16 de la LGSMIME</w:t>
      </w:r>
      <w:r>
        <w:rPr>
          <w:rFonts w:ascii="Arial" w:eastAsia="Arial" w:hAnsi="Arial" w:cs="Arial"/>
          <w:color w:val="000000"/>
          <w:sz w:val="22"/>
          <w:szCs w:val="22"/>
        </w:rPr>
        <w:t xml:space="preserve">. </w:t>
      </w:r>
      <w:r>
        <w:rPr>
          <w:rFonts w:ascii="Arial" w:eastAsia="Arial" w:hAnsi="Arial" w:cs="Arial"/>
          <w:color w:val="000000"/>
          <w:sz w:val="22"/>
          <w:szCs w:val="22"/>
        </w:rPr>
        <w:t xml:space="preserve">5.2. </w:t>
      </w:r>
      <w:r>
        <w:rPr>
          <w:rFonts w:ascii="Arial" w:eastAsia="Arial" w:hAnsi="Arial" w:cs="Arial"/>
          <w:i/>
          <w:iCs/>
          <w:color w:val="000000"/>
          <w:sz w:val="22"/>
          <w:szCs w:val="22"/>
        </w:rPr>
        <w:t xml:space="preserve">Formulación del estándar de prueba propuesto</w:t>
      </w:r>
      <w:r>
        <w:rPr>
          <w:rFonts w:ascii="Arial" w:eastAsia="Arial" w:hAnsi="Arial" w:cs="Arial"/>
          <w:color w:val="000000"/>
          <w:sz w:val="22"/>
          <w:szCs w:val="22"/>
        </w:rPr>
        <w:t xml:space="preserve">. </w:t>
      </w:r>
      <w:r>
        <w:rPr>
          <w:rFonts w:ascii="Arial" w:eastAsia="Arial" w:hAnsi="Arial" w:cs="Arial"/>
          <w:color w:val="000000"/>
          <w:sz w:val="22"/>
          <w:szCs w:val="22"/>
        </w:rPr>
        <w:t xml:space="preserve">5.3. </w:t>
      </w:r>
      <w:r>
        <w:rPr>
          <w:rFonts w:ascii="Arial" w:eastAsia="Arial" w:hAnsi="Arial" w:cs="Arial"/>
          <w:i/>
          <w:iCs/>
          <w:color w:val="000000"/>
          <w:sz w:val="22"/>
          <w:szCs w:val="22"/>
        </w:rPr>
        <w:t xml:space="preserve">Compatibilidad del estándar propuesto con la naturaleza indiciaria de la prueba electoral</w:t>
      </w:r>
      <w:r>
        <w:rPr>
          <w:rFonts w:ascii="Arial" w:eastAsia="Arial" w:hAnsi="Arial" w:cs="Arial"/>
          <w:color w:val="000000"/>
          <w:sz w:val="22"/>
          <w:szCs w:val="22"/>
        </w:rPr>
        <w:t xml:space="preserve">.</w:t>
      </w:r>
    </w:p>
    <w:p>
      <w:pPr>
        <w:spacing w:before="0" w:after="0" w:line="360" w:lineRule="auto"/>
        <w:jc w:val="left"/>
      </w:pPr>
    </w:p>
    <w:p>
      <w:pPr>
        <w:spacing w:before="0" w:after="0" w:line="360" w:lineRule="auto"/>
        <w:ind w:firstLine="0"/>
        <w:jc w:val="both"/>
      </w:pPr>
      <w:r>
        <w:rPr>
          <w:rFonts w:ascii="Arial" w:eastAsia="Arial" w:hAnsi="Arial" w:cs="Arial"/>
          <w:color w:val="000000"/>
          <w:sz w:val="24"/>
          <w:szCs w:val="24"/>
        </w:rPr>
        <w:t xml:space="preserve">El contencioso electoral mexicano tiene bienes en juego propios y dos tipos de error que un estándar de prueba electoral debe distribuir de manera consciente. Esos hallazgos se traducen aquí en una propuesta concreta de diseño legislativo para el artículo 16 de la LGSMIME. La propuesta expone primero los criterios que debe satisfacer cualquier reforma a ese artículo para superar la cláusula mixta. Sobre esa base se formula el estándar de prueba propuesto en sus propios términos. El examen de la compatibilidad de ese estándar con la naturaleza indiciaria de la prueba electoral cierra el argumento central de la investigación. La propuesta añade a la valoración racional de la prueba la regla de suficiencia de la que hoy carece. Su fundamento metodológico es la teoría de los estándares de prueba de Ferrer Beltrán, aplicada a los bienes y costes del error propios de la materia electoral. En consecuencia, la propuesta completa el tránsito del diagnóstico a la construcción normativa.</w:t>
      </w:r>
    </w:p>
    <w:p>
      <w:pPr>
        <w:spacing w:before="0" w:after="0" w:line="360" w:lineRule="auto"/>
        <w:jc w:val="left"/>
      </w:pPr>
    </w:p>
    <w:p>
      <w:pPr>
        <w:pStyle w:val="Ttulo2"/>
        <w:keepNext/>
        <w:spacing w:before="0" w:after="0" w:line="360" w:lineRule="auto"/>
        <w:ind w:left="567" w:hanging="284"/>
        <w:jc w:val="left"/>
      </w:pPr>
      <w:bookmarkStart w:id="823" w:name="_Toc9000023"/>
      <w:r>
        <w:rPr>
          <w:rFonts w:ascii="Arial" w:eastAsia="Arial" w:hAnsi="Arial" w:cs="Arial"/>
          <w:color w:val="000000"/>
          <w:sz w:val="24"/>
          <w:szCs w:val="24"/>
        </w:rPr>
        <w:t xml:space="preserve">5.1. </w:t>
      </w:r>
      <w:r>
        <w:rPr>
          <w:rFonts w:ascii="Arial" w:eastAsia="Arial" w:hAnsi="Arial" w:cs="Arial"/>
          <w:i/>
          <w:iCs/>
          <w:color w:val="000000"/>
          <w:sz w:val="24"/>
          <w:szCs w:val="24"/>
        </w:rPr>
        <w:t xml:space="preserve">Criterios para la reforma del artículo 16 de la LGSMIME</w:t>
      </w:r>
      <w:bookmarkEnd w:id="823"/>
    </w:p>
    <w:p>
      <w:pPr>
        <w:spacing w:before="0" w:after="0" w:line="360" w:lineRule="auto"/>
        <w:jc w:val="left"/>
      </w:pPr>
    </w:p>
    <w:p>
      <w:pPr>
        <w:spacing w:before="0" w:after="0" w:line="360" w:lineRule="auto"/>
        <w:ind w:firstLine="0"/>
        <w:jc w:val="both"/>
      </w:pPr>
      <w:r>
        <w:rPr>
          <w:rFonts w:ascii="Arial" w:eastAsia="Arial" w:hAnsi="Arial" w:cs="Arial"/>
          <w:color w:val="000000"/>
          <w:sz w:val="24"/>
          <w:szCs w:val="24"/>
        </w:rPr>
        <w:t xml:space="preserve">El artículo 16 de la ley de medios contiene hoy tres disposiciones sobre la valoración de la prueba. Su párrafo 1 ordena valorar los medios de prueba conforme a las reglas de la lógica, de la sana crítica y de la experiencia.</w:t>
      </w:r>
      <w:r>
        <w:rPr>
          <w:rFonts w:ascii="Arial" w:eastAsia="Arial" w:hAnsi="Arial" w:cs="Arial"/>
          <w:color w:val="000000"/>
          <w:sz w:val="24"/>
          <w:szCs w:val="24"/>
          <w:vertAlign w:val="superscript"/>
        </w:rPr>
        <w:footnoteReference w:id="661"/>
      </w:r>
      <w:r>
        <w:rPr>
          <w:rFonts w:ascii="Arial" w:eastAsia="Arial" w:hAnsi="Arial" w:cs="Arial"/>
          <w:color w:val="000000"/>
          <w:sz w:val="24"/>
          <w:szCs w:val="24"/>
        </w:rPr>
        <w:t xml:space="preserve"> Su párrafo 2 concede valor probatorio pleno a las documentales públicas, salvo prueba en contrario. Su párrafo 3 exige, para la prueba plena de los demás medios, que el expediente genere convicción en el órgano. Ninguna de esas disposiciones indica cuánto apoyo probatorio basta para tener por acreditada una irregularidad electoral. Por tanto, toda propuesta de reforma debe satisfacer los requisitos que la teoría exige para que una regla sea, en sentido propio, un estándar de prueba. Ferrer Beltrán identifica cuatro requisitos metodológicos, que se presuponen aplicables a una regla general y abstracta.</w:t>
      </w:r>
      <w:r>
        <w:rPr>
          <w:rFonts w:ascii="Arial" w:eastAsia="Arial" w:hAnsi="Arial" w:cs="Arial"/>
          <w:color w:val="000000"/>
          <w:sz w:val="24"/>
          <w:szCs w:val="24"/>
          <w:vertAlign w:val="superscript"/>
        </w:rPr>
        <w:footnoteReference w:id="662"/>
      </w:r>
      <w:r>
        <w:rPr>
          <w:rFonts w:ascii="Arial" w:eastAsia="Arial" w:hAnsi="Arial" w:cs="Arial"/>
          <w:color w:val="000000"/>
          <w:sz w:val="24"/>
          <w:szCs w:val="24"/>
        </w:rPr>
        <w:t xml:space="preserve"> Un quinto criterio deriva de la distribución del riesgo del error electoral.</w:t>
      </w:r>
    </w:p>
    <w:p>
      <w:pPr>
        <w:spacing w:before="0" w:after="0" w:line="360" w:lineRule="auto"/>
        <w:ind w:firstLine="709"/>
        <w:jc w:val="both"/>
      </w:pPr>
      <w:r>
        <w:rPr>
          <w:rFonts w:ascii="Arial" w:eastAsia="Arial" w:hAnsi="Arial" w:cs="Arial"/>
          <w:color w:val="000000"/>
          <w:sz w:val="24"/>
          <w:szCs w:val="24"/>
        </w:rPr>
        <w:t xml:space="preserve">El primer criterio consiste en suprimir la apelación a la convicción del juzgador. El primer requisito metodológico exige que el estándar apele a criterios relativos a la capacidad justificativa del acervo probatorio respecto de las hipótesis en conflicto.</w:t>
      </w:r>
      <w:r>
        <w:rPr>
          <w:rFonts w:ascii="Arial" w:eastAsia="Arial" w:hAnsi="Arial" w:cs="Arial"/>
          <w:color w:val="000000"/>
          <w:sz w:val="24"/>
          <w:szCs w:val="24"/>
          <w:vertAlign w:val="superscript"/>
        </w:rPr>
        <w:footnoteReference w:id="663"/>
      </w:r>
      <w:r>
        <w:rPr>
          <w:rFonts w:ascii="Arial" w:eastAsia="Arial" w:hAnsi="Arial" w:cs="Arial"/>
          <w:color w:val="000000"/>
          <w:sz w:val="24"/>
          <w:szCs w:val="24"/>
        </w:rPr>
        <w:t xml:space="preserve"> Esa exigencia excluye cualquier formulación que remita a estados mentales o psicológicos del juzgador. Ferrer Beltrán ofrece ejemplos legislativos que incumplen el requisito. Uno es el artículo 402 del </w:t>
      </w:r>
      <w:r>
        <w:rPr>
          <w:rFonts w:ascii="Arial" w:eastAsia="Arial" w:hAnsi="Arial" w:cs="Arial"/>
          <w:i/>
          <w:iCs/>
          <w:color w:val="000000"/>
          <w:sz w:val="24"/>
          <w:szCs w:val="24"/>
        </w:rPr>
        <w:t xml:space="preserve">Código Nacional de Procedimientos Penales</w:t>
      </w:r>
      <w:r>
        <w:rPr>
          <w:rFonts w:ascii="Arial" w:eastAsia="Arial" w:hAnsi="Arial" w:cs="Arial"/>
          <w:color w:val="000000"/>
          <w:sz w:val="24"/>
          <w:szCs w:val="24"/>
        </w:rPr>
        <w:t xml:space="preserve">, que exige la convicción del tribunal más allá de toda duda razonable.</w:t>
      </w:r>
      <w:r>
        <w:rPr>
          <w:rFonts w:ascii="Arial" w:eastAsia="Arial" w:hAnsi="Arial" w:cs="Arial"/>
          <w:color w:val="000000"/>
          <w:sz w:val="24"/>
          <w:szCs w:val="24"/>
          <w:vertAlign w:val="superscript"/>
        </w:rPr>
        <w:footnoteReference w:id="664"/>
      </w:r>
      <w:r>
        <w:rPr>
          <w:rFonts w:ascii="Arial" w:eastAsia="Arial" w:hAnsi="Arial" w:cs="Arial"/>
          <w:color w:val="000000"/>
          <w:sz w:val="24"/>
          <w:szCs w:val="24"/>
        </w:rPr>
        <w:t xml:space="preserve"> El párrafo 3 del artículo 16 de la ley de medios incurre en el mismo defecto, porque hace depender la prueba plena de que los elementos del expediente generen convicción en el órgano competente. El autor precisa que los criterios del estándar deben referirse a cuánto apoya objetivamente el acervo probatorio a cada hipótesis.</w:t>
      </w:r>
      <w:r>
        <w:rPr>
          <w:rFonts w:ascii="Arial" w:eastAsia="Arial" w:hAnsi="Arial" w:cs="Arial"/>
          <w:color w:val="000000"/>
          <w:sz w:val="24"/>
          <w:szCs w:val="24"/>
          <w:vertAlign w:val="superscript"/>
        </w:rPr>
        <w:footnoteReference w:id="665"/>
      </w:r>
      <w:r>
        <w:rPr>
          <w:rFonts w:ascii="Arial" w:eastAsia="Arial" w:hAnsi="Arial" w:cs="Arial"/>
          <w:color w:val="000000"/>
          <w:sz w:val="24"/>
          <w:szCs w:val="24"/>
        </w:rPr>
        <w:t xml:space="preserve"> Ese apoyo objetivo es el grado de corroboración que las hipótesis alcanzan a la luz de las pruebas.</w:t>
      </w:r>
    </w:p>
    <w:p>
      <w:pPr>
        <w:spacing w:before="0" w:after="0" w:line="360" w:lineRule="auto"/>
        <w:ind w:firstLine="709"/>
        <w:jc w:val="both"/>
      </w:pPr>
      <w:r>
        <w:rPr>
          <w:rFonts w:ascii="Arial" w:eastAsia="Arial" w:hAnsi="Arial" w:cs="Arial"/>
          <w:color w:val="000000"/>
          <w:sz w:val="24"/>
          <w:szCs w:val="24"/>
        </w:rPr>
        <w:t xml:space="preserve">La Primera Sala sostuvo un criterio compatible. La Primera Sala rechazó la interpretación psicológica de la duda asociada al principio de que la duda favorece al acusado. Según la Primera Sala, las concepciones subjetivistas impiden establecer objetivamente cuándo existe evidencia suficiente para tener por acreditada una hipótesis.</w:t>
      </w:r>
      <w:r>
        <w:rPr>
          <w:rFonts w:ascii="Arial" w:eastAsia="Arial" w:hAnsi="Arial" w:cs="Arial"/>
          <w:color w:val="000000"/>
          <w:sz w:val="24"/>
          <w:szCs w:val="24"/>
          <w:vertAlign w:val="superscript"/>
        </w:rPr>
        <w:footnoteReference w:id="666"/>
      </w:r>
      <w:r>
        <w:rPr>
          <w:rFonts w:ascii="Arial" w:eastAsia="Arial" w:hAnsi="Arial" w:cs="Arial"/>
          <w:color w:val="000000"/>
          <w:sz w:val="24"/>
          <w:szCs w:val="24"/>
        </w:rPr>
        <w:t xml:space="preserve"> Por tanto, la reforma debe sustituir la convicción por el grado de corroboración de la hipótesis. El segundo criterio consiste en fijar de manera explícita un umbral de suficiencia. El segundo requisito exige que los criterios del estándar cumplan la función de establecer un umbral de suficiencia probatoria a partir del cual una hipótesis deba considerarse probada.</w:t>
      </w:r>
      <w:r>
        <w:rPr>
          <w:rFonts w:ascii="Arial" w:eastAsia="Arial" w:hAnsi="Arial" w:cs="Arial"/>
          <w:color w:val="000000"/>
          <w:sz w:val="24"/>
          <w:szCs w:val="24"/>
          <w:vertAlign w:val="superscript"/>
        </w:rPr>
        <w:footnoteReference w:id="667"/>
      </w:r>
      <w:r>
        <w:rPr>
          <w:rFonts w:ascii="Arial" w:eastAsia="Arial" w:hAnsi="Arial" w:cs="Arial"/>
          <w:color w:val="000000"/>
          <w:sz w:val="24"/>
          <w:szCs w:val="24"/>
        </w:rPr>
        <w:t xml:space="preserve"> Según Ferrer Beltrán, la sana crítica no cumple el requisito, porque a lo sumo es un método y no un umbral.</w:t>
      </w:r>
      <w:r>
        <w:rPr>
          <w:rFonts w:ascii="Arial" w:eastAsia="Arial" w:hAnsi="Arial" w:cs="Arial"/>
          <w:color w:val="000000"/>
          <w:sz w:val="24"/>
          <w:szCs w:val="24"/>
          <w:vertAlign w:val="superscript"/>
        </w:rPr>
        <w:footnoteReference w:id="668"/>
      </w:r>
      <w:r>
        <w:rPr>
          <w:rFonts w:ascii="Arial" w:eastAsia="Arial" w:hAnsi="Arial" w:cs="Arial"/>
          <w:color w:val="000000"/>
          <w:sz w:val="24"/>
          <w:szCs w:val="24"/>
        </w:rPr>
        <w:t xml:space="preserve"> Las referencias a la inducción o al respeto de las leyes de la lógica y de la ciencia tampoco cumplen ese requisito.</w:t>
      </w:r>
    </w:p>
    <w:p>
      <w:pPr>
        <w:spacing w:before="0" w:after="0" w:line="360" w:lineRule="auto"/>
        <w:ind w:firstLine="709"/>
        <w:jc w:val="both"/>
      </w:pPr>
      <w:r>
        <w:rPr>
          <w:rFonts w:ascii="Arial" w:eastAsia="Arial" w:hAnsi="Arial" w:cs="Arial"/>
          <w:color w:val="000000"/>
          <w:sz w:val="24"/>
          <w:szCs w:val="24"/>
        </w:rPr>
        <w:t xml:space="preserve">El razonamiento probatorio debe respetar las leyes de la lógica y de la ciencia en todas las etapas del proceso. Las exigencias probatorias de cada etapa son y deben ser, sin embargo, distintas. Por ello no basta con decir que una decisión debe estar inductivamente justificada. El legislador debe determinar el umbral a partir del cual esa decisión se entenderá justificada. El párrafo 1 del artículo 16 cumple la función de fijar un método, pero no la de fijar un umbral. El autor reconoce que todo estándar formulado sin valores numéricos conserva un residuo de vaguedad propio del lenguaje ordinario.</w:t>
      </w:r>
      <w:r>
        <w:rPr>
          <w:rFonts w:ascii="Arial" w:eastAsia="Arial" w:hAnsi="Arial" w:cs="Arial"/>
          <w:color w:val="000000"/>
          <w:sz w:val="24"/>
          <w:szCs w:val="24"/>
          <w:vertAlign w:val="superscript"/>
        </w:rPr>
        <w:footnoteReference w:id="669"/>
      </w:r>
      <w:r>
        <w:rPr>
          <w:rFonts w:ascii="Arial" w:eastAsia="Arial" w:hAnsi="Arial" w:cs="Arial"/>
          <w:color w:val="000000"/>
          <w:sz w:val="24"/>
          <w:szCs w:val="24"/>
        </w:rPr>
        <w:t xml:space="preserve"> El requisito exige que el umbral se formule de la manera más precisa posible, de modo que los casos claros de cumplimiento o incumplimiento sean más numerosos y el margen de casos dudosos sea menor. En consecuencia, la reforma debe indicar qué resultado probatorio mínimo debe alcanzar la hipótesis de la irregularidad para tenerse por acreditada.</w:t>
      </w:r>
    </w:p>
    <w:p>
      <w:pPr>
        <w:spacing w:before="0" w:after="0" w:line="360" w:lineRule="auto"/>
        <w:ind w:firstLine="709"/>
        <w:jc w:val="both"/>
      </w:pPr>
      <w:r>
        <w:rPr>
          <w:rFonts w:ascii="Arial" w:eastAsia="Arial" w:hAnsi="Arial" w:cs="Arial"/>
          <w:color w:val="000000"/>
          <w:sz w:val="24"/>
          <w:szCs w:val="24"/>
        </w:rPr>
        <w:t xml:space="preserve">El tercer criterio consiste en formular el umbral en términos de probabilidad inductiva. El tercer requisito exige que el estándar utilice criterios cualitativos, propios de la probabilidad no matemática.</w:t>
      </w:r>
      <w:r>
        <w:rPr>
          <w:rFonts w:ascii="Arial" w:eastAsia="Arial" w:hAnsi="Arial" w:cs="Arial"/>
          <w:color w:val="000000"/>
          <w:sz w:val="24"/>
          <w:szCs w:val="24"/>
          <w:vertAlign w:val="superscript"/>
        </w:rPr>
        <w:footnoteReference w:id="670"/>
      </w:r>
      <w:r>
        <w:rPr>
          <w:rFonts w:ascii="Arial" w:eastAsia="Arial" w:hAnsi="Arial" w:cs="Arial"/>
          <w:color w:val="000000"/>
          <w:sz w:val="24"/>
          <w:szCs w:val="24"/>
        </w:rPr>
        <w:t xml:space="preserve"> Su fundamento no es una característica particular de la materia electoral, sino la naturaleza del razonamiento probatorio en general. Para Ferrer Beltrán, en una concepción racional el umbral debe reflejar el carácter probabilístico y epistémico del razonamiento.</w:t>
      </w:r>
      <w:r>
        <w:rPr>
          <w:rFonts w:ascii="Arial" w:eastAsia="Arial" w:hAnsi="Arial" w:cs="Arial"/>
          <w:color w:val="000000"/>
          <w:sz w:val="24"/>
          <w:szCs w:val="24"/>
          <w:vertAlign w:val="superscript"/>
        </w:rPr>
        <w:footnoteReference w:id="671"/>
      </w:r>
      <w:r>
        <w:rPr>
          <w:rFonts w:ascii="Arial" w:eastAsia="Arial" w:hAnsi="Arial" w:cs="Arial"/>
          <w:color w:val="000000"/>
          <w:sz w:val="24"/>
          <w:szCs w:val="24"/>
        </w:rPr>
        <w:t xml:space="preserve"> Por la misma razón el autor critica la exigencia de certeza como estándar de prueba, frecuente en los países de tradición romano-germánica. Siguiendo a Tillers, el autor considera contradictorio exigir una certeza práctica o moral y asumir al mismo tiempo que se decide en un contexto de incertidumbre.</w:t>
      </w:r>
      <w:r>
        <w:rPr>
          <w:rFonts w:ascii="Arial" w:eastAsia="Arial" w:hAnsi="Arial" w:cs="Arial"/>
          <w:color w:val="000000"/>
          <w:sz w:val="24"/>
          <w:szCs w:val="24"/>
          <w:vertAlign w:val="superscript"/>
        </w:rPr>
        <w:footnoteReference w:id="672"/>
      </w:r>
      <w:r>
        <w:rPr>
          <w:rFonts w:ascii="Arial" w:eastAsia="Arial" w:hAnsi="Arial" w:cs="Arial"/>
          <w:color w:val="000000"/>
          <w:sz w:val="24"/>
          <w:szCs w:val="24"/>
        </w:rPr>
        <w:t xml:space="preserve"> El autor descarta la probabilidad matemática, porque fuera de la estadística es arbitrario asignar números a hipótesis, testigos o documentos.</w:t>
      </w:r>
      <w:r>
        <w:rPr>
          <w:rFonts w:ascii="Arial" w:eastAsia="Arial" w:hAnsi="Arial" w:cs="Arial"/>
          <w:color w:val="000000"/>
          <w:sz w:val="24"/>
          <w:szCs w:val="24"/>
          <w:vertAlign w:val="superscript"/>
        </w:rPr>
        <w:footnoteReference w:id="673"/>
      </w:r>
      <w:r>
        <w:rPr>
          <w:rFonts w:ascii="Arial" w:eastAsia="Arial" w:hAnsi="Arial" w:cs="Arial"/>
          <w:color w:val="000000"/>
          <w:sz w:val="24"/>
          <w:szCs w:val="24"/>
        </w:rPr>
        <w:t xml:space="preserve"> Ese descarte no obliga a adoptar un modelo concreto de razonamiento.</w:t>
      </w:r>
    </w:p>
    <w:p>
      <w:pPr>
        <w:spacing w:before="0" w:after="0" w:line="360" w:lineRule="auto"/>
        <w:ind w:firstLine="709"/>
        <w:jc w:val="both"/>
      </w:pPr>
      <w:r>
        <w:rPr>
          <w:rFonts w:ascii="Arial" w:eastAsia="Arial" w:hAnsi="Arial" w:cs="Arial"/>
          <w:color w:val="000000"/>
          <w:sz w:val="24"/>
          <w:szCs w:val="24"/>
        </w:rPr>
        <w:t xml:space="preserve">Ferrer Beltrán precisa que su teoría no depende de adoptar un modelo concreto de razonamiento, sino solo de reconocer su carácter probabilístico no matemático.</w:t>
      </w:r>
      <w:r>
        <w:rPr>
          <w:rFonts w:ascii="Arial" w:eastAsia="Arial" w:hAnsi="Arial" w:cs="Arial"/>
          <w:color w:val="000000"/>
          <w:sz w:val="24"/>
          <w:szCs w:val="24"/>
          <w:vertAlign w:val="superscript"/>
        </w:rPr>
        <w:footnoteReference w:id="674"/>
      </w:r>
      <w:r>
        <w:rPr>
          <w:rFonts w:ascii="Arial" w:eastAsia="Arial" w:hAnsi="Arial" w:cs="Arial"/>
          <w:color w:val="000000"/>
          <w:sz w:val="24"/>
          <w:szCs w:val="24"/>
        </w:rPr>
        <w:t xml:space="preserve"> En el modelo que el autor expone, el grado de corroboración de una hipótesis depende de las predicciones verdaderas que permite formular. Ese grado depende igualmente de la improbabilidad de que otra hipótesis explique los mismos datos.</w:t>
      </w:r>
      <w:r>
        <w:rPr>
          <w:rFonts w:ascii="Arial" w:eastAsia="Arial" w:hAnsi="Arial" w:cs="Arial"/>
          <w:color w:val="000000"/>
          <w:sz w:val="24"/>
          <w:szCs w:val="24"/>
          <w:vertAlign w:val="superscript"/>
        </w:rPr>
        <w:footnoteReference w:id="675"/>
      </w:r>
      <w:r>
        <w:rPr>
          <w:rFonts w:ascii="Arial" w:eastAsia="Arial" w:hAnsi="Arial" w:cs="Arial"/>
          <w:color w:val="000000"/>
          <w:sz w:val="24"/>
          <w:szCs w:val="24"/>
        </w:rPr>
        <w:t xml:space="preserve"> Por tanto, la reforma debe formular el umbral con criterios de corroboración y refutación de hipótesis, sin recurrir a la certeza absoluta ni a porcentajes. Este criterio guarda una relación particular con la prueba electoral, aunque no deriva de ella. Las irregularidades que fundan la nulidad de una elección suelen acreditarse mediante indicios y no mediante pruebas directas. La Sala Superior reconoció en el SUP-JIN-194/2025 que resultaba poco probable que la parte actora obtuviera pruebas directas de cada hecho alegado y admitió la prueba indiciaria.</w:t>
      </w:r>
      <w:r>
        <w:rPr>
          <w:rFonts w:ascii="Arial" w:eastAsia="Arial" w:hAnsi="Arial" w:cs="Arial"/>
          <w:color w:val="000000"/>
          <w:sz w:val="24"/>
          <w:szCs w:val="24"/>
          <w:vertAlign w:val="superscript"/>
        </w:rPr>
        <w:footnoteReference w:id="676"/>
      </w:r>
      <w:r>
        <w:rPr>
          <w:rFonts w:ascii="Arial" w:eastAsia="Arial" w:hAnsi="Arial" w:cs="Arial"/>
          <w:color w:val="000000"/>
          <w:sz w:val="24"/>
          <w:szCs w:val="24"/>
        </w:rPr>
        <w:t xml:space="preserve"> Esa realidad probatoria confirma la conveniencia del tercer criterio.</w:t>
      </w:r>
    </w:p>
    <w:p>
      <w:pPr>
        <w:spacing w:before="0" w:after="0" w:line="360" w:lineRule="auto"/>
        <w:ind w:firstLine="709"/>
        <w:jc w:val="both"/>
      </w:pPr>
      <w:r>
        <w:rPr>
          <w:rFonts w:ascii="Arial" w:eastAsia="Arial" w:hAnsi="Arial" w:cs="Arial"/>
          <w:color w:val="000000"/>
          <w:sz w:val="24"/>
          <w:szCs w:val="24"/>
        </w:rPr>
        <w:t xml:space="preserve">Un estándar formulado en términos de corroboración inductiva se ajusta a la prueba indiciaria. Ese estándar permite valorar la convergencia de indicios y la eliminación de explicaciones alternativas. Un estándar formulado en términos de certeza haría prácticamente inalcanzable la acreditación de irregularidades encubiertas. Un estándar numérico exigiría asignar probabilidades a hechos singulares sin base estadística. La compatibilidad entre el estándar propuesto y la prueba indiciaria exige un examen propio al cierre de la propuesta. Basta señalar aquí que el tercer criterio es una exigencia general de todo estándar de prueba, con independencia de la materia en que se aplique. Esa exigencia general resulta especialmente relevante en la materia electoral, donde la prueba indirecta predomina. En consecuencia, el tercer criterio y la naturaleza de la prueba electoral apuntan en la misma dirección.</w:t>
      </w:r>
    </w:p>
    <w:p>
      <w:pPr>
        <w:spacing w:before="0" w:after="0" w:line="360" w:lineRule="auto"/>
        <w:ind w:firstLine="709"/>
        <w:jc w:val="both"/>
      </w:pPr>
      <w:r>
        <w:rPr>
          <w:rFonts w:ascii="Arial" w:eastAsia="Arial" w:hAnsi="Arial" w:cs="Arial"/>
          <w:color w:val="000000"/>
          <w:sz w:val="24"/>
          <w:szCs w:val="24"/>
        </w:rPr>
        <w:t xml:space="preserve">El cuarto criterio consiste en diferenciar los umbrales según las decisiones del contencioso electoral. El cuarto requisito exige que todo proceso cuente con diversos estándares, que fijen umbrales distintos y progresivos para las distintas decisiones sobre los hechos.</w:t>
      </w:r>
      <w:r>
        <w:rPr>
          <w:rFonts w:ascii="Arial" w:eastAsia="Arial" w:hAnsi="Arial" w:cs="Arial"/>
          <w:color w:val="000000"/>
          <w:sz w:val="24"/>
          <w:szCs w:val="24"/>
          <w:vertAlign w:val="superscript"/>
        </w:rPr>
        <w:footnoteReference w:id="677"/>
      </w:r>
      <w:r>
        <w:rPr>
          <w:rFonts w:ascii="Arial" w:eastAsia="Arial" w:hAnsi="Arial" w:cs="Arial"/>
          <w:color w:val="000000"/>
          <w:sz w:val="24"/>
          <w:szCs w:val="24"/>
        </w:rPr>
        <w:t xml:space="preserve"> La sentencia no es la única decisión probatoria, pues antes se decide sobre medidas cautelares o la apertura del juicio. El grado de exigencia de esos estándares debe seguir una tendencia ascendente, de modo que las decisiones intermedias exijan menos que la final.</w:t>
      </w:r>
      <w:r>
        <w:rPr>
          <w:rFonts w:ascii="Arial" w:eastAsia="Arial" w:hAnsi="Arial" w:cs="Arial"/>
          <w:color w:val="000000"/>
          <w:sz w:val="24"/>
          <w:szCs w:val="24"/>
          <w:vertAlign w:val="superscript"/>
        </w:rPr>
        <w:footnoteReference w:id="678"/>
      </w:r>
      <w:r>
        <w:rPr>
          <w:rFonts w:ascii="Arial" w:eastAsia="Arial" w:hAnsi="Arial" w:cs="Arial"/>
          <w:color w:val="000000"/>
          <w:sz w:val="24"/>
          <w:szCs w:val="24"/>
        </w:rPr>
        <w:t xml:space="preserve"> El autor propone que el legislador determine primero la exigencia adecuada para la decisión final y ordene después, en progresiva disminución, los estándares de las decisiones intermedias.</w:t>
      </w:r>
      <w:r>
        <w:rPr>
          <w:rFonts w:ascii="Arial" w:eastAsia="Arial" w:hAnsi="Arial" w:cs="Arial"/>
          <w:color w:val="000000"/>
          <w:sz w:val="24"/>
          <w:szCs w:val="24"/>
          <w:vertAlign w:val="superscript"/>
        </w:rPr>
        <w:footnoteReference w:id="679"/>
      </w:r>
      <w:r>
        <w:rPr>
          <w:rFonts w:ascii="Arial" w:eastAsia="Arial" w:hAnsi="Arial" w:cs="Arial"/>
          <w:color w:val="000000"/>
          <w:sz w:val="24"/>
          <w:szCs w:val="24"/>
        </w:rPr>
        <w:t xml:space="preserve"> El autor añade que debe considerarse la relativa gravedad de los errores para cada tipo de decisión final o intermedia. En el contencioso electoral, este requisito tiene dos proyecciones. La primera proyección se refiere a las decisiones intermedias que la ley ya prevé.</w:t>
      </w:r>
    </w:p>
    <w:p>
      <w:pPr>
        <w:spacing w:before="0" w:after="0" w:line="360" w:lineRule="auto"/>
        <w:ind w:firstLine="709"/>
        <w:jc w:val="both"/>
      </w:pPr>
      <w:r>
        <w:rPr>
          <w:rFonts w:ascii="Arial" w:eastAsia="Arial" w:hAnsi="Arial" w:cs="Arial"/>
          <w:color w:val="000000"/>
          <w:sz w:val="24"/>
          <w:szCs w:val="24"/>
        </w:rPr>
        <w:t xml:space="preserve">El incidente de nuevo escrutinio y cómputo es una decisión intermedia prevista en la ley. Ese incidente exige establecer si las inconsistencias pueden subsanarse con otros elementos del expediente.</w:t>
      </w:r>
      <w:r>
        <w:rPr>
          <w:rFonts w:ascii="Arial" w:eastAsia="Arial" w:hAnsi="Arial" w:cs="Arial"/>
          <w:color w:val="000000"/>
          <w:sz w:val="24"/>
          <w:szCs w:val="24"/>
          <w:vertAlign w:val="superscript"/>
        </w:rPr>
        <w:footnoteReference w:id="680"/>
      </w:r>
      <w:r>
        <w:rPr>
          <w:rFonts w:ascii="Arial" w:eastAsia="Arial" w:hAnsi="Arial" w:cs="Arial"/>
          <w:color w:val="000000"/>
          <w:sz w:val="24"/>
          <w:szCs w:val="24"/>
        </w:rPr>
        <w:t xml:space="preserve"> La segunda proyección atañe a decisiones finales de distinto alcance, como la nulidad de una casilla y la de una elección. En consecuencia, la reforma debe fijar el umbral de la decisión final más grave y ordenar a partir de él los umbrales de las demás decisiones. Esta segunda proyección requiere una precisión. La diferencia entre la nulidad de una casilla y la de una elección no es, en sentido estricto, una diferencia de etapa procesal, sino de consecuencia jurídica. Su fundamento no es solo el cuarto requisito, sino la relatividad del estándar según los bienes en juego y los costes del error. Según Ferrer Beltrán, los costes de la condena falsa dependen del tipo de condena y no de la jurisdicción.</w:t>
      </w:r>
      <w:r>
        <w:rPr>
          <w:rFonts w:ascii="Arial" w:eastAsia="Arial" w:hAnsi="Arial" w:cs="Arial"/>
          <w:color w:val="000000"/>
          <w:sz w:val="24"/>
          <w:szCs w:val="24"/>
          <w:vertAlign w:val="superscript"/>
        </w:rPr>
        <w:footnoteReference w:id="681"/>
      </w:r>
    </w:p>
    <w:p>
      <w:pPr>
        <w:spacing w:before="0" w:after="0" w:line="360" w:lineRule="auto"/>
        <w:ind w:firstLine="709"/>
        <w:jc w:val="both"/>
      </w:pPr>
      <w:r>
        <w:rPr>
          <w:rFonts w:ascii="Arial" w:eastAsia="Arial" w:hAnsi="Arial" w:cs="Arial"/>
          <w:color w:val="000000"/>
          <w:sz w:val="24"/>
          <w:szCs w:val="24"/>
        </w:rPr>
        <w:t xml:space="preserve">La nulidad de una elección afecta los votos de toda una demarcación y obliga a celebrar una elección extraordinaria. La nulidad de una casilla afecta solo la votación recibida en ella y, por su conducto, el cómputo.</w:t>
      </w:r>
      <w:r>
        <w:rPr>
          <w:rFonts w:ascii="Arial" w:eastAsia="Arial" w:hAnsi="Arial" w:cs="Arial"/>
          <w:color w:val="000000"/>
          <w:sz w:val="24"/>
          <w:szCs w:val="24"/>
          <w:vertAlign w:val="superscript"/>
        </w:rPr>
        <w:footnoteReference w:id="682"/>
      </w:r>
      <w:r>
        <w:rPr>
          <w:rFonts w:ascii="Arial" w:eastAsia="Arial" w:hAnsi="Arial" w:cs="Arial"/>
          <w:color w:val="000000"/>
          <w:sz w:val="24"/>
          <w:szCs w:val="24"/>
        </w:rPr>
        <w:t xml:space="preserve"> Ambas decisiones pueden requerir umbrales distintos, siempre que la diferencia se establezca en la ley y no en cada sentencia. Por tanto, el cuarto criterio exige un sistema coherente de estándares y no un único umbral para todo el contencioso electoral. El quinto criterio consiste en distribuir de manera consciente el riesgo del error. Ese criterio deriva de los bienes en juego. Ferrer Beltrán sostiene que los estándares distribuyen el riesgo del error entre las partes y que la concreta distribución depende del umbral que se establezca.</w:t>
      </w:r>
      <w:r>
        <w:rPr>
          <w:rFonts w:ascii="Arial" w:eastAsia="Arial" w:hAnsi="Arial" w:cs="Arial"/>
          <w:color w:val="000000"/>
          <w:sz w:val="24"/>
          <w:szCs w:val="24"/>
          <w:vertAlign w:val="superscript"/>
        </w:rPr>
        <w:footnoteReference w:id="683"/>
      </w:r>
      <w:r>
        <w:rPr>
          <w:rFonts w:ascii="Arial" w:eastAsia="Arial" w:hAnsi="Arial" w:cs="Arial"/>
          <w:color w:val="000000"/>
          <w:sz w:val="24"/>
          <w:szCs w:val="24"/>
        </w:rPr>
        <w:t xml:space="preserve"> El debido proceso exige, según el autor, que el legislador fije el umbral y asigne el riesgo entre las partes.</w:t>
      </w:r>
      <w:r>
        <w:rPr>
          <w:rFonts w:ascii="Arial" w:eastAsia="Arial" w:hAnsi="Arial" w:cs="Arial"/>
          <w:color w:val="000000"/>
          <w:sz w:val="24"/>
          <w:szCs w:val="24"/>
          <w:vertAlign w:val="superscript"/>
        </w:rPr>
        <w:footnoteReference w:id="684"/>
      </w:r>
    </w:p>
    <w:p>
      <w:pPr>
        <w:spacing w:before="0" w:after="0" w:line="360" w:lineRule="auto"/>
        <w:ind w:firstLine="709"/>
        <w:jc w:val="both"/>
      </w:pPr>
      <w:r>
        <w:rPr>
          <w:rFonts w:ascii="Arial" w:eastAsia="Arial" w:hAnsi="Arial" w:cs="Arial"/>
          <w:color w:val="000000"/>
          <w:sz w:val="24"/>
          <w:szCs w:val="24"/>
        </w:rPr>
        <w:t xml:space="preserve">En la materia electoral, el riesgo se distribuye entre quien impugna una elección y quien defiende su validez. El ordenamiento contiene reglas que inciden en esa distribución. La carga de la prueba corresponde a quien afirma.</w:t>
      </w:r>
      <w:r>
        <w:rPr>
          <w:rFonts w:ascii="Arial" w:eastAsia="Arial" w:hAnsi="Arial" w:cs="Arial"/>
          <w:color w:val="000000"/>
          <w:sz w:val="24"/>
          <w:szCs w:val="24"/>
          <w:vertAlign w:val="superscript"/>
        </w:rPr>
        <w:footnoteReference w:id="685"/>
      </w:r>
      <w:r>
        <w:rPr>
          <w:rFonts w:ascii="Arial" w:eastAsia="Arial" w:hAnsi="Arial" w:cs="Arial"/>
          <w:color w:val="000000"/>
          <w:sz w:val="24"/>
          <w:szCs w:val="24"/>
        </w:rPr>
        <w:t xml:space="preserve"> La Constitución exige que las violaciones graves, dolosas y determinantes se acrediten de manera objetiva y material, y presume su carácter determinante cuando la diferencia entre el primero y el segundo lugar es menor al cinco por ciento.</w:t>
      </w:r>
      <w:r>
        <w:rPr>
          <w:rFonts w:ascii="Arial" w:eastAsia="Arial" w:hAnsi="Arial" w:cs="Arial"/>
          <w:color w:val="000000"/>
          <w:sz w:val="24"/>
          <w:szCs w:val="24"/>
          <w:vertAlign w:val="superscript"/>
        </w:rPr>
        <w:footnoteReference w:id="686"/>
      </w:r>
      <w:r>
        <w:rPr>
          <w:rFonts w:ascii="Arial" w:eastAsia="Arial" w:hAnsi="Arial" w:cs="Arial"/>
          <w:color w:val="000000"/>
          <w:sz w:val="24"/>
          <w:szCs w:val="24"/>
        </w:rPr>
        <w:t xml:space="preserve"> Ferrer Beltrán advierte que, al fijar el umbral, deben considerarse simultáneamente la carga de la prueba, las presunciones y las demás reglas que distribuyen el riesgo.</w:t>
      </w:r>
      <w:r>
        <w:rPr>
          <w:rFonts w:ascii="Arial" w:eastAsia="Arial" w:hAnsi="Arial" w:cs="Arial"/>
          <w:color w:val="000000"/>
          <w:sz w:val="24"/>
          <w:szCs w:val="24"/>
          <w:vertAlign w:val="superscript"/>
        </w:rPr>
        <w:footnoteReference w:id="687"/>
      </w:r>
      <w:r>
        <w:rPr>
          <w:rFonts w:ascii="Arial" w:eastAsia="Arial" w:hAnsi="Arial" w:cs="Arial"/>
          <w:color w:val="000000"/>
          <w:sz w:val="24"/>
          <w:szCs w:val="24"/>
        </w:rPr>
        <w:t xml:space="preserve"> Por consiguiente, la reforma debe fijar el umbral atendiendo a esas reglas y a los bienes en juego. La reforma debe justificar expresamente la preferencia de error que adopte. Los cinco criterios permiten descartar ciertas reformas aparentes.</w:t>
      </w:r>
    </w:p>
    <w:p>
      <w:pPr>
        <w:spacing w:before="0" w:after="0" w:line="360" w:lineRule="auto"/>
        <w:ind w:firstLine="709"/>
        <w:jc w:val="both"/>
      </w:pPr>
      <w:r>
        <w:rPr>
          <w:rFonts w:ascii="Arial" w:eastAsia="Arial" w:hAnsi="Arial" w:cs="Arial"/>
          <w:color w:val="000000"/>
          <w:sz w:val="24"/>
          <w:szCs w:val="24"/>
        </w:rPr>
        <w:t xml:space="preserve">Una reforma que sustituyera la palabra convicción por otro término referido a estados mentales, como certeza moral o íntima convicción, no satisfaría el primer criterio. Laudan advierte que un estándar intrínsecamente subjetivo no ofrece protección contra las decisiones arbitrarias, porque las pruebas que convencen a un juzgador pueden no persuadir a otro.</w:t>
      </w:r>
      <w:r>
        <w:rPr>
          <w:rFonts w:ascii="Arial" w:eastAsia="Arial" w:hAnsi="Arial" w:cs="Arial"/>
          <w:color w:val="000000"/>
          <w:sz w:val="24"/>
          <w:szCs w:val="24"/>
          <w:vertAlign w:val="superscript"/>
        </w:rPr>
        <w:footnoteReference w:id="688"/>
      </w:r>
      <w:r>
        <w:rPr>
          <w:rFonts w:ascii="Arial" w:eastAsia="Arial" w:hAnsi="Arial" w:cs="Arial"/>
          <w:color w:val="000000"/>
          <w:sz w:val="24"/>
          <w:szCs w:val="24"/>
        </w:rPr>
        <w:t xml:space="preserve"> Tampoco bastaría sustituir la convicción por expresiones sin contenido psicológico, pero incapaces de fijar un umbral. Ferrer Beltrán muestra que fórmulas legales como motivos bastantes para creer o indicios racionales no cumplen los requisitos metodológicos, porque no establecen un umbral intersubjetivamente controlable.</w:t>
      </w:r>
      <w:r>
        <w:rPr>
          <w:rFonts w:ascii="Arial" w:eastAsia="Arial" w:hAnsi="Arial" w:cs="Arial"/>
          <w:color w:val="000000"/>
          <w:sz w:val="24"/>
          <w:szCs w:val="24"/>
          <w:vertAlign w:val="superscript"/>
        </w:rPr>
        <w:footnoteReference w:id="689"/>
      </w:r>
      <w:r>
        <w:rPr>
          <w:rFonts w:ascii="Arial" w:eastAsia="Arial" w:hAnsi="Arial" w:cs="Arial"/>
          <w:color w:val="000000"/>
          <w:sz w:val="24"/>
          <w:szCs w:val="24"/>
        </w:rPr>
        <w:t xml:space="preserve"> La expresión acreditación plena, empleada por la jurisprudencia electoral, presenta el mismo problema, porque califica el resultado sin indicar el grado de corroboración que lo produce. Una reforma de ese tipo trasladaría el mismo error a un vocabulario distinto. Por tanto, la reforma debe satisfacer conjuntamente los cinco criterios. El texto vigente, en cambio, no satisface ninguno de ellos.</w:t>
      </w:r>
    </w:p>
    <w:p>
      <w:pPr>
        <w:spacing w:before="0" w:after="0" w:line="360" w:lineRule="auto"/>
        <w:ind w:firstLine="709"/>
        <w:jc w:val="both"/>
      </w:pPr>
      <w:r>
        <w:rPr>
          <w:rFonts w:ascii="Arial" w:eastAsia="Arial" w:hAnsi="Arial" w:cs="Arial"/>
          <w:color w:val="000000"/>
          <w:sz w:val="24"/>
          <w:szCs w:val="24"/>
        </w:rPr>
        <w:t xml:space="preserve">El método de valoración del párrafo 1 del artículo 16 es compatible con un estándar racional, pero no lo sustituye. La regla de peso de las documentales públicas del párrafo 2 no se refiere a la suficiencia, sino al valor de un tipo de prueba. El criterio de convicción del párrafo 3 remite a un estado mental y no fija un umbral. La ley no diferencia umbrales entre decisiones ni justifica la distribución del riesgo del error. Ferrer Beltrán sostiene que la ausencia de estándares legalmente previstos que determinen el umbral de suficiencia vulnera tanto el derecho al debido proceso como el derecho a la prueba.</w:t>
      </w:r>
      <w:r>
        <w:rPr>
          <w:rFonts w:ascii="Arial" w:eastAsia="Arial" w:hAnsi="Arial" w:cs="Arial"/>
          <w:color w:val="000000"/>
          <w:sz w:val="24"/>
          <w:szCs w:val="24"/>
          <w:vertAlign w:val="superscript"/>
        </w:rPr>
        <w:footnoteReference w:id="690"/>
      </w:r>
      <w:r>
        <w:rPr>
          <w:rFonts w:ascii="Arial" w:eastAsia="Arial" w:hAnsi="Arial" w:cs="Arial"/>
          <w:color w:val="000000"/>
          <w:sz w:val="24"/>
          <w:szCs w:val="24"/>
        </w:rPr>
        <w:t xml:space="preserve"> En consecuencia, la reforma del artículo 16 no es una cuestión de técnica legislativa menor, sino una exigencia de las garantías procesales en la materia electoral. Los cinco criterios constituyen el parámetro para formular el estándar de prueba propuesto. Ese estándar debe traducir los criterios en un texto normativo preciso y aplicable.</w:t>
      </w:r>
    </w:p>
    <w:p>
      <w:pPr>
        <w:spacing w:before="0" w:after="0" w:line="360" w:lineRule="auto"/>
        <w:jc w:val="left"/>
      </w:pPr>
    </w:p>
    <w:p>
      <w:pPr>
        <w:pStyle w:val="Ttulo2"/>
        <w:keepNext/>
        <w:spacing w:before="0" w:after="0" w:line="360" w:lineRule="auto"/>
        <w:ind w:left="567" w:hanging="284"/>
        <w:jc w:val="left"/>
      </w:pPr>
      <w:bookmarkStart w:id="824" w:name="_Toc9000024"/>
      <w:r>
        <w:rPr>
          <w:rFonts w:ascii="Arial" w:eastAsia="Arial" w:hAnsi="Arial" w:cs="Arial"/>
          <w:color w:val="000000"/>
          <w:sz w:val="24"/>
          <w:szCs w:val="24"/>
        </w:rPr>
        <w:t xml:space="preserve">5.2. </w:t>
      </w:r>
      <w:r>
        <w:rPr>
          <w:rFonts w:ascii="Arial" w:eastAsia="Arial" w:hAnsi="Arial" w:cs="Arial"/>
          <w:i/>
          <w:iCs/>
          <w:color w:val="000000"/>
          <w:sz w:val="24"/>
          <w:szCs w:val="24"/>
        </w:rPr>
        <w:t xml:space="preserve">Formulación del estándar de prueba propuesto</w:t>
      </w:r>
      <w:bookmarkEnd w:id="824"/>
    </w:p>
    <w:p>
      <w:pPr>
        <w:spacing w:before="0" w:after="0" w:line="360" w:lineRule="auto"/>
        <w:jc w:val="left"/>
      </w:pPr>
    </w:p>
    <w:p>
      <w:pPr>
        <w:spacing w:before="0" w:after="0" w:line="360" w:lineRule="auto"/>
        <w:ind w:firstLine="0"/>
        <w:jc w:val="both"/>
      </w:pPr>
      <w:r>
        <w:rPr>
          <w:rFonts w:ascii="Arial" w:eastAsia="Arial" w:hAnsi="Arial" w:cs="Arial"/>
          <w:color w:val="000000"/>
          <w:sz w:val="24"/>
          <w:szCs w:val="24"/>
        </w:rPr>
        <w:t xml:space="preserve">Los criterios para la reforma del artículo 16 de la ley de medios permiten formular un estándar de prueba para la nulidad de elecciones. La formulación se presenta con su fundamento doctrinal y su anclaje en el vocabulario jurisprudencial de la prueba indiciaria. El análisis explica después las operaciones que el estándar exige al juzgador y verifica si satisface los cinco criterios enunciados. El examen identifica la parte que soporta el riesgo cuando el estándar no se satisface. La formulación es una propuesta de esta investigación. Esa formulación retoma elementos de los estándares que Ferrer Beltrán ofrece como ejemplos, pero los combina y adapta a la materia electoral. El propio autor aclara que sus ejemplos no pretenden ser los estándares que deban adoptarse, porque elegir uno u otro es resultado de una decisión política sobre la distribución del riesgo del error.</w:t>
      </w:r>
      <w:r>
        <w:rPr>
          <w:rFonts w:ascii="Arial" w:eastAsia="Arial" w:hAnsi="Arial" w:cs="Arial"/>
          <w:color w:val="000000"/>
          <w:sz w:val="24"/>
          <w:szCs w:val="24"/>
          <w:vertAlign w:val="superscript"/>
        </w:rPr>
        <w:footnoteReference w:id="691"/>
      </w:r>
      <w:r>
        <w:rPr>
          <w:rFonts w:ascii="Arial" w:eastAsia="Arial" w:hAnsi="Arial" w:cs="Arial"/>
          <w:color w:val="000000"/>
          <w:sz w:val="24"/>
          <w:szCs w:val="24"/>
        </w:rPr>
        <w:t xml:space="preserve"> Por tanto, la responsabilidad por la formulación concreta corresponde a esta investigación.</w:t>
      </w:r>
    </w:p>
    <w:p>
      <w:pPr>
        <w:spacing w:before="0" w:after="0" w:line="360" w:lineRule="auto"/>
        <w:ind w:firstLine="709"/>
        <w:jc w:val="both"/>
      </w:pPr>
      <w:r>
        <w:rPr>
          <w:rFonts w:ascii="Arial" w:eastAsia="Arial" w:hAnsi="Arial" w:cs="Arial"/>
          <w:color w:val="000000"/>
          <w:sz w:val="24"/>
          <w:szCs w:val="24"/>
        </w:rPr>
        <w:t xml:space="preserve">El estándar para acreditar una irregularidad determinante se formula en tres condiciones conjuntas. La primera condición exige que la hipótesis de la irregularidad explique de forma coherente los indicios acreditados mejor que cualquier alternativa plausible compatible con la validez de la elección. Esa comparación excluye las hipótesis construidas para el caso. La segunda condición exige que ningún elemento relevante aportado por las partes quede sin explicar. La tercera condición exige un acervo tendencialmente completo, que incorpore las pruebas relevantes accesibles para esclarecer los hechos. Si falta solo la tercera, la hipótesis no se tiene por probada y rige la carga de la prueba. La falta de pruebas accesibles no cuenta en contra del actor cuando es imputable a la parte que se beneficiaría de esa omisión. En consecuencia, las tres condiciones funcionan como un umbral único que el acervo debe superar.</w:t>
      </w:r>
    </w:p>
    <w:p>
      <w:pPr>
        <w:spacing w:before="0" w:after="0" w:line="360" w:lineRule="auto"/>
        <w:ind w:firstLine="709"/>
        <w:jc w:val="both"/>
      </w:pPr>
      <w:r>
        <w:rPr>
          <w:rFonts w:ascii="Arial" w:eastAsia="Arial" w:hAnsi="Arial" w:cs="Arial"/>
          <w:color w:val="000000"/>
          <w:sz w:val="24"/>
          <w:szCs w:val="24"/>
        </w:rPr>
        <w:t xml:space="preserve">El estándar propuesto no exige que el juzgador declare hallarse convencido de los hechos. El estándar tampoco asigna a la hipótesis un grado de probabilidad numérico. El estándar exige operaciones cuyo resultado puede ser revisado por las partes y por el órgano que conozca de un recurso. Esa revisabilidad distingue el estándar propuesto del criterio de convicción que rige en el texto vigente del artículo 16. La convicción del órgano no puede verificarse desde fuera, mientras que la comparación explicativa y la completitud del acervo sí pueden verificarse. En consecuencia, el estándar convierte la suficiencia probatoria en una cuestión justificable y controlable. La propuesta puede expresarse en términos legislativos precisos. Trasladada al lenguaje legislativo, la propuesta podría sustituir el párrafo 3 del artículo 16 de la ley de medios por una disposición del tenor siguiente.</w:t>
      </w:r>
    </w:p>
    <w:p>
      <w:pPr>
        <w:spacing w:before="0" w:after="0" w:line="360" w:lineRule="auto"/>
        <w:ind w:left="709" w:firstLine="0"/>
        <w:jc w:val="both"/>
      </w:pPr>
      <w:r>
        <w:rPr>
          <w:rFonts w:ascii="Arial" w:eastAsia="Arial" w:hAnsi="Arial" w:cs="Arial"/>
          <w:color w:val="000000"/>
          <w:sz w:val="22"/>
          <w:szCs w:val="22"/>
        </w:rPr>
        <w:t xml:space="preserve">Para tener por acreditada una irregularidad que funde la nulidad de una elección, la hipótesis que la afirma deberá explicar de forma coherente el conjunto de los indicios acreditados mejor que cualquier otra hipótesis plausible compatible con la validez de la elección, sin dejar sin explicar ningún elemento de juicio relevante, y el acervo probatorio deberá comprender las pruebas relevantes accesibles. La falta de pruebas imputable a la parte que se beneficiaría de ella no impedirá tener por satisfecha esta última exigencia.</w:t>
      </w:r>
    </w:p>
    <w:p>
      <w:pPr>
        <w:spacing w:before="0" w:after="0" w:line="360" w:lineRule="auto"/>
        <w:ind w:firstLine="709"/>
        <w:jc w:val="both"/>
      </w:pPr>
      <w:r>
        <w:rPr>
          <w:rFonts w:ascii="Arial" w:eastAsia="Arial" w:hAnsi="Arial" w:cs="Arial"/>
          <w:color w:val="000000"/>
          <w:sz w:val="24"/>
          <w:szCs w:val="24"/>
        </w:rPr>
        <w:t xml:space="preserve">La redacción propuesta conserva el método de valoración del párrafo 1, que sigue remitiendo a la lógica, la sana crítica y la experiencia. La redacción conserva la regla de peso de las documentales públicas del párrafo 2. El criterio de convicción del párrafo 3, en cambio, se sustituye por una regla de suficiencia. La redacción es un modelo para la discusión legislativa y no pretende agotar las decisiones de técnica normativa que una reforma requeriría. Su función es mostrar que el estándar puede expresarse en términos legales precisos. La ubicación en el artículo 16 se justifica porque ese precepto contiene hoy el criterio de convicción que se pretende sustituir. En consecuencia, la reforma modifica solo el elemento defectuoso de la cláusula mixta y preserva sus componentes racionales. La formulación combina elementos de los estándares que Ferrer Beltrán ordena de mayor a menor exigencia.</w:t>
      </w:r>
      <w:r>
        <w:rPr>
          <w:rFonts w:ascii="Arial" w:eastAsia="Arial" w:hAnsi="Arial" w:cs="Arial"/>
          <w:color w:val="000000"/>
          <w:sz w:val="24"/>
          <w:szCs w:val="24"/>
          <w:vertAlign w:val="superscript"/>
        </w:rPr>
        <w:footnoteReference w:id="692"/>
      </w:r>
    </w:p>
    <w:p>
      <w:pPr>
        <w:spacing w:before="0" w:after="0" w:line="360" w:lineRule="auto"/>
        <w:ind w:firstLine="709"/>
        <w:jc w:val="both"/>
      </w:pPr>
      <w:r>
        <w:rPr>
          <w:rFonts w:ascii="Arial" w:eastAsia="Arial" w:hAnsi="Arial" w:cs="Arial"/>
          <w:color w:val="000000"/>
          <w:sz w:val="24"/>
          <w:szCs w:val="24"/>
        </w:rPr>
        <w:t xml:space="preserve">Los tres primeros estándares de Ferrer Beltrán exigen que la hipótesis explique los datos disponibles integrándolos de forma coherente y que se hayan refutado todas o algunas de las hipótesis alternativas. El cuarto exige la hipótesis más probablemente verdadera y un peso probatorio completo. Los estándares sexto y séptimo solo exigen que la hipótesis sea más probable que las demás o que la de la parte contraria. Antes el autor había formulado la primera cláusula del cuarto estándar como la mejor explicación disponible.</w:t>
      </w:r>
      <w:r>
        <w:rPr>
          <w:rFonts w:ascii="Arial" w:eastAsia="Arial" w:hAnsi="Arial" w:cs="Arial"/>
          <w:color w:val="000000"/>
          <w:sz w:val="24"/>
          <w:szCs w:val="24"/>
          <w:vertAlign w:val="superscript"/>
        </w:rPr>
        <w:footnoteReference w:id="693"/>
      </w:r>
      <w:r>
        <w:rPr>
          <w:rFonts w:ascii="Arial" w:eastAsia="Arial" w:hAnsi="Arial" w:cs="Arial"/>
          <w:color w:val="000000"/>
          <w:sz w:val="24"/>
          <w:szCs w:val="24"/>
        </w:rPr>
        <w:t xml:space="preserve"> La formulación aquí propuesta se sitúa en ese nivel intermedio. La formulación no exige refutar todas las hipótesis alternativas, porque esa exigencia sería difícilmente alcanzable con prueba indiciaria de irregularidades encubiertas. La formulación tampoco se conforma con la mera comparación entre hipótesis, porque añade la exigencia de completitud del acervo. Esa exigencia responde a una objeción conocida contra los estándares comparativos.</w:t>
      </w:r>
    </w:p>
    <w:p>
      <w:pPr>
        <w:spacing w:before="0" w:after="0" w:line="360" w:lineRule="auto"/>
        <w:ind w:firstLine="709"/>
        <w:jc w:val="both"/>
      </w:pPr>
      <w:r>
        <w:rPr>
          <w:rFonts w:ascii="Arial" w:eastAsia="Arial" w:hAnsi="Arial" w:cs="Arial"/>
          <w:color w:val="000000"/>
          <w:sz w:val="24"/>
          <w:szCs w:val="24"/>
        </w:rPr>
        <w:t xml:space="preserve">Ferrer Beltrán advierte que exigir que una hipótesis sea más probable que otras puede ser una exigencia muy débil. La hipótesis más probable puede tener un grado de corroboración muy bajo.</w:t>
      </w:r>
      <w:r>
        <w:rPr>
          <w:rFonts w:ascii="Arial" w:eastAsia="Arial" w:hAnsi="Arial" w:cs="Arial"/>
          <w:color w:val="000000"/>
          <w:sz w:val="24"/>
          <w:szCs w:val="24"/>
          <w:vertAlign w:val="superscript"/>
        </w:rPr>
        <w:footnoteReference w:id="694"/>
      </w:r>
      <w:r>
        <w:rPr>
          <w:rFonts w:ascii="Arial" w:eastAsia="Arial" w:hAnsi="Arial" w:cs="Arial"/>
          <w:color w:val="000000"/>
          <w:sz w:val="24"/>
          <w:szCs w:val="24"/>
        </w:rPr>
        <w:t xml:space="preserve"> El autor recoge la objeción de la mejor hipótesis de un lote malo, que Van Fraassen dirigió contra la inferencia a la mejor explicación. Para evitarla, los estándares cuarto y quinto añaden una cláusula relativa al peso probatorio. Esa cláusula no compara hipótesis, sino que mide la completitud del conjunto de elementos de juicio.</w:t>
      </w:r>
      <w:r>
        <w:rPr>
          <w:rFonts w:ascii="Arial" w:eastAsia="Arial" w:hAnsi="Arial" w:cs="Arial"/>
          <w:color w:val="000000"/>
          <w:sz w:val="24"/>
          <w:szCs w:val="24"/>
          <w:vertAlign w:val="superscript"/>
        </w:rPr>
        <w:footnoteReference w:id="695"/>
      </w:r>
      <w:r>
        <w:rPr>
          <w:rFonts w:ascii="Arial" w:eastAsia="Arial" w:hAnsi="Arial" w:cs="Arial"/>
          <w:color w:val="000000"/>
          <w:sz w:val="24"/>
          <w:szCs w:val="24"/>
        </w:rPr>
        <w:t xml:space="preserve"> El peso probatorio debe distinguirse del valor probatorio, porque este último indica el grado de confirmación que las pruebas aportan a una hipótesis. La completitud es tendencial y se refiere a las pruebas relevantes accesibles, salvo inaccesibilidad imputable a las partes.</w:t>
      </w:r>
      <w:r>
        <w:rPr>
          <w:rFonts w:ascii="Arial" w:eastAsia="Arial" w:hAnsi="Arial" w:cs="Arial"/>
          <w:color w:val="000000"/>
          <w:sz w:val="24"/>
          <w:szCs w:val="24"/>
          <w:vertAlign w:val="superscript"/>
        </w:rPr>
        <w:footnoteReference w:id="696"/>
      </w:r>
      <w:r>
        <w:rPr>
          <w:rFonts w:ascii="Arial" w:eastAsia="Arial" w:hAnsi="Arial" w:cs="Arial"/>
          <w:color w:val="000000"/>
          <w:sz w:val="24"/>
          <w:szCs w:val="24"/>
        </w:rPr>
        <w:t xml:space="preserve"> El autor añade que la completitud no exige incorporar pruebas redundantes, y la tercera condición de la formulación propuesta recoge esa exigencia en los mismos términos.</w:t>
      </w:r>
    </w:p>
    <w:p>
      <w:pPr>
        <w:spacing w:before="0" w:after="0" w:line="360" w:lineRule="auto"/>
        <w:ind w:firstLine="709"/>
        <w:jc w:val="both"/>
      </w:pPr>
      <w:r>
        <w:rPr>
          <w:rFonts w:ascii="Arial" w:eastAsia="Arial" w:hAnsi="Arial" w:cs="Arial"/>
          <w:color w:val="000000"/>
          <w:sz w:val="24"/>
          <w:szCs w:val="24"/>
        </w:rPr>
        <w:t xml:space="preserve">La formulación utiliza la noción de indicios acreditados, cuyo contenido ya ha sido definido por la jurisprudencia electoral. La Sala Superior sostuvo en el SUP-JIN-194/2025 que los indicios deben cumplir cuatro características.</w:t>
      </w:r>
      <w:r>
        <w:rPr>
          <w:rFonts w:ascii="Arial" w:eastAsia="Arial" w:hAnsi="Arial" w:cs="Arial"/>
          <w:color w:val="000000"/>
          <w:sz w:val="24"/>
          <w:szCs w:val="24"/>
          <w:vertAlign w:val="superscript"/>
        </w:rPr>
        <w:footnoteReference w:id="697"/>
      </w:r>
      <w:r>
        <w:rPr>
          <w:rFonts w:ascii="Arial" w:eastAsia="Arial" w:hAnsi="Arial" w:cs="Arial"/>
          <w:color w:val="000000"/>
          <w:sz w:val="24"/>
          <w:szCs w:val="24"/>
        </w:rPr>
        <w:t xml:space="preserve"> Los indicios deben acreditarse mediante pruebas directas, deben ser plurales, deben ser concomitantes al hecho que se pretende probar y deben estar interrelacionados entre sí. La misma sentencia exigió que las inferencias sean razonables y que la conclusión fluya de los indicios sin inferencias débiles o forzadas.</w:t>
      </w:r>
      <w:r>
        <w:rPr>
          <w:rFonts w:ascii="Arial" w:eastAsia="Arial" w:hAnsi="Arial" w:cs="Arial"/>
          <w:color w:val="000000"/>
          <w:sz w:val="24"/>
          <w:szCs w:val="24"/>
          <w:vertAlign w:val="superscript"/>
        </w:rPr>
        <w:footnoteReference w:id="698"/>
      </w:r>
      <w:r>
        <w:rPr>
          <w:rFonts w:ascii="Arial" w:eastAsia="Arial" w:hAnsi="Arial" w:cs="Arial"/>
          <w:color w:val="000000"/>
          <w:sz w:val="24"/>
          <w:szCs w:val="24"/>
        </w:rPr>
        <w:t xml:space="preserve"> La Sala precisó que, si los indicios llevan a diversas conclusiones, debe atenderse a cada una a partir de sus bondades y debilidades para elegir la que se estime adecuada. Esa exigencia contiene ya una comparación entre hipótesis alternativas. La sentencia no establece, sin embargo, cuándo la conclusión elegida es suficiente para tener por acreditada la irregularidad. La formulación propuesta aprovecha esos requisitos como condiciones de la valoración y les añade la regla de suficiencia que faltaba.</w:t>
      </w:r>
    </w:p>
    <w:p>
      <w:pPr>
        <w:spacing w:before="0" w:after="0" w:line="360" w:lineRule="auto"/>
        <w:ind w:firstLine="709"/>
        <w:jc w:val="both"/>
      </w:pPr>
      <w:r>
        <w:rPr>
          <w:rFonts w:ascii="Arial" w:eastAsia="Arial" w:hAnsi="Arial" w:cs="Arial"/>
          <w:color w:val="000000"/>
          <w:sz w:val="24"/>
          <w:szCs w:val="24"/>
        </w:rPr>
        <w:t xml:space="preserve">La relación entre los requisitos jurisprudenciales y el estándar propuesto debe precisarse. Los requisitos de pluralidad, concomitancia e interrelación de los indicios pertenecen al método de valoración. Esos requisitos indican cómo deben seleccionarse y relacionarse los indicios, pero no cuánto apoyo deben aportar a la hipótesis. La comparación entre conclusiones que la sentencia exige es una operación de valoración que el estándar convierte en regla de decisión. La exigencia de explicar todos los elementos de juicio relevantes corresponde a la coherencia que Ferrer Beltrán incluye en la primera cláusula de sus estándares más exigentes. El autor sostiene que cualquier hipótesis debe integrar coherentemente los datos de partida, porque una hipótesis incoherente es siempre falsa.</w:t>
      </w:r>
      <w:r>
        <w:rPr>
          <w:rFonts w:ascii="Arial" w:eastAsia="Arial" w:hAnsi="Arial" w:cs="Arial"/>
          <w:color w:val="000000"/>
          <w:sz w:val="24"/>
          <w:szCs w:val="24"/>
          <w:vertAlign w:val="superscript"/>
        </w:rPr>
        <w:footnoteReference w:id="699"/>
      </w:r>
      <w:r>
        <w:rPr>
          <w:rFonts w:ascii="Arial" w:eastAsia="Arial" w:hAnsi="Arial" w:cs="Arial"/>
          <w:color w:val="000000"/>
          <w:sz w:val="24"/>
          <w:szCs w:val="24"/>
        </w:rPr>
        <w:t xml:space="preserve"> La completitud del acervo es la única condición que no tiene precedente en la jurisprudencia electoral examinada. Su incorporación responde a la debilidad de los estándares puramente comparativos y, en la materia electoral, a la frecuente escasez de prueba disponible.</w:t>
      </w:r>
    </w:p>
    <w:p>
      <w:pPr>
        <w:spacing w:before="0" w:after="0" w:line="360" w:lineRule="auto"/>
        <w:ind w:firstLine="709"/>
        <w:jc w:val="both"/>
      </w:pPr>
      <w:r>
        <w:rPr>
          <w:rFonts w:ascii="Arial" w:eastAsia="Arial" w:hAnsi="Arial" w:cs="Arial"/>
          <w:color w:val="000000"/>
          <w:sz w:val="24"/>
          <w:szCs w:val="24"/>
        </w:rPr>
        <w:t xml:space="preserve">El estándar propuesto exige tres operaciones controlables. La primera operación compara la hipótesis de la irregularidad con las alternativas plausibles compatibles con la validez. Ferrer Beltrán precisa que una hipótesis alternativa solo puede tomarse en consideración si es ella misma contrastable, lo que excluye las hipótesis construidas para el caso.</w:t>
      </w:r>
      <w:r>
        <w:rPr>
          <w:rFonts w:ascii="Arial" w:eastAsia="Arial" w:hAnsi="Arial" w:cs="Arial"/>
          <w:color w:val="000000"/>
          <w:sz w:val="24"/>
          <w:szCs w:val="24"/>
          <w:vertAlign w:val="superscript"/>
        </w:rPr>
        <w:footnoteReference w:id="700"/>
      </w:r>
      <w:r>
        <w:rPr>
          <w:rFonts w:ascii="Arial" w:eastAsia="Arial" w:hAnsi="Arial" w:cs="Arial"/>
          <w:color w:val="000000"/>
          <w:sz w:val="24"/>
          <w:szCs w:val="24"/>
        </w:rPr>
        <w:t xml:space="preserve"> La segunda verifica que la hipótesis explique todos los elementos relevantes, incluidos los de la responsable y el tercero. La tercera operación es determinar qué pruebas serían necesarias para esclarecer los hechos y si se han incorporado al expediente. El autor propone preguntar qué pruebas exigen las hipótesis y sus predicciones, y si se aportaron.</w:t>
      </w:r>
      <w:r>
        <w:rPr>
          <w:rFonts w:ascii="Arial" w:eastAsia="Arial" w:hAnsi="Arial" w:cs="Arial"/>
          <w:color w:val="000000"/>
          <w:sz w:val="24"/>
          <w:szCs w:val="24"/>
          <w:vertAlign w:val="superscript"/>
        </w:rPr>
        <w:footnoteReference w:id="701"/>
      </w:r>
      <w:r>
        <w:rPr>
          <w:rFonts w:ascii="Arial" w:eastAsia="Arial" w:hAnsi="Arial" w:cs="Arial"/>
          <w:color w:val="000000"/>
          <w:sz w:val="24"/>
          <w:szCs w:val="24"/>
        </w:rPr>
        <w:t xml:space="preserve"> En la materia electoral, esta operación se vincula con la facultad del órgano de requerir a autoridades, partidos y particulares los elementos que puedan servir para resolver.</w:t>
      </w:r>
      <w:r>
        <w:rPr>
          <w:rFonts w:ascii="Arial" w:eastAsia="Arial" w:hAnsi="Arial" w:cs="Arial"/>
          <w:color w:val="000000"/>
          <w:sz w:val="24"/>
          <w:szCs w:val="24"/>
          <w:vertAlign w:val="superscript"/>
        </w:rPr>
        <w:footnoteReference w:id="702"/>
      </w:r>
      <w:r>
        <w:rPr>
          <w:rFonts w:ascii="Arial" w:eastAsia="Arial" w:hAnsi="Arial" w:cs="Arial"/>
          <w:color w:val="000000"/>
          <w:sz w:val="24"/>
          <w:szCs w:val="24"/>
        </w:rPr>
        <w:t xml:space="preserve"> Cada una de las tres operaciones debe quedar expuesta en la motivación, de modo que las partes puedan impugnarla.</w:t>
      </w:r>
    </w:p>
    <w:p>
      <w:pPr>
        <w:spacing w:before="0" w:after="0" w:line="360" w:lineRule="auto"/>
        <w:ind w:firstLine="709"/>
        <w:jc w:val="both"/>
      </w:pPr>
      <w:r>
        <w:rPr>
          <w:rFonts w:ascii="Arial" w:eastAsia="Arial" w:hAnsi="Arial" w:cs="Arial"/>
          <w:color w:val="000000"/>
          <w:sz w:val="24"/>
          <w:szCs w:val="24"/>
        </w:rPr>
        <w:t xml:space="preserve">La regla sobre las pruebas no aportadas tiene una función específica en la materia electoral. La información sobre gastos, programas públicos o recursos utilizados en una campaña suele estar en poder de autoridades, partidos o candidaturas, y no de quien impugna. Según Ferrer Beltrán, una laguna probatoria causada por la parte beneficiada no debe impedir tener por satisfecho el estándar.</w:t>
      </w:r>
      <w:r>
        <w:rPr>
          <w:rFonts w:ascii="Arial" w:eastAsia="Arial" w:hAnsi="Arial" w:cs="Arial"/>
          <w:color w:val="000000"/>
          <w:sz w:val="24"/>
          <w:szCs w:val="24"/>
          <w:vertAlign w:val="superscript"/>
        </w:rPr>
        <w:footnoteReference w:id="703"/>
      </w:r>
      <w:r>
        <w:rPr>
          <w:rFonts w:ascii="Arial" w:eastAsia="Arial" w:hAnsi="Arial" w:cs="Arial"/>
          <w:color w:val="000000"/>
          <w:sz w:val="24"/>
          <w:szCs w:val="24"/>
        </w:rPr>
        <w:t xml:space="preserve"> El autor funda esta restricción en la necesidad de evitar incentivos contrarios al deber de colaboración procesal. En la nulidad de elecciones, la regla impide que la parte que defiende la validez se beneficie de no aportar información que tiene a su alcance. La regla no invierte la carga de la prueba, porque el actor debe seguir acreditando los indicios en que funda su hipótesis. La regla solo impide que la incompletitud imputable a la contraparte cuente en contra del actor. Por tanto, esta regla es una de las decisiones de distribución del riesgo que la formulación hace explícitas.</w:t>
      </w:r>
    </w:p>
    <w:p>
      <w:pPr>
        <w:spacing w:before="0" w:after="0" w:line="360" w:lineRule="auto"/>
        <w:ind w:firstLine="709"/>
        <w:jc w:val="both"/>
      </w:pPr>
      <w:r>
        <w:rPr>
          <w:rFonts w:ascii="Arial" w:eastAsia="Arial" w:hAnsi="Arial" w:cs="Arial"/>
          <w:color w:val="000000"/>
          <w:sz w:val="24"/>
          <w:szCs w:val="24"/>
        </w:rPr>
        <w:t xml:space="preserve">La formulación satisface los cinco criterios enunciados para la reforma. La formulación satisface el primero porque no remite a la convicción del juzgador, sino a la capacidad explicativa de las hipótesis y a la completitud del acervo. La formulación satisface el segundo porque fija un umbral identificable, situado entre los estándares que exigen refutar todas las alternativas y los que solo exigen una mayor probabilidad relativa. La formulación satisface el tercero porque se formula en términos de corroboración inductiva, sin exigir certeza ni valores numéricos. El cuarto criterio requiere una precisión. La formulación propuesta está diseñada para la decisión final más grave, que es la nulidad de una elección. Conforme al cuarto requisito metodológico, los umbrales de las demás decisiones deben ordenarse a partir de ella en progresiva disminución.</w:t>
      </w:r>
      <w:r>
        <w:rPr>
          <w:rFonts w:ascii="Arial" w:eastAsia="Arial" w:hAnsi="Arial" w:cs="Arial"/>
          <w:color w:val="000000"/>
          <w:sz w:val="24"/>
          <w:szCs w:val="24"/>
          <w:vertAlign w:val="superscript"/>
        </w:rPr>
        <w:footnoteReference w:id="704"/>
      </w:r>
      <w:r>
        <w:rPr>
          <w:rFonts w:ascii="Arial" w:eastAsia="Arial" w:hAnsi="Arial" w:cs="Arial"/>
          <w:color w:val="000000"/>
          <w:sz w:val="24"/>
          <w:szCs w:val="24"/>
        </w:rPr>
        <w:t xml:space="preserve"> La misma estructura puede graduarse para otras decisiones, por ejemplo limitando la comparación a la hipótesis sostenida por la parte contraria, como ocurre en el quinto estándar de Ferrer Beltrán.</w:t>
      </w:r>
    </w:p>
    <w:p>
      <w:pPr>
        <w:spacing w:before="0" w:after="0" w:line="360" w:lineRule="auto"/>
        <w:ind w:firstLine="709"/>
        <w:jc w:val="both"/>
      </w:pPr>
      <w:r>
        <w:rPr>
          <w:rFonts w:ascii="Arial" w:eastAsia="Arial" w:hAnsi="Arial" w:cs="Arial"/>
          <w:color w:val="000000"/>
          <w:sz w:val="24"/>
          <w:szCs w:val="24"/>
        </w:rPr>
        <w:t xml:space="preserve">La formulación satisface el quinto criterio, porque determina qué ocurre cuando las condiciones no se cumplen y sobre quién recae entonces el riesgo del error. Esta verificación corrige una conclusión que podría parecer natural. No es aconsejable aplicar una misma formulación, con idéntica exigencia, a la nulidad de una casilla y a la nulidad de una elección completa. Ambas decisiones tienen consecuencias distintas y, por tanto, pueden requerir umbrales distintos. Una misma estructura, basada en la comparación explicativa y en la completitud del acervo, puede emplearse con variaciones en el conjunto de hipótesis comparadas o en la exigencia de completitud. Ferrer Beltrán muestra que esas variaciones producen estándares distintos, porque modifican el umbral de suficiencia.</w:t>
      </w:r>
      <w:r>
        <w:rPr>
          <w:rFonts w:ascii="Arial" w:eastAsia="Arial" w:hAnsi="Arial" w:cs="Arial"/>
          <w:color w:val="000000"/>
          <w:sz w:val="24"/>
          <w:szCs w:val="24"/>
          <w:vertAlign w:val="superscript"/>
        </w:rPr>
        <w:footnoteReference w:id="705"/>
      </w:r>
      <w:r>
        <w:rPr>
          <w:rFonts w:ascii="Arial" w:eastAsia="Arial" w:hAnsi="Arial" w:cs="Arial"/>
          <w:color w:val="000000"/>
          <w:sz w:val="24"/>
          <w:szCs w:val="24"/>
        </w:rPr>
        <w:t xml:space="preserve"> La graduación concreta entre decisiones corresponde al legislador. Esta investigación se limita a proponer el estándar para la decisión de mayor alcance, que es la que motivó el análisis precedente, y deja abierta la formulación de los estándares para las decisiones de menor alcance.</w:t>
      </w:r>
    </w:p>
    <w:p>
      <w:pPr>
        <w:spacing w:before="0" w:after="0" w:line="360" w:lineRule="auto"/>
        <w:ind w:firstLine="709"/>
        <w:jc w:val="both"/>
      </w:pPr>
      <w:r>
        <w:rPr>
          <w:rFonts w:ascii="Arial" w:eastAsia="Arial" w:hAnsi="Arial" w:cs="Arial"/>
          <w:color w:val="000000"/>
          <w:sz w:val="24"/>
          <w:szCs w:val="24"/>
        </w:rPr>
        <w:t xml:space="preserve">El estándar propuesto expresa una preferencia de error explícita y moderada. Si la hipótesis de la irregularidad no explica los indicios mejor que las alternativas compatibles con la validez, la elección se tiene por válida. Si la explica mejor pero el acervo es incompleto, la elección es válida, salvo incompletitud imputable a quien defiende la validez. Ferrer Beltrán explica que, cuando no se satisface la cláusula del peso probatorio, el caso se resuelve conforme a la carga de la prueba.</w:t>
      </w:r>
      <w:r>
        <w:rPr>
          <w:rFonts w:ascii="Arial" w:eastAsia="Arial" w:hAnsi="Arial" w:cs="Arial"/>
          <w:color w:val="000000"/>
          <w:sz w:val="24"/>
          <w:szCs w:val="24"/>
          <w:vertAlign w:val="superscript"/>
        </w:rPr>
        <w:footnoteReference w:id="706"/>
      </w:r>
      <w:r>
        <w:rPr>
          <w:rFonts w:ascii="Arial" w:eastAsia="Arial" w:hAnsi="Arial" w:cs="Arial"/>
          <w:color w:val="000000"/>
          <w:sz w:val="24"/>
          <w:szCs w:val="24"/>
        </w:rPr>
        <w:t xml:space="preserve"> En el juicio de nulidad, la carga corresponde a quien afirma la irregularidad.</w:t>
      </w:r>
      <w:r>
        <w:rPr>
          <w:rFonts w:ascii="Arial" w:eastAsia="Arial" w:hAnsi="Arial" w:cs="Arial"/>
          <w:color w:val="000000"/>
          <w:sz w:val="24"/>
          <w:szCs w:val="24"/>
          <w:vertAlign w:val="superscript"/>
        </w:rPr>
        <w:footnoteReference w:id="707"/>
      </w:r>
      <w:r>
        <w:rPr>
          <w:rFonts w:ascii="Arial" w:eastAsia="Arial" w:hAnsi="Arial" w:cs="Arial"/>
          <w:color w:val="000000"/>
          <w:sz w:val="24"/>
          <w:szCs w:val="24"/>
        </w:rPr>
        <w:t xml:space="preserve"> En consecuencia, el riesgo del falso negativo recae sobre el actor y la ciudadanía, en la medida en que el acervo no alcance el umbral. El riesgo del falso positivo se reduce porque la irregularidad exige una explicación superior y un acervo completo. La preferencia es moderada, porque el estándar no exige refutar todas las alternativas, lo que haría prácticamente inalcanzable la acreditación de irregularidades encubiertas.</w:t>
      </w:r>
    </w:p>
    <w:p>
      <w:pPr>
        <w:spacing w:before="0" w:after="0" w:line="360" w:lineRule="auto"/>
        <w:ind w:firstLine="709"/>
        <w:jc w:val="both"/>
      </w:pPr>
      <w:r>
        <w:rPr>
          <w:rFonts w:ascii="Arial" w:eastAsia="Arial" w:hAnsi="Arial" w:cs="Arial"/>
          <w:color w:val="000000"/>
          <w:sz w:val="24"/>
          <w:szCs w:val="24"/>
        </w:rPr>
        <w:t xml:space="preserve">La formulación debe leerse junto con las demás reglas que distribuyen el riesgo en la materia electoral. La presunción constitucional de determinancia cuando la diferencia entre el primero y el segundo lugar es menor al cinco por ciento seguiría operando.</w:t>
      </w:r>
      <w:r>
        <w:rPr>
          <w:rFonts w:ascii="Arial" w:eastAsia="Arial" w:hAnsi="Arial" w:cs="Arial"/>
          <w:color w:val="000000"/>
          <w:sz w:val="24"/>
          <w:szCs w:val="24"/>
          <w:vertAlign w:val="superscript"/>
        </w:rPr>
        <w:footnoteReference w:id="708"/>
      </w:r>
      <w:r>
        <w:rPr>
          <w:rFonts w:ascii="Arial" w:eastAsia="Arial" w:hAnsi="Arial" w:cs="Arial"/>
          <w:color w:val="000000"/>
          <w:sz w:val="24"/>
          <w:szCs w:val="24"/>
        </w:rPr>
        <w:t xml:space="preserve"> El estándar se aplicaría a la acreditación de la irregularidad y, fuera de ese supuesto, a su carácter determinante. Ferrer Beltrán advierte que las cargas y las presunciones deben considerarse simultáneamente al fijar el umbral, porque todas inciden en la distribución del riesgo.</w:t>
      </w:r>
      <w:r>
        <w:rPr>
          <w:rFonts w:ascii="Arial" w:eastAsia="Arial" w:hAnsi="Arial" w:cs="Arial"/>
          <w:color w:val="000000"/>
          <w:sz w:val="24"/>
          <w:szCs w:val="24"/>
          <w:vertAlign w:val="superscript"/>
        </w:rPr>
        <w:footnoteReference w:id="709"/>
      </w:r>
      <w:r>
        <w:rPr>
          <w:rFonts w:ascii="Arial" w:eastAsia="Arial" w:hAnsi="Arial" w:cs="Arial"/>
          <w:color w:val="000000"/>
          <w:sz w:val="24"/>
          <w:szCs w:val="24"/>
        </w:rPr>
        <w:t xml:space="preserve"> La regla sobre las pruebas no aportadas equilibra la carga del actor. El resultado es un diseño en el que la validez sigue siendo la solución por defecto, pero en el que la medida de esa preferencia queda fijada en la ley. Ese diseño plantea una última cuestión de viabilidad. Esa cuestión es si la prueba indiciaria electoral puede alcanzar el estándar.</w:t>
      </w:r>
    </w:p>
    <w:p>
      <w:pPr>
        <w:spacing w:before="0" w:after="0" w:line="360" w:lineRule="auto"/>
        <w:jc w:val="left"/>
      </w:pPr>
    </w:p>
    <w:p>
      <w:pPr>
        <w:pStyle w:val="Ttulo2"/>
        <w:keepNext/>
        <w:spacing w:before="0" w:after="0" w:line="360" w:lineRule="auto"/>
        <w:ind w:left="567" w:hanging="284"/>
        <w:jc w:val="left"/>
      </w:pPr>
      <w:bookmarkStart w:id="825" w:name="_Toc9000025"/>
      <w:r>
        <w:rPr>
          <w:rFonts w:ascii="Arial" w:eastAsia="Arial" w:hAnsi="Arial" w:cs="Arial"/>
          <w:color w:val="000000"/>
          <w:sz w:val="24"/>
          <w:szCs w:val="24"/>
        </w:rPr>
        <w:t xml:space="preserve">5.3. </w:t>
      </w:r>
      <w:r>
        <w:rPr>
          <w:rFonts w:ascii="Arial" w:eastAsia="Arial" w:hAnsi="Arial" w:cs="Arial"/>
          <w:i/>
          <w:iCs/>
          <w:color w:val="000000"/>
          <w:sz w:val="24"/>
          <w:szCs w:val="24"/>
        </w:rPr>
        <w:t xml:space="preserve">Compatibilidad del estándar propuesto con la naturaleza indiciaria de la prueba electoral</w:t>
      </w:r>
      <w:bookmarkEnd w:id="825"/>
    </w:p>
    <w:p>
      <w:pPr>
        <w:spacing w:before="0" w:after="0" w:line="360" w:lineRule="auto"/>
        <w:jc w:val="left"/>
      </w:pPr>
    </w:p>
    <w:p>
      <w:pPr>
        <w:spacing w:before="0" w:after="0" w:line="360" w:lineRule="auto"/>
        <w:ind w:firstLine="0"/>
        <w:jc w:val="both"/>
      </w:pPr>
      <w:r>
        <w:rPr>
          <w:rFonts w:ascii="Arial" w:eastAsia="Arial" w:hAnsi="Arial" w:cs="Arial"/>
          <w:color w:val="000000"/>
          <w:sz w:val="24"/>
          <w:szCs w:val="24"/>
        </w:rPr>
        <w:t xml:space="preserve">Un estándar de prueba puede satisfacer los requisitos metodológicos y resultar inaplicable si exige un tipo de prueba que la materia no puede ofrecer. La prueba de que dispone el contencioso electoral es predominantemente indiciaria. La tesis que se sostiene es que el estándar propuesto es compatible con esa prueba. El estándar formaliza como regla de suficiencia operaciones que el razonamiento indiciario ya exige. La demostración caracteriza primero la naturaleza indiciaria de la prueba electoral y examina cómo adquieren fuerza probatoria los indicios según la doctrina y la jurisprudencia. Después establece la correspondencia entre esos requisitos y las condiciones del estándar. El análisis responde después a las objeciones más previsibles y precisa qué cambia y qué permanece con la reforma. En consecuencia, este examen cierra el argumento central de la investigación.</w:t>
      </w:r>
    </w:p>
    <w:p>
      <w:pPr>
        <w:spacing w:before="0" w:after="0" w:line="360" w:lineRule="auto"/>
        <w:ind w:firstLine="709"/>
        <w:jc w:val="both"/>
      </w:pPr>
      <w:r>
        <w:rPr>
          <w:rFonts w:ascii="Arial" w:eastAsia="Arial" w:hAnsi="Arial" w:cs="Arial"/>
          <w:color w:val="000000"/>
          <w:sz w:val="24"/>
          <w:szCs w:val="24"/>
        </w:rPr>
        <w:t xml:space="preserve">Las irregularidades que fundan la nulidad de una elección rara vez pueden acreditarse mediante prueba directa. La Sala Superior reconoció en el SUP-JIN-194/2025 que resultaba poco probable que la parte actora pudiera hacerse de pruebas directas de cada hecho alegado.</w:t>
      </w:r>
      <w:r>
        <w:rPr>
          <w:rFonts w:ascii="Arial" w:eastAsia="Arial" w:hAnsi="Arial" w:cs="Arial"/>
          <w:color w:val="000000"/>
          <w:sz w:val="24"/>
          <w:szCs w:val="24"/>
          <w:vertAlign w:val="superscript"/>
        </w:rPr>
        <w:footnoteReference w:id="710"/>
      </w:r>
      <w:r>
        <w:rPr>
          <w:rFonts w:ascii="Arial" w:eastAsia="Arial" w:hAnsi="Arial" w:cs="Arial"/>
          <w:color w:val="000000"/>
          <w:sz w:val="24"/>
          <w:szCs w:val="24"/>
        </w:rPr>
        <w:t xml:space="preserve"> La Sala añadió que existe un amplio desarrollo doctrinal y práctico sobre la posibilidad de probar conductas antijurídicas a partir de elementos indirectos e inferencias. El proyecto del voto de Rodríguez Mondragón recordó un criterio de la Sala sobre los actos ilícitos. Según ese criterio, los actos dirigidos a un fin ilícito suelen ser disfrazados, seccionados y diseminados, de modo que las pruebas indirectas resultan la forma más idónea para probarlos.</w:t>
      </w:r>
      <w:r>
        <w:rPr>
          <w:rFonts w:ascii="Arial" w:eastAsia="Arial" w:hAnsi="Arial" w:cs="Arial"/>
          <w:color w:val="000000"/>
          <w:sz w:val="24"/>
          <w:szCs w:val="24"/>
          <w:vertAlign w:val="superscript"/>
        </w:rPr>
        <w:footnoteReference w:id="711"/>
      </w:r>
      <w:r>
        <w:rPr>
          <w:rFonts w:ascii="Arial" w:eastAsia="Arial" w:hAnsi="Arial" w:cs="Arial"/>
          <w:color w:val="000000"/>
          <w:sz w:val="24"/>
          <w:szCs w:val="24"/>
        </w:rPr>
        <w:t xml:space="preserve"> En el mismo voto, el magistrado sostuvo que exigir la prueba de cómo votó cada elector equivaldría a exigir pruebas imposibles, porque el voto es secreto.</w:t>
      </w:r>
      <w:r>
        <w:rPr>
          <w:rFonts w:ascii="Arial" w:eastAsia="Arial" w:hAnsi="Arial" w:cs="Arial"/>
          <w:color w:val="000000"/>
          <w:sz w:val="24"/>
          <w:szCs w:val="24"/>
          <w:vertAlign w:val="superscript"/>
        </w:rPr>
        <w:footnoteReference w:id="712"/>
      </w:r>
      <w:r>
        <w:rPr>
          <w:rFonts w:ascii="Arial" w:eastAsia="Arial" w:hAnsi="Arial" w:cs="Arial"/>
          <w:color w:val="000000"/>
          <w:sz w:val="24"/>
          <w:szCs w:val="24"/>
        </w:rPr>
        <w:t xml:space="preserve"> Por tanto, la prueba indirecta es la vía ordinaria de acreditación electoral. La legislación y la jurisprudencia reflejan esa realidad.</w:t>
      </w:r>
    </w:p>
    <w:p>
      <w:pPr>
        <w:spacing w:before="0" w:after="0" w:line="360" w:lineRule="auto"/>
        <w:ind w:firstLine="709"/>
        <w:jc w:val="both"/>
      </w:pPr>
      <w:r>
        <w:rPr>
          <w:rFonts w:ascii="Arial" w:eastAsia="Arial" w:hAnsi="Arial" w:cs="Arial"/>
          <w:color w:val="000000"/>
          <w:sz w:val="24"/>
          <w:szCs w:val="24"/>
        </w:rPr>
        <w:t xml:space="preserve">La ley de medios atribuye a los medios distintos de las documentales públicas un valor que solo alcanza la prueba plena mediante su relación con los demás elementos del expediente.</w:t>
      </w:r>
      <w:r>
        <w:rPr>
          <w:rFonts w:ascii="Arial" w:eastAsia="Arial" w:hAnsi="Arial" w:cs="Arial"/>
          <w:color w:val="000000"/>
          <w:sz w:val="24"/>
          <w:szCs w:val="24"/>
          <w:vertAlign w:val="superscript"/>
        </w:rPr>
        <w:footnoteReference w:id="713"/>
      </w:r>
      <w:r>
        <w:rPr>
          <w:rFonts w:ascii="Arial" w:eastAsia="Arial" w:hAnsi="Arial" w:cs="Arial"/>
          <w:color w:val="000000"/>
          <w:sz w:val="24"/>
          <w:szCs w:val="24"/>
        </w:rPr>
        <w:t xml:space="preserve"> La jurisprudencia 38/2002 dispone, en el mismo sentido, que las notas periodísticas solo pueden arrojar indicios sobre los hechos a que se refieren.</w:t>
      </w:r>
      <w:r>
        <w:rPr>
          <w:rFonts w:ascii="Arial" w:eastAsia="Arial" w:hAnsi="Arial" w:cs="Arial"/>
          <w:color w:val="000000"/>
          <w:sz w:val="24"/>
          <w:szCs w:val="24"/>
          <w:vertAlign w:val="superscript"/>
        </w:rPr>
        <w:footnoteReference w:id="714"/>
      </w:r>
      <w:r>
        <w:rPr>
          <w:rFonts w:ascii="Arial" w:eastAsia="Arial" w:hAnsi="Arial" w:cs="Arial"/>
          <w:color w:val="000000"/>
          <w:sz w:val="24"/>
          <w:szCs w:val="24"/>
        </w:rPr>
        <w:t xml:space="preserve"> En consecuencia, cualquier estándar para la nulidad de elecciones debe poder operar sobre acervos formados principalmente por indicios. La doctrina explica cómo adquieren fuerza probatoria los indicios. Gascón Abellán señala que el requisito de la pluralidad exige que la prueba de un hecho se funde en más de un indicio. Ese requisito suele acompañarse del de la concordancia, que exige que los indicios confluyan en una reconstrucción unitaria del hecho.</w:t>
      </w:r>
      <w:r>
        <w:rPr>
          <w:rFonts w:ascii="Arial" w:eastAsia="Arial" w:hAnsi="Arial" w:cs="Arial"/>
          <w:color w:val="000000"/>
          <w:sz w:val="24"/>
          <w:szCs w:val="24"/>
          <w:vertAlign w:val="superscript"/>
        </w:rPr>
        <w:footnoteReference w:id="715"/>
      </w:r>
      <w:r>
        <w:rPr>
          <w:rFonts w:ascii="Arial" w:eastAsia="Arial" w:hAnsi="Arial" w:cs="Arial"/>
          <w:color w:val="000000"/>
          <w:sz w:val="24"/>
          <w:szCs w:val="24"/>
        </w:rPr>
        <w:t xml:space="preserve"> La autora justifica la pluralidad por dos razones. Ambas razones se refieren a la naturaleza del dato indiciario y del razonamiento que lo procesa.</w:t>
      </w:r>
    </w:p>
    <w:p>
      <w:pPr>
        <w:spacing w:before="0" w:after="0" w:line="360" w:lineRule="auto"/>
        <w:ind w:firstLine="709"/>
        <w:jc w:val="both"/>
      </w:pPr>
      <w:r>
        <w:rPr>
          <w:rFonts w:ascii="Arial" w:eastAsia="Arial" w:hAnsi="Arial" w:cs="Arial"/>
          <w:color w:val="000000"/>
          <w:sz w:val="24"/>
          <w:szCs w:val="24"/>
        </w:rPr>
        <w:t xml:space="preserve">La primera razón es que la pluralidad evita fundar una conclusión en un único dato, que por naturaleza es equívoco. La segunda razón es que el razonamiento indiciario es inductivo, de modo que su resultado es de mera probabilidad y resulta más fiable cuantos más indicios lo apoyen. Gascón Abellán matiza, sin embargo, que nada excluye en principio que un hecho se pruebe con un solo indicio si su calidad epistemológica es muy elevada. Por tanto, la afirmación de que un indicio aislado carece siempre de fuerza demostrativa debe matizarse. La regla general es que la fuerza probatoria depende de la pluralidad y la concordancia. La cantidad de indicios no sustituye, sin embargo, su calidad. La Sala Superior recogió criterios semejantes al exigir que los indicios estén acreditados, sean plurales, sean concomitantes al hecho por probar y estén interrelacionados entre sí.</w:t>
      </w:r>
      <w:r>
        <w:rPr>
          <w:rFonts w:ascii="Arial" w:eastAsia="Arial" w:hAnsi="Arial" w:cs="Arial"/>
          <w:color w:val="000000"/>
          <w:sz w:val="24"/>
          <w:szCs w:val="24"/>
          <w:vertAlign w:val="superscript"/>
        </w:rPr>
        <w:footnoteReference w:id="716"/>
      </w:r>
      <w:r>
        <w:rPr>
          <w:rFonts w:ascii="Arial" w:eastAsia="Arial" w:hAnsi="Arial" w:cs="Arial"/>
          <w:color w:val="000000"/>
          <w:sz w:val="24"/>
          <w:szCs w:val="24"/>
        </w:rPr>
        <w:t xml:space="preserve"> La jurisprudencia electoral contiene, junto a esos requisitos, un criterio sobre la graduación de la fuerza de los indicios.</w:t>
      </w:r>
    </w:p>
    <w:p>
      <w:pPr>
        <w:spacing w:before="0" w:after="0" w:line="360" w:lineRule="auto"/>
        <w:ind w:firstLine="709"/>
        <w:jc w:val="both"/>
      </w:pPr>
      <w:r>
        <w:rPr>
          <w:rFonts w:ascii="Arial" w:eastAsia="Arial" w:hAnsi="Arial" w:cs="Arial"/>
          <w:color w:val="000000"/>
          <w:sz w:val="24"/>
          <w:szCs w:val="24"/>
        </w:rPr>
        <w:t xml:space="preserve">La jurisprudencia 38/2002 distingue entre indicios simples e indicios de mayor grado convictivo. El juzgador pondera si hay varias notas de distintos medios y autores, coincidentes en lo sustancial y sin desmentido. Cuando concurren esas circunstancias, la jurisprudencia concluye que los elementos faltantes para alcanzar la fuerza probatoria plena son menores. El criterio muestra que la jurisprudencia ya concibe la prueba indiciaria como una cuestión de grado. El criterio no indica, sin embargo, cuándo el grado alcanzado es suficiente para tener por probado el hecho. La diferencia entre acumular indicios débiles y tejer una red que se corrobora depende de la independencia, la coincidencia y la pertinencia de las fuentes. Esos factores pertenecen a la valoración del valor probatorio y no a la regla de suficiencia. El estándar propuesto se apoya en esa valoración y le añade la decisión sobre la suficiencia que la jurisprudencia deja abierta.</w:t>
      </w:r>
    </w:p>
    <w:p>
      <w:pPr>
        <w:spacing w:before="0" w:after="0" w:line="360" w:lineRule="auto"/>
        <w:ind w:firstLine="709"/>
        <w:jc w:val="both"/>
      </w:pPr>
      <w:r>
        <w:rPr>
          <w:rFonts w:ascii="Arial" w:eastAsia="Arial" w:hAnsi="Arial" w:cs="Arial"/>
          <w:color w:val="000000"/>
          <w:sz w:val="24"/>
          <w:szCs w:val="24"/>
        </w:rPr>
        <w:t xml:space="preserve">Cada condición del estándar propuesto corresponde a una operación que el razonamiento indiciario ya exige. La primera condición, que la hipótesis de la irregularidad explique los indicios mejor que las alternativas compatibles con la validez, corresponde a la comparación entre conclusiones. La Sala Superior sostuvo que, si los indicios llevan a diversas conclusiones, debe atenderse a cada una a partir de sus bondades y debilidades para elegir la adecuada.</w:t>
      </w:r>
      <w:r>
        <w:rPr>
          <w:rFonts w:ascii="Arial" w:eastAsia="Arial" w:hAnsi="Arial" w:cs="Arial"/>
          <w:color w:val="000000"/>
          <w:sz w:val="24"/>
          <w:szCs w:val="24"/>
          <w:vertAlign w:val="superscript"/>
        </w:rPr>
        <w:footnoteReference w:id="717"/>
      </w:r>
      <w:r>
        <w:rPr>
          <w:rFonts w:ascii="Arial" w:eastAsia="Arial" w:hAnsi="Arial" w:cs="Arial"/>
          <w:color w:val="000000"/>
          <w:sz w:val="24"/>
          <w:szCs w:val="24"/>
        </w:rPr>
        <w:t xml:space="preserve"> Gascón Abellán explica que el juicio de aceptabilidad de una hipótesis es un juicio sobre su confirmación y su no refutación.</w:t>
      </w:r>
      <w:r>
        <w:rPr>
          <w:rFonts w:ascii="Arial" w:eastAsia="Arial" w:hAnsi="Arial" w:cs="Arial"/>
          <w:color w:val="000000"/>
          <w:sz w:val="24"/>
          <w:szCs w:val="24"/>
          <w:vertAlign w:val="superscript"/>
        </w:rPr>
        <w:footnoteReference w:id="718"/>
      </w:r>
      <w:r>
        <w:rPr>
          <w:rFonts w:ascii="Arial" w:eastAsia="Arial" w:hAnsi="Arial" w:cs="Arial"/>
          <w:color w:val="000000"/>
          <w:sz w:val="24"/>
          <w:szCs w:val="24"/>
        </w:rPr>
        <w:t xml:space="preserve"> La autora añade que hipótesis rivales pueden resultar suficientemente fundadas. En esos casos es necesario justificar por qué una de ellas es más aceptable que la otra.</w:t>
      </w:r>
      <w:r>
        <w:rPr>
          <w:rFonts w:ascii="Arial" w:eastAsia="Arial" w:hAnsi="Arial" w:cs="Arial"/>
          <w:color w:val="000000"/>
          <w:sz w:val="24"/>
          <w:szCs w:val="24"/>
          <w:vertAlign w:val="superscript"/>
        </w:rPr>
        <w:footnoteReference w:id="719"/>
      </w:r>
      <w:r>
        <w:rPr>
          <w:rFonts w:ascii="Arial" w:eastAsia="Arial" w:hAnsi="Arial" w:cs="Arial"/>
          <w:color w:val="000000"/>
          <w:sz w:val="24"/>
          <w:szCs w:val="24"/>
        </w:rPr>
        <w:t xml:space="preserve"> La autora sostiene que la motivación debe reflejar esa confrontación de hipótesis. Por consiguiente, la primera condición convierte esa confrontación en una regla expresa de decisión, cuya aplicación solo exige que el juzgador exponga la comparación que ya debería realizar.</w:t>
      </w:r>
    </w:p>
    <w:p>
      <w:pPr>
        <w:spacing w:before="0" w:after="0" w:line="360" w:lineRule="auto"/>
        <w:ind w:firstLine="709"/>
        <w:jc w:val="both"/>
      </w:pPr>
      <w:r>
        <w:rPr>
          <w:rFonts w:ascii="Arial" w:eastAsia="Arial" w:hAnsi="Arial" w:cs="Arial"/>
          <w:color w:val="000000"/>
          <w:sz w:val="24"/>
          <w:szCs w:val="24"/>
        </w:rPr>
        <w:t xml:space="preserve">La segunda condición, que ningún elemento de juicio relevante quede sin explicar, corresponde a la concordancia e interrelación de los indicios. Ferrer Beltrán sostiene que cualquier hipótesis debe integrar coherentemente los datos de partida, porque una hipótesis incoherente es siempre falsa.</w:t>
      </w:r>
      <w:r>
        <w:rPr>
          <w:rFonts w:ascii="Arial" w:eastAsia="Arial" w:hAnsi="Arial" w:cs="Arial"/>
          <w:color w:val="000000"/>
          <w:sz w:val="24"/>
          <w:szCs w:val="24"/>
          <w:vertAlign w:val="superscript"/>
        </w:rPr>
        <w:footnoteReference w:id="720"/>
      </w:r>
      <w:r>
        <w:rPr>
          <w:rFonts w:ascii="Arial" w:eastAsia="Arial" w:hAnsi="Arial" w:cs="Arial"/>
          <w:color w:val="000000"/>
          <w:sz w:val="24"/>
          <w:szCs w:val="24"/>
        </w:rPr>
        <w:t xml:space="preserve"> Esta condición permite distinguir una red de indicios interrelacionados de una suma de indicios aislados. Una hipótesis que explica varios indicios, pero deja sin explicar un contraindicio relevante, no satisface la condición. La tercera condición, la completitud del acervo, cumple una función distinta. Esa condición no mide la calidad de la relación entre los indicios, sino la riqueza del conjunto de elementos de juicio con que se decide. Ferrer Beltrán distingue el peso probatorio, que mide la completitud, del valor probatorio, que mide la confirmación.</w:t>
      </w:r>
      <w:r>
        <w:rPr>
          <w:rFonts w:ascii="Arial" w:eastAsia="Arial" w:hAnsi="Arial" w:cs="Arial"/>
          <w:color w:val="000000"/>
          <w:sz w:val="24"/>
          <w:szCs w:val="24"/>
          <w:vertAlign w:val="superscript"/>
        </w:rPr>
        <w:footnoteReference w:id="721"/>
      </w:r>
      <w:r>
        <w:rPr>
          <w:rFonts w:ascii="Arial" w:eastAsia="Arial" w:hAnsi="Arial" w:cs="Arial"/>
          <w:color w:val="000000"/>
          <w:sz w:val="24"/>
          <w:szCs w:val="24"/>
        </w:rPr>
        <w:t xml:space="preserve"> Por tanto, la distinción entre indicios genuinamente interrelacionados y la mera acumulación de indicios débiles descansa en la segunda condición y en la valoración, no en la completitud.</w:t>
      </w:r>
    </w:p>
    <w:p>
      <w:pPr>
        <w:spacing w:before="0" w:after="0" w:line="360" w:lineRule="auto"/>
        <w:ind w:firstLine="709"/>
        <w:jc w:val="both"/>
      </w:pPr>
      <w:r>
        <w:rPr>
          <w:rFonts w:ascii="Arial" w:eastAsia="Arial" w:hAnsi="Arial" w:cs="Arial"/>
          <w:color w:val="000000"/>
          <w:sz w:val="24"/>
          <w:szCs w:val="24"/>
        </w:rPr>
        <w:t xml:space="preserve">La propuesta enfrenta objeciones previsibles. La primera objeción sostiene que la completitud del acervo es inalcanzable en el contencioso electoral. Los medios de impugnación deben presentarse en plazos de cuatro días y las periciales solo pueden ordenarse cuando los plazos permitan su desahogo.</w:t>
      </w:r>
      <w:r>
        <w:rPr>
          <w:rFonts w:ascii="Arial" w:eastAsia="Arial" w:hAnsi="Arial" w:cs="Arial"/>
          <w:color w:val="000000"/>
          <w:sz w:val="24"/>
          <w:szCs w:val="24"/>
          <w:vertAlign w:val="superscript"/>
        </w:rPr>
        <w:footnoteReference w:id="722"/>
      </w:r>
      <w:r>
        <w:rPr>
          <w:rFonts w:ascii="Arial" w:eastAsia="Arial" w:hAnsi="Arial" w:cs="Arial"/>
          <w:color w:val="000000"/>
          <w:sz w:val="24"/>
          <w:szCs w:val="24"/>
        </w:rPr>
        <w:t xml:space="preserve"> La objeción es seria, pero confunde la completitud exigida con una completitud ideal. Ferrer Beltrán precisa que la completitud es tendencial y se refiere a las pruebas relevantes accesibles, no a todas las pruebas imaginables.</w:t>
      </w:r>
      <w:r>
        <w:rPr>
          <w:rFonts w:ascii="Arial" w:eastAsia="Arial" w:hAnsi="Arial" w:cs="Arial"/>
          <w:color w:val="000000"/>
          <w:sz w:val="24"/>
          <w:szCs w:val="24"/>
          <w:vertAlign w:val="superscript"/>
        </w:rPr>
        <w:footnoteReference w:id="723"/>
      </w:r>
      <w:r>
        <w:rPr>
          <w:rFonts w:ascii="Arial" w:eastAsia="Arial" w:hAnsi="Arial" w:cs="Arial"/>
          <w:color w:val="000000"/>
          <w:sz w:val="24"/>
          <w:szCs w:val="24"/>
        </w:rPr>
        <w:t xml:space="preserve"> Las lagunas imputables a la parte beneficiada no impiden satisfacer el estándar. El órgano electoral dispone de la facultad de requerir documentación a autoridades, partidos y particulares, lo que permite reducir las lagunas sin cargar al actor con pruebas que no controla.</w:t>
      </w:r>
      <w:r>
        <w:rPr>
          <w:rFonts w:ascii="Arial" w:eastAsia="Arial" w:hAnsi="Arial" w:cs="Arial"/>
          <w:color w:val="000000"/>
          <w:sz w:val="24"/>
          <w:szCs w:val="24"/>
          <w:vertAlign w:val="superscript"/>
        </w:rPr>
        <w:footnoteReference w:id="724"/>
      </w:r>
      <w:r>
        <w:rPr>
          <w:rFonts w:ascii="Arial" w:eastAsia="Arial" w:hAnsi="Arial" w:cs="Arial"/>
          <w:color w:val="000000"/>
          <w:sz w:val="24"/>
          <w:szCs w:val="24"/>
        </w:rPr>
        <w:t xml:space="preserve"> Subsiste, con todo, un riesgo de que el acervo no alcance la completitud por razones de tiempo, y ese riesgo es una consecuencia de la distribución elegida que debe reconocerse como tal.</w:t>
      </w:r>
    </w:p>
    <w:p>
      <w:pPr>
        <w:spacing w:before="0" w:after="0" w:line="360" w:lineRule="auto"/>
        <w:ind w:firstLine="709"/>
        <w:jc w:val="both"/>
      </w:pPr>
      <w:r>
        <w:rPr>
          <w:rFonts w:ascii="Arial" w:eastAsia="Arial" w:hAnsi="Arial" w:cs="Arial"/>
          <w:color w:val="000000"/>
          <w:sz w:val="24"/>
          <w:szCs w:val="24"/>
        </w:rPr>
        <w:t xml:space="preserve">La segunda objeción sostiene que un estándar comparativo es demasiado débil. Según esa objeción, el estándar permitiría anular una elección con una hipótesis apenas mejor que una alternativa igualmente débil. Ferrer Beltrán reconoce ese problema en los estándares que solo exigen una mayor probabilidad relativa entre hipótesis.</w:t>
      </w:r>
      <w:r>
        <w:rPr>
          <w:rFonts w:ascii="Arial" w:eastAsia="Arial" w:hAnsi="Arial" w:cs="Arial"/>
          <w:color w:val="000000"/>
          <w:sz w:val="24"/>
          <w:szCs w:val="24"/>
          <w:vertAlign w:val="superscript"/>
        </w:rPr>
        <w:footnoteReference w:id="725"/>
      </w:r>
      <w:r>
        <w:rPr>
          <w:rFonts w:ascii="Arial" w:eastAsia="Arial" w:hAnsi="Arial" w:cs="Arial"/>
          <w:color w:val="000000"/>
          <w:sz w:val="24"/>
          <w:szCs w:val="24"/>
        </w:rPr>
        <w:t xml:space="preserve"> El estándar propuesto enfrenta el problema con dos condiciones adicionales, que son la coherencia de la hipótesis con todos los elementos relevantes y la completitud del acervo. La tercera objeción sostiene, en sentido contrario, que el estándar es demasiado exigente frente a irregularidades encubiertas. La respuesta es que el estándar no exige refutar todas las alternativas, exigencia que haría prácticamente inalcanzable la prueba indiciaria de esas irregularidades. En consecuencia, el estándar evita tanto la debilidad de la mera comparación como la rigidez de la refutación total. El proyecto de Rodríguez Mondragón ofrece un apoyo para esa posición intermedia.</w:t>
      </w:r>
    </w:p>
    <w:p>
      <w:pPr>
        <w:spacing w:before="0" w:after="0" w:line="360" w:lineRule="auto"/>
        <w:ind w:firstLine="709"/>
        <w:jc w:val="both"/>
      </w:pPr>
      <w:r>
        <w:rPr>
          <w:rFonts w:ascii="Arial" w:eastAsia="Arial" w:hAnsi="Arial" w:cs="Arial"/>
          <w:color w:val="000000"/>
          <w:sz w:val="24"/>
          <w:szCs w:val="24"/>
        </w:rPr>
        <w:t xml:space="preserve">El proyecto de Rodríguez Mondragón sostuvo que las dificultades probatorias no justifican disminuir el estándar. Según el proyecto, la solución consiste en admitir prueba indiciaria, circunstancial o contextual que alcance el nivel exigido mediante la convergencia de múltiples elementos.</w:t>
      </w:r>
      <w:r>
        <w:rPr>
          <w:rFonts w:ascii="Arial" w:eastAsia="Arial" w:hAnsi="Arial" w:cs="Arial"/>
          <w:color w:val="000000"/>
          <w:sz w:val="24"/>
          <w:szCs w:val="24"/>
          <w:vertAlign w:val="superscript"/>
        </w:rPr>
        <w:footnoteReference w:id="726"/>
      </w:r>
      <w:r>
        <w:rPr>
          <w:rFonts w:ascii="Arial" w:eastAsia="Arial" w:hAnsi="Arial" w:cs="Arial"/>
          <w:color w:val="000000"/>
          <w:sz w:val="24"/>
          <w:szCs w:val="24"/>
        </w:rPr>
        <w:t xml:space="preserve"> El estándar propuesto se sitúa en esa línea. El estándar formula la exigencia en términos que la prueba indiciaria puede satisfacer sin rebajarla por la dificultad. Por tanto, ninguna de las objeciones demuestra una incompatibilidad estructural entre el estándar y la prueba disponible. El estándar propuesto no modifica los medios de prueba admisibles en el contencioso electoral. La ley de medios seguiría admitiendo documentales públicas y privadas, pruebas técnicas, presuncionales, instrumental de actuaciones y, en los términos que establece, confesional y testimonial.</w:t>
      </w:r>
      <w:r>
        <w:rPr>
          <w:rFonts w:ascii="Arial" w:eastAsia="Arial" w:hAnsi="Arial" w:cs="Arial"/>
          <w:color w:val="000000"/>
          <w:sz w:val="24"/>
          <w:szCs w:val="24"/>
          <w:vertAlign w:val="superscript"/>
        </w:rPr>
        <w:footnoteReference w:id="727"/>
      </w:r>
      <w:r>
        <w:rPr>
          <w:rFonts w:ascii="Arial" w:eastAsia="Arial" w:hAnsi="Arial" w:cs="Arial"/>
          <w:color w:val="000000"/>
          <w:sz w:val="24"/>
          <w:szCs w:val="24"/>
        </w:rPr>
        <w:t xml:space="preserve"> El estándar tampoco modifica el método de valoración, que seguiría rigiéndose por las reglas de la lógica, la sana crítica y la experiencia.</w:t>
      </w:r>
    </w:p>
    <w:p>
      <w:pPr>
        <w:spacing w:before="0" w:after="0" w:line="360" w:lineRule="auto"/>
        <w:ind w:firstLine="709"/>
        <w:jc w:val="both"/>
      </w:pPr>
      <w:r>
        <w:rPr>
          <w:rFonts w:ascii="Arial" w:eastAsia="Arial" w:hAnsi="Arial" w:cs="Arial"/>
          <w:color w:val="000000"/>
          <w:sz w:val="24"/>
          <w:szCs w:val="24"/>
        </w:rPr>
        <w:t xml:space="preserve">La regla de peso de las documentales públicas permanecería igualmente vigente. El estándar modifica el criterio con que se decide si el acervo, una vez valorado, es suficiente para tener por acreditada la irregularidad. Esa modificación recae sobre el párrafo 3 del artículo 16, que hoy remite la prueba plena a la convicción del órgano. El precepto conserva la redacción publicada en el </w:t>
      </w:r>
      <w:r>
        <w:rPr>
          <w:rFonts w:ascii="Arial" w:eastAsia="Arial" w:hAnsi="Arial" w:cs="Arial"/>
          <w:i/>
          <w:iCs/>
          <w:color w:val="000000"/>
          <w:sz w:val="24"/>
          <w:szCs w:val="24"/>
        </w:rPr>
        <w:t xml:space="preserve">Diario Oficial</w:t>
      </w:r>
      <w:r>
        <w:rPr>
          <w:rFonts w:ascii="Arial" w:eastAsia="Arial" w:hAnsi="Arial" w:cs="Arial"/>
          <w:color w:val="000000"/>
          <w:sz w:val="24"/>
          <w:szCs w:val="24"/>
        </w:rPr>
        <w:t xml:space="preserve"> el 22 de noviembre de 1996, sin reformas de contenido.</w:t>
      </w:r>
      <w:r>
        <w:rPr>
          <w:rFonts w:ascii="Arial" w:eastAsia="Arial" w:hAnsi="Arial" w:cs="Arial"/>
          <w:color w:val="000000"/>
          <w:sz w:val="24"/>
          <w:szCs w:val="24"/>
          <w:vertAlign w:val="superscript"/>
        </w:rPr>
        <w:footnoteReference w:id="728"/>
      </w:r>
      <w:r>
        <w:rPr>
          <w:rFonts w:ascii="Arial" w:eastAsia="Arial" w:hAnsi="Arial" w:cs="Arial"/>
          <w:color w:val="000000"/>
          <w:sz w:val="24"/>
          <w:szCs w:val="24"/>
        </w:rPr>
        <w:t xml:space="preserve"> La confusión entre valoración y suficiencia ha permanecido en el texto legal durante casi treinta años. En consecuencia, la reforma propuesta corrige esa confusión sin alterar las demás piezas del sistema probatorio electoral. La distinción entre el objeto de la prueba y el criterio de su suficiencia es la misma que la investigación ha sostenido entre la valoración de la prueba y el estándar de prueba. Esa distinción puede ilustrarse con una analogía que Ferrer Beltrán propone.</w:t>
      </w:r>
    </w:p>
    <w:p>
      <w:pPr>
        <w:spacing w:before="0" w:after="0" w:line="360" w:lineRule="auto"/>
        <w:ind w:firstLine="709"/>
        <w:jc w:val="both"/>
      </w:pPr>
      <w:r>
        <w:rPr>
          <w:rFonts w:ascii="Arial" w:eastAsia="Arial" w:hAnsi="Arial" w:cs="Arial"/>
          <w:color w:val="000000"/>
          <w:sz w:val="24"/>
          <w:szCs w:val="24"/>
        </w:rPr>
        <w:t xml:space="preserve">La valoración determina cuánto apoyan las pruebas a cada hipótesis, mientras que el estándar determina si ese apoyo basta para decidir. Ferrer Beltrán expresa esa diferencia al comparar los estándares con la nota mínima para aprobar un examen, que no afecta la libertad del profesor para valorar las respuestas.</w:t>
      </w:r>
      <w:r>
        <w:rPr>
          <w:rFonts w:ascii="Arial" w:eastAsia="Arial" w:hAnsi="Arial" w:cs="Arial"/>
          <w:color w:val="000000"/>
          <w:sz w:val="24"/>
          <w:szCs w:val="24"/>
          <w:vertAlign w:val="superscript"/>
        </w:rPr>
        <w:footnoteReference w:id="729"/>
      </w:r>
      <w:r>
        <w:rPr>
          <w:rFonts w:ascii="Arial" w:eastAsia="Arial" w:hAnsi="Arial" w:cs="Arial"/>
          <w:color w:val="000000"/>
          <w:sz w:val="24"/>
          <w:szCs w:val="24"/>
        </w:rPr>
        <w:t xml:space="preserve"> La jurisprudencia electoral ha desarrollado criterios valiosos para la valoración de indicios, como la pluralidad, la concomitancia, la interrelación y la ponderación de las circunstancias de las notas periodísticas. Esa jurisprudencia no ha desarrollado, sin embargo, la nota mínima. El estándar propuesto aporta esa nota mínima sin sustituir los criterios de valoración. Por tanto, la compatibilidad con la prueba indiciaria es una consecuencia del diseño. El argumento central partió del diagnóstico de la cláusula mixta del artículo 16. Ese argumento concluye con una regla de suficiencia aplicable al acervo que hoy valoran los tribunales electorales.</w:t>
      </w:r>
    </w:p>
    <w:p>
      <w:pPr>
        <w:spacing w:before="0" w:after="0" w:line="360" w:lineRule="auto"/>
      </w:pPr>
      <w:r>
        <w:br w:type="page"/>
      </w:r>
    </w:p>
    <w:p>
      <w:pPr>
        <w:pStyle w:val="Ttulo1"/>
        <w:keepNext/>
        <w:spacing w:before="0" w:after="0" w:line="360" w:lineRule="auto"/>
        <w:jc w:val="center"/>
      </w:pPr>
      <w:bookmarkStart w:id="899" w:name="_Toc9000099"/>
      <w:r>
        <w:rPr>
          <w:rFonts w:ascii="Arial" w:eastAsia="Arial" w:hAnsi="Arial" w:cs="Arial"/>
          <w:b/>
          <w:bCs/>
          <w:color w:val="000000"/>
          <w:sz w:val="24"/>
          <w:szCs w:val="24"/>
        </w:rPr>
        <w:t xml:space="preserve">Conclusiones generales</w:t>
      </w:r>
      <w:bookmarkEnd w:id="899"/>
    </w:p>
    <w:p>
      <w:pPr>
        <w:spacing w:before="0" w:after="0" w:line="360" w:lineRule="auto"/>
        <w:ind w:firstLine="0"/>
        <w:jc w:val="both"/>
      </w:pPr>
      <w:r>
        <w:rPr>
          <w:rFonts w:ascii="Arial" w:eastAsia="Arial" w:hAnsi="Arial" w:cs="Arial"/>
          <w:color w:val="000000"/>
          <w:sz w:val="24"/>
          <w:szCs w:val="24"/>
        </w:rPr>
        <w:t xml:space="preserve">La investigación partió de una pregunta general. Se trataba de determinar en qué medida la ausencia de un estándar de prueba objetivo en el artículo 16 de la LGSMIME, y su sustitución por la convicción del juzgador, compromete la racionalidad del juicio sobre los hechos en el contencioso electoral mexicano. La pregunta incluía el diseño legislativo capaz de corregir esa carencia sin sacrificar la naturaleza indiciaria de la prueba electoral. Las conclusiones siguen el orden de los capítulos. Las seis primeras corresponden al diagnóstico teórico, histórico y jurisprudencial, y las tres restantes al fundamento metodológico y a la propuesta. Después se verifica la hipótesis y se revisa el cumplimiento de los objetivos. El texto cierra con las aportaciones, los límites del trabajo y las líneas de investigación que quedan abiertas.</w:t>
      </w:r>
    </w:p>
    <w:p>
      <w:pPr>
        <w:spacing w:before="0" w:after="0" w:line="360" w:lineRule="auto"/>
        <w:ind w:firstLine="709"/>
        <w:jc w:val="both"/>
      </w:pPr>
      <w:r>
        <w:rPr>
          <w:rFonts w:ascii="Arial" w:eastAsia="Arial" w:hAnsi="Arial" w:cs="Arial"/>
          <w:color w:val="000000"/>
          <w:sz w:val="24"/>
          <w:szCs w:val="24"/>
        </w:rPr>
        <w:t xml:space="preserve">Primera. La valoración de la prueba y el estándar de prueba son operaciones distintas. La valoración es una operación epistémica que asigna a cada hipótesis un grado de corroboración. El estándar es una regla jurídica que indica cuándo ese grado basta para tener la hipótesis por probada. La adminiculación pertenece al primer plano. La adminiculación explica cómo se construyen y se articulan los indicios, pero no dice cuánta corroboración conjunta se requiere para decidir. La fijación de ese umbral es una decisión política sobre la distribución del riesgo del error, que la epistemología no puede tomar. Por ello corresponde al legislador y debe expresarse en reglas generales y previas. Un estándar válido debe cumplir cuatro requisitos metodológicos. El estándar debe remitir a la capacidad justificativa del acervo, fijar un umbral con vaguedad minimizada, emplear criterios de probabilidad inductiva y guardar progresión con los demás estándares del proceso.</w:t>
      </w:r>
    </w:p>
    <w:p>
      <w:pPr>
        <w:spacing w:before="0" w:after="0" w:line="360" w:lineRule="auto"/>
        <w:ind w:firstLine="709"/>
        <w:jc w:val="both"/>
      </w:pPr>
      <w:r>
        <w:rPr>
          <w:rFonts w:ascii="Arial" w:eastAsia="Arial" w:hAnsi="Arial" w:cs="Arial"/>
          <w:color w:val="000000"/>
          <w:sz w:val="24"/>
          <w:szCs w:val="24"/>
        </w:rPr>
        <w:t xml:space="preserve">Segunda. La doctrina mexicana de la determinancia reproduce la confusión entre método y regla de decisión. Desde la jurisprudencia 9/98 hasta la jurisprudencia 44/2024, la determinancia combina una exigencia probatoria sobre el hecho irregular con una exigencia sustantiva sobre su trascendencia. Los factores cuantitativo, cualitativo y constitucional responden a la cuestión sustantiva, pero se aplican como si resolvieran también la probatoria. El factor cuantitativo oculta la inferencia que produce el número de votos irregulares. El factor cualitativo permite que la gravedad de la violación sustituya a la prueba de su impacto. La presunción constitucional del cinco por ciento distribuye la carga, pero no fija el umbral. La consecuencia práctica es la variación del nivel de exigencia de un caso a otro. Los casos Colima, Yurécuaro, la elección presidencial de 2012 y Coyoacán emplearon expresiones distintas para la suficiencia sin que ninguna estuviera definida de antemano.</w:t>
      </w:r>
    </w:p>
    <w:p>
      <w:pPr>
        <w:spacing w:before="0" w:after="0" w:line="360" w:lineRule="auto"/>
        <w:ind w:firstLine="709"/>
        <w:jc w:val="both"/>
      </w:pPr>
      <w:r>
        <w:rPr>
          <w:rFonts w:ascii="Arial" w:eastAsia="Arial" w:hAnsi="Arial" w:cs="Arial"/>
          <w:color w:val="000000"/>
          <w:sz w:val="24"/>
          <w:szCs w:val="24"/>
        </w:rPr>
        <w:t xml:space="preserve">Tercera. El artículo 16 de la LGSMIME contiene desde 1996 una cláusula híbrida. Su párrafo 1 declara un método racional de valoración. Su párrafo 2 conserva una regla de peso para las documentales públicas. Su párrafo 3 remite la prueba plena a la convicción del órgano que decide. La fórmula de la sana crítica llegó al texto legal con una indeterminación de origen, que la práctica española del siglo XIX ya había aproximado a la íntima convicción. La sentencia del caso Tabasco, de diciembre de 2000, aplicó un método de valoración racional que consideró hipótesis alternativas. La sentencia expresó la suficiencia, sin embargo, en términos de convencimiento y de posibilidad de un resultado distinto. La jurisprudencia 38/2002 añadió criterios para graduar el peso de las notas periodísticas, pero no fijó el punto en que se alcanza la plenitud. El voto particular de 2000 discutió con rigor cada inferencia de la mayoría, aunque compartió con ella el vocabulario de la convicción. Ninguna de las dos posiciones planteó la pregunta sobre cuánta corroboración era necesaria.</w:t>
      </w:r>
    </w:p>
    <w:p>
      <w:pPr>
        <w:spacing w:before="0" w:after="0" w:line="360" w:lineRule="auto"/>
        <w:ind w:firstLine="709"/>
        <w:jc w:val="both"/>
      </w:pPr>
      <w:r>
        <w:rPr>
          <w:rFonts w:ascii="Arial" w:eastAsia="Arial" w:hAnsi="Arial" w:cs="Arial"/>
          <w:color w:val="000000"/>
          <w:sz w:val="24"/>
          <w:szCs w:val="24"/>
        </w:rPr>
        <w:t xml:space="preserve">Cuarta. La cláusula híbrida persiste veinticinco años después. La sentencia SUP-JIN-194/2025 representa un avance real en el plano del método. La sentencia enuncia requisitos controlables para los indicios y las inferencias y exige contrastar la conclusión con hipótesis alternativas. Ese avance no alcanzó el plano de la suficiencia. La mayoría expresó el resultado en tres vocabularios distintos, el de la convicción, el de la justificación racional y el de la irrefutabilidad, sin identificar un resultado probatorio mínimo. La decisión se adoptó por tres votos contra dos sobre un mismo acervo. El texto de los párrafos 1 a 3 del artículo 16 no ha sido reformado desde su publicación. Las reformas constitucionales y legales posteriores reprodujeron la exigencia de plena acreditación sin definirla. El error de categoría subsiste, por tanto. La sentencia cuenta con un método racional, pero carece de una regla de decisión sobre la suficiencia.</w:t>
      </w:r>
    </w:p>
    <w:p>
      <w:pPr>
        <w:spacing w:before="0" w:after="0" w:line="360" w:lineRule="auto"/>
        <w:ind w:firstLine="709"/>
        <w:jc w:val="both"/>
      </w:pPr>
      <w:r>
        <w:rPr>
          <w:rFonts w:ascii="Arial" w:eastAsia="Arial" w:hAnsi="Arial" w:cs="Arial"/>
          <w:color w:val="000000"/>
          <w:sz w:val="24"/>
          <w:szCs w:val="24"/>
        </w:rPr>
        <w:t xml:space="preserve">Quinta. El voto particular del magistrado Reyes Rodríguez Mondragón en el SUP-JIN-194/2025 marca una ruptura en el diagnóstico y en la teoría. Entre los materiales examinados, es el primer pronunciamiento en que un integrante de la Sala Superior denuncia que la mayoría no explicitó su estándar. El voto distingue la plena acreditación, que es el resultado de la decisión, del estándar que permite alcanzarla. El voto propone la probabilidad prevalente para la existencia de la irregularidad y un estándar elevado para la autoría. El voto aplica este último aun en contra de su propia pretensión. La ruptura es, sin embargo, parcial en la aplicación. El voto conserva expresiones de convicción, hace depender el estándar de la modulación judicial y formula el impacto determinante con pautas que no se ajustan al umbral declarado. Esas tensiones derivan de la necesidad de construir el estándar sin apoyo en el texto legal.</w:t>
      </w:r>
    </w:p>
    <w:p>
      <w:pPr>
        <w:spacing w:before="0" w:after="0" w:line="360" w:lineRule="auto"/>
        <w:ind w:firstLine="709"/>
        <w:jc w:val="both"/>
      </w:pPr>
      <w:r>
        <w:rPr>
          <w:rFonts w:ascii="Arial" w:eastAsia="Arial" w:hAnsi="Arial" w:cs="Arial"/>
          <w:color w:val="000000"/>
          <w:sz w:val="24"/>
          <w:szCs w:val="24"/>
        </w:rPr>
        <w:t xml:space="preserve">Sexta. El artículo 16 es una cláusula mixta de valoración probatoria. El precepto reúne en una misma unidad normativa un método racional, reglas legales de peso y un criterio de suficiencia psicológico, sin establecer cómo se articulan. Su defecto es de estructura, porque falta la regla que debería fijar la suficiencia. La vaguedad y la ambigüedad de algunos de sus términos agravan el problema, pero no lo explican. De ahí deriva el funcionamiento inerte de su componente racional. El método opera en la valoración, pero no orienta la decisión sobre la suficiencia. La jurisprudencia respondió con nuevas reglas de peso, como las relativas a notas periodísticas, pruebas técnicas y testimoniales, que desplazaron el problema sin resolverlo. La interpretación puede despsicologizar la palabra convicción. No puede, en cambio, extraer del texto un umbral que el texto no contiene. La corrección del error exige, por tanto, una regla de suficiencia de fuente legal.</w:t>
      </w:r>
    </w:p>
    <w:p>
      <w:pPr>
        <w:spacing w:before="0" w:after="0" w:line="360" w:lineRule="auto"/>
        <w:ind w:firstLine="709"/>
        <w:jc w:val="both"/>
      </w:pPr>
      <w:r>
        <w:rPr>
          <w:rFonts w:ascii="Arial" w:eastAsia="Arial" w:hAnsi="Arial" w:cs="Arial"/>
          <w:color w:val="000000"/>
          <w:sz w:val="24"/>
          <w:szCs w:val="24"/>
        </w:rPr>
        <w:t xml:space="preserve">Séptima. Un estándar propio para la materia electoral encuentra fundamento en la función distributiva del estándar de prueba. Esa función solo opera si el estándar cumple también las funciones de justificación y de garantía, y si fija un umbral identificable. Ningún umbral es neutral entre el falso positivo y el falso negativo. La altura del umbral depende de los bienes en juego y de los costes del error propios de cada consecuencia jurídica, y no de la etiqueta del proceso. Ni el modelo penal ni el modelo civil pueden trasladarse sin más a la nulidad de elecciones. En esta materia ambos errores afectan a la ciudadanía, que no es parte en el juicio. Los bienes en juego son la certeza sobre el resultado, en sus dimensiones de fidelidad y de firmeza, el derecho al voto y la renovación ordenada de los órganos del poder público. El ordenamiento contiene una preferencia implícita por la validez de las elecciones, pero esa preferencia no ha sido declarada ni medida.</w:t>
      </w:r>
    </w:p>
    <w:p>
      <w:pPr>
        <w:spacing w:before="0" w:after="0" w:line="360" w:lineRule="auto"/>
        <w:ind w:firstLine="709"/>
        <w:jc w:val="both"/>
      </w:pPr>
      <w:r>
        <w:rPr>
          <w:rFonts w:ascii="Arial" w:eastAsia="Arial" w:hAnsi="Arial" w:cs="Arial"/>
          <w:color w:val="000000"/>
          <w:sz w:val="24"/>
          <w:szCs w:val="24"/>
        </w:rPr>
        <w:t xml:space="preserve">Octava. La propuesta legislativa sustituye el criterio de convicción del párrafo 3 del artículo 16 por una regla de suficiencia. La reforma debe satisfacer cinco criterios. La reforma debe suprimir la apelación a la convicción, fijar un umbral explícito, formularlo en términos de probabilidad inductiva, diferenciar los umbrales según las decisiones y distribuir de manera consciente el riesgo del error. El estándar propuesto para la nulidad de una elección exige tres condiciones conjuntas. La hipótesis de la irregularidad debe explicar los indicios acreditados mejor que cualquier hipótesis alternativa plausible compatible con la validez. Ningún elemento de juicio relevante debe quedar sin explicar. El acervo debe ser tendencialmente completo, sin que cuente en contra del actor la falta de pruebas imputable a quien defiende la validez. La propuesta conserva el método de valoración del párrafo 1 y la regla de peso del párrafo 2. La propuesta expresa una preferencia moderada y explícita por la validez, cuya medida queda fijada en la ley y no en cada sentencia.</w:t>
      </w:r>
    </w:p>
    <w:p>
      <w:pPr>
        <w:spacing w:before="0" w:after="0" w:line="360" w:lineRule="auto"/>
        <w:ind w:firstLine="709"/>
        <w:jc w:val="both"/>
      </w:pPr>
      <w:r>
        <w:rPr>
          <w:rFonts w:ascii="Arial" w:eastAsia="Arial" w:hAnsi="Arial" w:cs="Arial"/>
          <w:color w:val="000000"/>
          <w:sz w:val="24"/>
          <w:szCs w:val="24"/>
        </w:rPr>
        <w:t xml:space="preserve">Novena. El estándar propuesto es compatible con la naturaleza indiciaria de la prueba electoral. Cada una de sus condiciones corresponde a una operación que el razonamiento indiciario ya exige. La comparación entre hipótesis corresponde al contraste de conclusiones que la Sala Superior exigió en el SUP-JIN-194/2025. La exigencia de explicar todos los elementos relevantes corresponde a la concordancia e interrelación de los indicios. La completitud del acervo responde a la debilidad de los estándares puramente comparativos. El estándar no exige refutar todas las hipótesis alternativas, lo que haría inalcanzable la prueba de irregularidades encubiertas. El estándar tampoco se conforma con una mayor probabilidad relativa. La reforma no modifica los medios de prueba admisibles ni el método de valoración, y se limita a añadir la regla de suficiencia que hoy falta.</w:t>
      </w:r>
    </w:p>
    <w:p>
      <w:pPr>
        <w:spacing w:before="0" w:after="0" w:line="360" w:lineRule="auto"/>
        <w:ind w:firstLine="709"/>
        <w:jc w:val="both"/>
      </w:pPr>
      <w:r>
        <w:rPr>
          <w:rFonts w:ascii="Arial" w:eastAsia="Arial" w:hAnsi="Arial" w:cs="Arial"/>
          <w:color w:val="000000"/>
          <w:sz w:val="24"/>
          <w:szCs w:val="24"/>
        </w:rPr>
        <w:t xml:space="preserve">Las conclusiones anteriores permiten tener por verificada la hipótesis de la investigación. Su primera parte afirmaba que la ausencia de un estándar objetivo y su sustitución por la convicción comprometen la racionalidad del juicio sobre los hechos. Los capítulos segundo y tercero lo confirman. Mayorías y minorías leyeron el mismo acervo de manera opuesta, en 2000 y en 2025, sin una regla previa que permitiera arbitrar entre ellas. Las decisiones sobre la suficiencia se expresaron como estados de convicción que no pueden controlarse intersubjetivamente. La segunda parte afirmaba que un diseño fundado en la relatividad del estándar permite corregir esa carencia sin sacrificar la prueba indiciaria. Los capítulos cuarto y quinto la confirman en el plano del diseño normativo. Esa confirmación es teórica y no empírica. Su eficacia práctica dependerá de la adopción legislativa del estándar y de su aplicación por los tribunales electorales.</w:t>
      </w:r>
    </w:p>
    <w:p>
      <w:pPr>
        <w:spacing w:before="0" w:after="0" w:line="360" w:lineRule="auto"/>
        <w:ind w:firstLine="709"/>
        <w:jc w:val="both"/>
      </w:pPr>
      <w:r>
        <w:rPr>
          <w:rFonts w:ascii="Arial" w:eastAsia="Arial" w:hAnsi="Arial" w:cs="Arial"/>
          <w:color w:val="000000"/>
          <w:sz w:val="24"/>
          <w:szCs w:val="24"/>
        </w:rPr>
        <w:t xml:space="preserve">El objetivo general se cumplió con la formulación y fundamentación de un estándar de prueba objetivo para la nulidad de elecciones, compatible con la prueba indiciaria. Los cinco objetivos específicos se cumplieron en el orden previsto. El capítulo primero sistematizó el marco teórico de la prueba indiciaria y del estándar de prueba. El capítulo segundo identificó el error de categoría en la doctrina de la determinancia y reconstruyó el origen de la cláusula híbrida. El capítulo tercero demostró su persistencia en la jurisprudencia de 2025 y la caracterizó como cláusula mixta. El capítulo cuarto expuso el fundamento metodológico de la relatividad del estándar según los bienes en juego. El capítulo quinto formuló la propuesta de diseño legislativo y verificó su compatibilidad con la prueba indiciaria.</w:t>
      </w:r>
    </w:p>
    <w:p>
      <w:pPr>
        <w:spacing w:before="0" w:after="0" w:line="360" w:lineRule="auto"/>
        <w:ind w:firstLine="709"/>
        <w:jc w:val="both"/>
      </w:pPr>
      <w:r>
        <w:rPr>
          <w:rFonts w:ascii="Arial" w:eastAsia="Arial" w:hAnsi="Arial" w:cs="Arial"/>
          <w:color w:val="000000"/>
          <w:sz w:val="24"/>
          <w:szCs w:val="24"/>
        </w:rPr>
        <w:t xml:space="preserve">Las aportaciones de la investigación son cuatro. La primera es un puente conceptual entre la teoría analítica del estándar de prueba y la doctrina mexicana de la determinancia, dos literaturas que se habían desarrollado por separado. La segunda es la categoría de cláusula mixta, que permite distinguir el defecto del artículo 16 de la vaguedad y de la ambigüedad. La tercera es la constatación de que el disenso de 2000 y la mayoría de 2025 comparten el vocabulario de la convicción, mientras que el disenso de 2025 introduce por primera vez la crítica explícita a la ausencia de estándar. La cuarta es una formulación legislativa concreta del estándar, acompañada de las razones de su diseño y de su verificación frente a los requisitos metodológicos.</w:t>
      </w:r>
    </w:p>
    <w:p>
      <w:pPr>
        <w:spacing w:before="0" w:after="0" w:line="360" w:lineRule="auto"/>
        <w:ind w:firstLine="709"/>
        <w:jc w:val="both"/>
      </w:pPr>
      <w:r>
        <w:rPr>
          <w:rFonts w:ascii="Arial" w:eastAsia="Arial" w:hAnsi="Arial" w:cs="Arial"/>
          <w:color w:val="000000"/>
          <w:sz w:val="24"/>
          <w:szCs w:val="24"/>
        </w:rPr>
        <w:t xml:space="preserve">El trabajo tiene límites. El análisis es documental y dogmático, y no mide empíricamente el comportamiento de los tribunales. La selección de casos se centró en el caso Tabasco y en el SUP-JIN-194/2025, complementados con otros precedentes relevantes, y no pretende ser exhaustiva. Los antecedentes parlamentarios de la reforma de 1996 quedaron fuera del acervo examinado. La propuesta se limita a la decisión de mayor alcance, que es la nulidad de una elección, y no gradúa los estándares de las demás decisiones del procedimiento.</w:t>
      </w:r>
    </w:p>
    <w:p>
      <w:pPr>
        <w:spacing w:before="0" w:after="0" w:line="360" w:lineRule="auto"/>
        <w:ind w:firstLine="709"/>
        <w:jc w:val="both"/>
      </w:pPr>
      <w:r>
        <w:rPr>
          <w:rFonts w:ascii="Arial" w:eastAsia="Arial" w:hAnsi="Arial" w:cs="Arial"/>
          <w:color w:val="000000"/>
          <w:sz w:val="24"/>
          <w:szCs w:val="24"/>
        </w:rPr>
        <w:t xml:space="preserve">Esos límites señalan las líneas de investigación futura. La primera consiste en examinar los antecedentes legislativos del artículo 16 para contrastar la hipótesis de que la cláusula híbrida resultó de la recepción de fórmulas imprecisas y no de una decisión deliberada. La segunda consiste en graduar los estándares aplicables a la nulidad de la votación en casilla, a las medidas cautelares y al incidente de nuevo escrutinio y cómputo. La tercera consiste en un estudio empírico de las sentencias de nulidad que permita medir la variación del umbral. La cuarta consiste en extender el análisis al procedimiento especial sancionador, cuyo régimen de valoración reproduce la misma cláusula mixta. Con estas líneas abiertas, la investigación concluye que el contencioso electoral mexicano necesita una regla de suficiencia probatoria de fuente legal. El método de valoración vigente indica cómo deben apreciarse las pruebas. La regla que se propone indica cuánta corroboración basta para anular una elección.</w:t>
      </w:r>
    </w:p>
    <w:p>
      <w:pPr>
        <w:spacing w:before="0" w:after="0" w:line="360" w:lineRule="auto"/>
      </w:pPr>
      <w:r>
        <w:br w:type="page"/>
      </w:r>
    </w:p>
    <w:p>
      <w:pPr>
        <w:pStyle w:val="Ttulo1"/>
        <w:keepNext/>
        <w:spacing w:before="0" w:after="0" w:line="360" w:lineRule="auto"/>
        <w:jc w:val="center"/>
      </w:pPr>
      <w:bookmarkStart w:id="826" w:name="_Toc9000026"/>
      <w:r>
        <w:rPr>
          <w:rFonts w:ascii="Arial" w:eastAsia="Arial" w:hAnsi="Arial" w:cs="Arial"/>
          <w:b/>
          <w:bCs/>
          <w:color w:val="000000"/>
          <w:sz w:val="24"/>
          <w:szCs w:val="24"/>
        </w:rPr>
        <w:t xml:space="preserve">Bibliografía</w:t>
      </w:r>
      <w:bookmarkEnd w:id="826"/>
    </w:p>
    <w:p>
      <w:pPr>
        <w:spacing w:before="0" w:after="0" w:line="360" w:lineRule="auto"/>
        <w:jc w:val="left"/>
      </w:pPr>
    </w:p>
    <w:p>
      <w:pPr>
        <w:keepNext/>
        <w:spacing w:before="0" w:after="0" w:line="360" w:lineRule="auto"/>
        <w:ind w:left="567" w:hanging="284"/>
        <w:jc w:val="left"/>
      </w:pPr>
      <w:r>
        <w:rPr>
          <w:rFonts w:ascii="Arial" w:eastAsia="Arial" w:hAnsi="Arial" w:cs="Arial"/>
          <w:color w:val="000000"/>
          <w:sz w:val="24"/>
          <w:szCs w:val="24"/>
        </w:rPr>
        <w:t xml:space="preserve">I. </w:t>
      </w:r>
      <w:r>
        <w:rPr>
          <w:rFonts w:ascii="Arial" w:eastAsia="Arial" w:hAnsi="Arial" w:cs="Arial"/>
          <w:i/>
          <w:iCs/>
          <w:color w:val="000000"/>
          <w:sz w:val="24"/>
          <w:szCs w:val="24"/>
        </w:rPr>
        <w:t xml:space="preserve">Obras doctrinales</w:t>
      </w:r>
    </w:p>
    <w:p>
      <w:pPr>
        <w:spacing w:before="0" w:after="0" w:line="360" w:lineRule="auto"/>
        <w:jc w:val="left"/>
      </w:pPr>
    </w:p>
    <w:p w14:paraId="361CB1BF" w14:textId="77777777" w:rsidR="004236C6" w:rsidRPr="004236C6" w:rsidRDefault="004236C6" w:rsidP="004236C6">
      <w:pPr>
        <w:spacing w:before="0" w:after="0" w:line="360" w:lineRule="auto"/>
        <w:ind w:left="709" w:hanging="709"/>
        <w:jc w:val="both"/>
      </w:pPr>
      <w:r>
        <w:rPr>
          <w:rFonts w:ascii="Arial" w:eastAsia="Arial" w:hAnsi="Arial" w:cs="Arial"/>
          <w:color w:val="000000"/>
          <w:sz w:val="24"/>
          <w:szCs w:val="24"/>
        </w:rPr>
        <w:t xml:space="preserve">ALLEN, Ronald J., Los estándares de prueba y los límites del análisis jurídico, en VÁZQUEZ, Carmen (ed.), </w:t>
      </w:r>
      <w:r>
        <w:rPr>
          <w:rFonts w:ascii="Arial" w:eastAsia="Arial" w:hAnsi="Arial" w:cs="Arial"/>
          <w:i/>
          <w:iCs/>
          <w:color w:val="000000"/>
          <w:sz w:val="24"/>
          <w:szCs w:val="24"/>
        </w:rPr>
        <w:t>Estándares de prueba y prueba científica. Ensayos de epistemología jurídica</w:t>
      </w:r>
      <w:r>
        <w:rPr>
          <w:rFonts w:ascii="Arial" w:eastAsia="Arial" w:hAnsi="Arial" w:cs="Arial"/>
          <w:color w:val="000000"/>
          <w:sz w:val="24"/>
          <w:szCs w:val="24"/>
        </w:rPr>
        <w:t>, Madrid, Marcial Pons, 2013, pp. 41-64.</w:t>
      </w:r>
    </w:p>
    <w:p w14:paraId="05DBADCE" w14:textId="77777777" w:rsidR="004236C6" w:rsidRPr="004236C6" w:rsidRDefault="004236C6" w:rsidP="004236C6">
      <w:pPr>
        <w:spacing w:before="0" w:after="0" w:line="360" w:lineRule="auto"/>
        <w:ind w:left="709" w:hanging="709"/>
        <w:jc w:val="both"/>
      </w:pPr>
      <w:r>
        <w:rPr>
          <w:rFonts w:ascii="Arial" w:eastAsia="Arial" w:hAnsi="Arial" w:cs="Arial"/>
          <w:color w:val="000000"/>
          <w:sz w:val="24"/>
          <w:szCs w:val="24"/>
        </w:rPr>
        <w:t xml:space="preserve">BENFELD, Johann, Los orígenes del concepto de sana crítica, </w:t>
      </w:r>
      <w:r>
        <w:rPr>
          <w:rFonts w:ascii="Arial" w:eastAsia="Arial" w:hAnsi="Arial" w:cs="Arial"/>
          <w:i/>
          <w:iCs/>
          <w:color w:val="000000"/>
          <w:sz w:val="24"/>
          <w:szCs w:val="24"/>
        </w:rPr>
        <w:t>Revista de Estudios Histórico-Jurídicos</w:t>
      </w:r>
      <w:r>
        <w:rPr>
          <w:rFonts w:ascii="Arial" w:eastAsia="Arial" w:hAnsi="Arial" w:cs="Arial"/>
          <w:color w:val="000000"/>
          <w:sz w:val="24"/>
          <w:szCs w:val="24"/>
        </w:rPr>
        <w:t>, Valparaíso, núm. XXXV, 2013, pp. 569-585.</w:t>
      </w:r>
    </w:p>
    <w:p w14:paraId="57A75AE7" w14:textId="77777777" w:rsidR="004236C6" w:rsidRPr="004236C6" w:rsidRDefault="004236C6" w:rsidP="004236C6">
      <w:pPr>
        <w:spacing w:before="0" w:after="0" w:line="360" w:lineRule="auto"/>
        <w:ind w:left="709" w:hanging="709"/>
        <w:jc w:val="both"/>
      </w:pPr>
      <w:r>
        <w:rPr>
          <w:rFonts w:ascii="Arial" w:eastAsia="Arial" w:hAnsi="Arial" w:cs="Arial"/>
          <w:color w:val="000000"/>
          <w:sz w:val="24"/>
          <w:szCs w:val="24"/>
        </w:rPr>
        <w:t xml:space="preserve">CARNELUTTI, Francesco, </w:t>
      </w:r>
      <w:r>
        <w:rPr>
          <w:rFonts w:ascii="Arial" w:eastAsia="Arial" w:hAnsi="Arial" w:cs="Arial"/>
          <w:i/>
          <w:iCs/>
          <w:color w:val="000000"/>
          <w:sz w:val="24"/>
          <w:szCs w:val="24"/>
        </w:rPr>
        <w:t>La prueba civil</w:t>
      </w:r>
      <w:r>
        <w:rPr>
          <w:rFonts w:ascii="Arial" w:eastAsia="Arial" w:hAnsi="Arial" w:cs="Arial"/>
          <w:color w:val="000000"/>
          <w:sz w:val="24"/>
          <w:szCs w:val="24"/>
        </w:rPr>
        <w:t>, trad. de Niceto Alcalá-Zamora y Castillo, Santiago de Chile, Ediciones Olejnik, 2018.</w:t>
      </w:r>
    </w:p>
    <w:p w14:paraId="4A572A0E" w14:textId="77777777" w:rsidR="004236C6" w:rsidRPr="004236C6" w:rsidRDefault="004236C6" w:rsidP="004236C6">
      <w:pPr>
        <w:spacing w:before="0" w:after="0" w:line="360" w:lineRule="auto"/>
        <w:ind w:left="709" w:hanging="709"/>
        <w:jc w:val="both"/>
      </w:pPr>
      <w:r>
        <w:rPr>
          <w:rFonts w:ascii="Arial" w:eastAsia="Arial" w:hAnsi="Arial" w:cs="Arial"/>
          <w:color w:val="000000"/>
          <w:sz w:val="24"/>
          <w:szCs w:val="24"/>
        </w:rPr>
        <w:t xml:space="preserve">CORTÉS COTO, Ronald, La prueba indiciaria, </w:t>
      </w:r>
      <w:r>
        <w:rPr>
          <w:rFonts w:ascii="Arial" w:eastAsia="Arial" w:hAnsi="Arial" w:cs="Arial"/>
          <w:i/>
          <w:iCs/>
          <w:color w:val="000000"/>
          <w:sz w:val="24"/>
          <w:szCs w:val="24"/>
        </w:rPr>
        <w:t>Revista Digital de la Maestría en Ciencias Penales</w:t>
      </w:r>
      <w:r>
        <w:rPr>
          <w:rFonts w:ascii="Arial" w:eastAsia="Arial" w:hAnsi="Arial" w:cs="Arial"/>
          <w:color w:val="000000"/>
          <w:sz w:val="24"/>
          <w:szCs w:val="24"/>
        </w:rPr>
        <w:t>, San José, Universidad de Costa Rica, núm. 2, 2010.</w:t>
      </w:r>
    </w:p>
    <w:p w14:paraId="0CF548A2" w14:textId="77777777" w:rsidR="004236C6" w:rsidRPr="004236C6" w:rsidRDefault="004236C6" w:rsidP="004236C6">
      <w:pPr>
        <w:spacing w:before="0" w:after="0" w:line="360" w:lineRule="auto"/>
        <w:ind w:left="709" w:hanging="709"/>
        <w:jc w:val="both"/>
      </w:pPr>
      <w:r>
        <w:rPr>
          <w:rFonts w:ascii="Arial" w:eastAsia="Arial" w:hAnsi="Arial" w:cs="Arial"/>
          <w:color w:val="000000"/>
          <w:sz w:val="24"/>
          <w:szCs w:val="24"/>
        </w:rPr>
        <w:t xml:space="preserve">DEVIS ECHANDÍA, Hernando, </w:t>
      </w:r>
      <w:r>
        <w:rPr>
          <w:rFonts w:ascii="Arial" w:eastAsia="Arial" w:hAnsi="Arial" w:cs="Arial"/>
          <w:i/>
          <w:iCs/>
          <w:color w:val="000000"/>
          <w:sz w:val="24"/>
          <w:szCs w:val="24"/>
        </w:rPr>
        <w:t>Nociones generales de derecho procesal civil</w:t>
      </w:r>
      <w:r>
        <w:rPr>
          <w:rFonts w:ascii="Arial" w:eastAsia="Arial" w:hAnsi="Arial" w:cs="Arial"/>
          <w:color w:val="000000"/>
          <w:sz w:val="24"/>
          <w:szCs w:val="24"/>
        </w:rPr>
        <w:t>, pról. de Jaime Guasp, Madrid, Aguilar, s.f.</w:t>
      </w:r>
    </w:p>
    <w:p w14:paraId="38F037C2" w14:textId="77777777" w:rsidR="004236C6" w:rsidRPr="004236C6" w:rsidRDefault="004236C6" w:rsidP="004236C6">
      <w:pPr>
        <w:spacing w:before="0" w:after="0" w:line="360" w:lineRule="auto"/>
        <w:ind w:left="709" w:hanging="709"/>
        <w:jc w:val="both"/>
      </w:pPr>
      <w:r>
        <w:rPr>
          <w:rFonts w:ascii="Arial" w:eastAsia="Arial" w:hAnsi="Arial" w:cs="Arial"/>
          <w:color w:val="000000"/>
          <w:sz w:val="24"/>
          <w:szCs w:val="24"/>
        </w:rPr>
        <w:t xml:space="preserve">FERRER BELTRÁN, Jordi, </w:t>
      </w:r>
      <w:r>
        <w:rPr>
          <w:rFonts w:ascii="Arial" w:eastAsia="Arial" w:hAnsi="Arial" w:cs="Arial"/>
          <w:i/>
          <w:iCs/>
          <w:color w:val="000000"/>
          <w:sz w:val="24"/>
          <w:szCs w:val="24"/>
        </w:rPr>
        <w:t>La valoración racional de la prueba</w:t>
      </w:r>
      <w:r>
        <w:rPr>
          <w:rFonts w:ascii="Arial" w:eastAsia="Arial" w:hAnsi="Arial" w:cs="Arial"/>
          <w:color w:val="000000"/>
          <w:sz w:val="24"/>
          <w:szCs w:val="24"/>
        </w:rPr>
        <w:t>, Madrid, Marcial Pons, 2007.</w:t>
      </w:r>
    </w:p>
    <w:p w14:paraId="7297DD33" w14:textId="77777777" w:rsidR="004236C6" w:rsidRPr="004236C6" w:rsidRDefault="004236C6" w:rsidP="004236C6">
      <w:pPr>
        <w:spacing w:before="0" w:after="0" w:line="360" w:lineRule="auto"/>
        <w:ind w:left="709" w:hanging="709"/>
        <w:jc w:val="both"/>
      </w:pPr>
      <w:r>
        <w:rPr>
          <w:rFonts w:ascii="Arial" w:eastAsia="Arial" w:hAnsi="Arial" w:cs="Arial"/>
          <w:color w:val="000000"/>
          <w:sz w:val="24"/>
          <w:szCs w:val="24"/>
        </w:rPr>
        <w:t xml:space="preserve">FERRER BELTRÁN, Jordi, La prueba es libertad, pero no tanto. Una teoría de la prueba cuasibenthamiana, en VÁZQUEZ, Carmen (ed.), </w:t>
      </w:r>
      <w:r>
        <w:rPr>
          <w:rFonts w:ascii="Arial" w:eastAsia="Arial" w:hAnsi="Arial" w:cs="Arial"/>
          <w:i/>
          <w:iCs/>
          <w:color w:val="000000"/>
          <w:sz w:val="24"/>
          <w:szCs w:val="24"/>
        </w:rPr>
        <w:t>Estándares de prueba y prueba científica. Ensayos de epistemología jurídica</w:t>
      </w:r>
      <w:r>
        <w:rPr>
          <w:rFonts w:ascii="Arial" w:eastAsia="Arial" w:hAnsi="Arial" w:cs="Arial"/>
          <w:color w:val="000000"/>
          <w:sz w:val="24"/>
          <w:szCs w:val="24"/>
        </w:rPr>
        <w:t>, Madrid, Marcial Pons, 2013.</w:t>
      </w:r>
    </w:p>
    <w:p w14:paraId="470DD18E" w14:textId="77777777" w:rsidR="004236C6" w:rsidRPr="004236C6" w:rsidRDefault="004236C6" w:rsidP="004236C6">
      <w:pPr>
        <w:spacing w:before="0" w:after="0" w:line="360" w:lineRule="auto"/>
        <w:ind w:left="709" w:hanging="709"/>
        <w:jc w:val="both"/>
      </w:pPr>
      <w:r>
        <w:rPr>
          <w:rFonts w:ascii="Arial" w:eastAsia="Arial" w:hAnsi="Arial" w:cs="Arial"/>
          <w:color w:val="000000"/>
          <w:sz w:val="24"/>
          <w:szCs w:val="24"/>
        </w:rPr>
        <w:t xml:space="preserve">FERRER BELTRÁN, Jordi, </w:t>
      </w:r>
      <w:r>
        <w:rPr>
          <w:rFonts w:ascii="Arial" w:eastAsia="Arial" w:hAnsi="Arial" w:cs="Arial"/>
          <w:i/>
          <w:iCs/>
          <w:color w:val="000000"/>
          <w:sz w:val="24"/>
          <w:szCs w:val="24"/>
        </w:rPr>
        <w:t>Prueba sin convicción. Estándares de prueba y debido proceso</w:t>
      </w:r>
      <w:r>
        <w:rPr>
          <w:rFonts w:ascii="Arial" w:eastAsia="Arial" w:hAnsi="Arial" w:cs="Arial"/>
          <w:color w:val="000000"/>
          <w:sz w:val="24"/>
          <w:szCs w:val="24"/>
        </w:rPr>
        <w:t>, Madrid, Marcial Pons, 2021.</w:t>
      </w:r>
    </w:p>
    <w:p w14:paraId="782D214E" w14:textId="77777777" w:rsidR="004236C6" w:rsidRPr="004236C6" w:rsidRDefault="004236C6" w:rsidP="004236C6">
      <w:pPr>
        <w:spacing w:before="0" w:after="0" w:line="360" w:lineRule="auto"/>
        <w:ind w:left="709" w:hanging="709"/>
        <w:jc w:val="both"/>
      </w:pPr>
      <w:r>
        <w:rPr>
          <w:rFonts w:ascii="Arial" w:eastAsia="Arial" w:hAnsi="Arial" w:cs="Arial"/>
          <w:color w:val="000000"/>
          <w:sz w:val="24"/>
          <w:szCs w:val="24"/>
        </w:rPr>
        <w:t xml:space="preserve">GASCÓN ABELLÁN, Marina, </w:t>
      </w:r>
      <w:r>
        <w:rPr>
          <w:rFonts w:ascii="Arial" w:eastAsia="Arial" w:hAnsi="Arial" w:cs="Arial"/>
          <w:i/>
          <w:iCs/>
          <w:color w:val="000000"/>
          <w:sz w:val="24"/>
          <w:szCs w:val="24"/>
        </w:rPr>
        <w:t>Los hechos en el derecho. Bases argumentales de la prueba</w:t>
      </w:r>
      <w:r>
        <w:rPr>
          <w:rFonts w:ascii="Arial" w:eastAsia="Arial" w:hAnsi="Arial" w:cs="Arial"/>
          <w:color w:val="000000"/>
          <w:sz w:val="24"/>
          <w:szCs w:val="24"/>
        </w:rPr>
        <w:t>, 3a. ed., Madrid, Marcial Pons, 2010.</w:t>
      </w:r>
    </w:p>
    <w:p w14:paraId="76639CAD" w14:textId="77777777" w:rsidR="004236C6" w:rsidRPr="004236C6" w:rsidRDefault="004236C6" w:rsidP="004236C6">
      <w:pPr>
        <w:spacing w:before="0" w:after="0" w:line="360" w:lineRule="auto"/>
        <w:ind w:left="709" w:hanging="709"/>
        <w:jc w:val="both"/>
      </w:pPr>
      <w:r>
        <w:rPr>
          <w:rFonts w:ascii="Arial" w:eastAsia="Arial" w:hAnsi="Arial" w:cs="Arial"/>
          <w:color w:val="000000"/>
          <w:sz w:val="24"/>
          <w:szCs w:val="24"/>
        </w:rPr>
        <w:t xml:space="preserve">GONZÁLEZ LAGIER, Daniel, </w:t>
      </w:r>
      <w:r>
        <w:rPr>
          <w:rFonts w:ascii="Arial" w:eastAsia="Arial" w:hAnsi="Arial" w:cs="Arial"/>
          <w:i/>
          <w:iCs/>
          <w:color w:val="000000"/>
          <w:sz w:val="24"/>
          <w:szCs w:val="24"/>
        </w:rPr>
        <w:t>Quaestio facti. Ensayos sobre prueba, causalidad y acción</w:t>
      </w:r>
      <w:r>
        <w:rPr>
          <w:rFonts w:ascii="Arial" w:eastAsia="Arial" w:hAnsi="Arial" w:cs="Arial"/>
          <w:color w:val="000000"/>
          <w:sz w:val="24"/>
          <w:szCs w:val="24"/>
        </w:rPr>
        <w:t>, Lima-Bogotá, Palestra-Temis, 2005.</w:t>
      </w:r>
    </w:p>
    <w:p w14:paraId="667E960D" w14:textId="77777777" w:rsidR="004236C6" w:rsidRPr="004236C6" w:rsidRDefault="004236C6" w:rsidP="004236C6">
      <w:pPr>
        <w:spacing w:before="0" w:after="0" w:line="360" w:lineRule="auto"/>
        <w:ind w:left="709" w:hanging="709"/>
        <w:jc w:val="both"/>
      </w:pPr>
      <w:r>
        <w:rPr>
          <w:rFonts w:ascii="Arial" w:eastAsia="Arial" w:hAnsi="Arial" w:cs="Arial"/>
          <w:color w:val="000000"/>
          <w:sz w:val="24"/>
          <w:szCs w:val="24"/>
        </w:rPr>
        <w:lastRenderedPageBreak/>
        <w:t xml:space="preserve">HART, H. L. A., </w:t>
      </w:r>
      <w:r>
        <w:rPr>
          <w:rFonts w:ascii="Arial" w:eastAsia="Arial" w:hAnsi="Arial" w:cs="Arial"/>
          <w:i/>
          <w:iCs/>
          <w:color w:val="000000"/>
          <w:sz w:val="24"/>
          <w:szCs w:val="24"/>
        </w:rPr>
        <w:t>El concepto de derecho</w:t>
      </w:r>
      <w:r>
        <w:rPr>
          <w:rFonts w:ascii="Arial" w:eastAsia="Arial" w:hAnsi="Arial" w:cs="Arial"/>
          <w:color w:val="000000"/>
          <w:sz w:val="24"/>
          <w:szCs w:val="24"/>
        </w:rPr>
        <w:t>, trad. de Genaro R. Carrió, Buenos Aires, Abeledo-Perrot, s.f., ISBN 950-20-0089-7.</w:t>
      </w:r>
    </w:p>
    <w:p w14:paraId="214F5EA5" w14:textId="77777777" w:rsidR="004236C6" w:rsidRPr="004236C6" w:rsidRDefault="004236C6" w:rsidP="004236C6">
      <w:pPr>
        <w:spacing w:before="0" w:after="0" w:line="360" w:lineRule="auto"/>
        <w:ind w:left="709" w:hanging="709"/>
        <w:jc w:val="both"/>
      </w:pPr>
      <w:r>
        <w:rPr>
          <w:rFonts w:ascii="Arial" w:eastAsia="Arial" w:hAnsi="Arial" w:cs="Arial"/>
          <w:color w:val="000000"/>
          <w:sz w:val="24"/>
          <w:szCs w:val="24"/>
        </w:rPr>
        <w:t xml:space="preserve">HAACK, Susan, El probabilismo jurídico. Una disensión epistemológica, en VÁZQUEZ, Carmen (ed.), </w:t>
      </w:r>
      <w:r>
        <w:rPr>
          <w:rFonts w:ascii="Arial" w:eastAsia="Arial" w:hAnsi="Arial" w:cs="Arial"/>
          <w:i/>
          <w:iCs/>
          <w:color w:val="000000"/>
          <w:sz w:val="24"/>
          <w:szCs w:val="24"/>
        </w:rPr>
        <w:t>Estándares de prueba y prueba científica. Ensayos de epistemología jurídica</w:t>
      </w:r>
      <w:r>
        <w:rPr>
          <w:rFonts w:ascii="Arial" w:eastAsia="Arial" w:hAnsi="Arial" w:cs="Arial"/>
          <w:color w:val="000000"/>
          <w:sz w:val="24"/>
          <w:szCs w:val="24"/>
        </w:rPr>
        <w:t>, Madrid, Marcial Pons, 2013.</w:t>
      </w:r>
    </w:p>
    <w:p w14:paraId="7CEEA552" w14:textId="77777777" w:rsidR="004236C6" w:rsidRPr="004236C6" w:rsidRDefault="004236C6" w:rsidP="004236C6">
      <w:pPr>
        <w:spacing w:before="0" w:after="0" w:line="360" w:lineRule="auto"/>
        <w:ind w:left="709" w:hanging="709"/>
        <w:jc w:val="both"/>
      </w:pPr>
      <w:r>
        <w:rPr>
          <w:rFonts w:ascii="Arial" w:eastAsia="Arial" w:hAnsi="Arial" w:cs="Arial"/>
          <w:color w:val="000000"/>
          <w:sz w:val="24"/>
          <w:szCs w:val="24"/>
        </w:rPr>
        <w:t xml:space="preserve">IGARTUA SALAVERRÍA, Juan, </w:t>
      </w:r>
      <w:r>
        <w:rPr>
          <w:rFonts w:ascii="Arial" w:eastAsia="Arial" w:hAnsi="Arial" w:cs="Arial"/>
          <w:i/>
          <w:iCs/>
          <w:color w:val="000000"/>
          <w:sz w:val="24"/>
          <w:szCs w:val="24"/>
        </w:rPr>
        <w:t>Indicios, duda razonable, prueba científica. Perspectivas sobre la prueba en el proceso penal</w:t>
      </w:r>
      <w:r>
        <w:rPr>
          <w:rFonts w:ascii="Arial" w:eastAsia="Arial" w:hAnsi="Arial" w:cs="Arial"/>
          <w:color w:val="000000"/>
          <w:sz w:val="24"/>
          <w:szCs w:val="24"/>
        </w:rPr>
        <w:t>, Valencia, Tirant lo Blanch, 2021.</w:t>
      </w:r>
    </w:p>
    <w:p w14:paraId="6A4942A2" w14:textId="77777777" w:rsidR="004236C6" w:rsidRPr="004236C6" w:rsidRDefault="004236C6" w:rsidP="004236C6">
      <w:pPr>
        <w:spacing w:before="0" w:after="0" w:line="360" w:lineRule="auto"/>
        <w:ind w:left="709" w:hanging="709"/>
        <w:jc w:val="both"/>
      </w:pPr>
      <w:r>
        <w:rPr>
          <w:rFonts w:ascii="Arial" w:eastAsia="Arial" w:hAnsi="Arial" w:cs="Arial"/>
          <w:color w:val="000000"/>
          <w:sz w:val="24"/>
          <w:szCs w:val="24"/>
        </w:rPr>
        <w:t xml:space="preserve">LAUDAN, Larry, Por qué un estándar de prueba subjetivo y ambiguo no es un estándar, </w:t>
      </w:r>
      <w:r>
        <w:rPr>
          <w:rFonts w:ascii="Arial" w:eastAsia="Arial" w:hAnsi="Arial" w:cs="Arial"/>
          <w:i/>
          <w:iCs/>
          <w:color w:val="000000"/>
          <w:sz w:val="24"/>
          <w:szCs w:val="24"/>
        </w:rPr>
        <w:t>Doxa. Cuadernos de Filosofía del Derecho</w:t>
      </w:r>
      <w:r>
        <w:rPr>
          <w:rFonts w:ascii="Arial" w:eastAsia="Arial" w:hAnsi="Arial" w:cs="Arial"/>
          <w:color w:val="000000"/>
          <w:sz w:val="24"/>
          <w:szCs w:val="24"/>
        </w:rPr>
        <w:t>, núm. 28, 2005, pp. 95-113.</w:t>
      </w:r>
    </w:p>
    <w:p w14:paraId="178E26D5" w14:textId="77777777" w:rsidR="004236C6" w:rsidRPr="004236C6" w:rsidRDefault="004236C6" w:rsidP="004236C6">
      <w:pPr>
        <w:spacing w:before="0" w:after="0" w:line="360" w:lineRule="auto"/>
        <w:ind w:left="709" w:hanging="709"/>
        <w:jc w:val="both"/>
      </w:pPr>
      <w:r>
        <w:rPr>
          <w:rFonts w:ascii="Arial" w:eastAsia="Arial" w:hAnsi="Arial" w:cs="Arial"/>
          <w:color w:val="000000"/>
          <w:sz w:val="24"/>
          <w:szCs w:val="24"/>
        </w:rPr>
        <w:t xml:space="preserve">LAUDAN, Larry, </w:t>
      </w:r>
      <w:r>
        <w:rPr>
          <w:rFonts w:ascii="Arial" w:eastAsia="Arial" w:hAnsi="Arial" w:cs="Arial"/>
          <w:i/>
          <w:iCs/>
          <w:color w:val="000000"/>
          <w:sz w:val="24"/>
          <w:szCs w:val="24"/>
        </w:rPr>
        <w:t xml:space="preserve">Truth, Error, and Criminal Law. An Essay in Legal Epistemology</w:t>
      </w:r>
      <w:r>
        <w:rPr>
          <w:rFonts w:ascii="Arial" w:eastAsia="Arial" w:hAnsi="Arial" w:cs="Arial"/>
          <w:color w:val="000000"/>
          <w:sz w:val="24"/>
          <w:szCs w:val="24"/>
        </w:rPr>
        <w:t xml:space="preserve">, Cambridge, Cambridge University Press, 2006.</w:t>
      </w:r>
    </w:p>
    <w:p w14:paraId="43747506" w14:textId="77777777" w:rsidR="004236C6" w:rsidRPr="004236C6" w:rsidRDefault="004236C6" w:rsidP="004236C6">
      <w:pPr>
        <w:spacing w:before="0" w:after="0" w:line="360" w:lineRule="auto"/>
        <w:ind w:left="709" w:hanging="709"/>
        <w:jc w:val="both"/>
      </w:pPr>
      <w:r>
        <w:rPr>
          <w:rFonts w:ascii="Arial" w:eastAsia="Arial" w:hAnsi="Arial" w:cs="Arial"/>
          <w:color w:val="000000"/>
          <w:sz w:val="24"/>
          <w:szCs w:val="24"/>
        </w:rPr>
        <w:t xml:space="preserve">MARTÍNEZ-GARZA, Julio César, La duda razonable como estándar de prueba en el proceso penal. Fundamentos, alcances y límites, </w:t>
      </w:r>
      <w:r>
        <w:rPr>
          <w:rFonts w:ascii="Arial" w:eastAsia="Arial" w:hAnsi="Arial" w:cs="Arial"/>
          <w:i/>
          <w:iCs/>
          <w:color w:val="000000"/>
          <w:sz w:val="24"/>
          <w:szCs w:val="24"/>
        </w:rPr>
        <w:t>Revista Penal México</w:t>
      </w:r>
      <w:r>
        <w:rPr>
          <w:rFonts w:ascii="Arial" w:eastAsia="Arial" w:hAnsi="Arial" w:cs="Arial"/>
          <w:color w:val="000000"/>
          <w:sz w:val="24"/>
          <w:szCs w:val="24"/>
        </w:rPr>
        <w:t>, núm. 27, julio-diciembre de 2025.</w:t>
      </w:r>
    </w:p>
    <w:p w14:paraId="65BA3122" w14:textId="77777777" w:rsidR="004236C6" w:rsidRPr="004236C6" w:rsidRDefault="004236C6" w:rsidP="004236C6">
      <w:pPr>
        <w:spacing w:before="0" w:after="0" w:line="360" w:lineRule="auto"/>
        <w:ind w:left="709" w:hanging="709"/>
        <w:jc w:val="both"/>
      </w:pPr>
      <w:r>
        <w:rPr>
          <w:rFonts w:ascii="Arial" w:eastAsia="Arial" w:hAnsi="Arial" w:cs="Arial"/>
          <w:color w:val="000000"/>
          <w:sz w:val="24"/>
          <w:szCs w:val="24"/>
        </w:rPr>
        <w:t xml:space="preserve">MITTERMAIER, C. J. A., </w:t>
      </w:r>
      <w:r>
        <w:rPr>
          <w:rFonts w:ascii="Arial" w:eastAsia="Arial" w:hAnsi="Arial" w:cs="Arial"/>
          <w:i/>
          <w:iCs/>
          <w:color w:val="000000"/>
          <w:sz w:val="24"/>
          <w:szCs w:val="24"/>
        </w:rPr>
        <w:t>Tratado de la prueba en materia criminal</w:t>
      </w:r>
      <w:r>
        <w:rPr>
          <w:rFonts w:ascii="Arial" w:eastAsia="Arial" w:hAnsi="Arial" w:cs="Arial"/>
          <w:color w:val="000000"/>
          <w:sz w:val="24"/>
          <w:szCs w:val="24"/>
        </w:rPr>
        <w:t>, 2a. ed., Madrid, Imprenta de la Revista de Legislación, 1857.</w:t>
      </w:r>
    </w:p>
    <w:p w14:paraId="32FBC9E8" w14:textId="77777777" w:rsidR="004236C6" w:rsidRPr="004236C6" w:rsidRDefault="004236C6" w:rsidP="004236C6">
      <w:pPr>
        <w:spacing w:before="0" w:after="0" w:line="360" w:lineRule="auto"/>
        <w:ind w:left="709" w:hanging="709"/>
        <w:jc w:val="both"/>
      </w:pPr>
      <w:r>
        <w:rPr>
          <w:rFonts w:ascii="Arial" w:eastAsia="Arial" w:hAnsi="Arial" w:cs="Arial"/>
          <w:color w:val="000000"/>
          <w:sz w:val="24"/>
          <w:szCs w:val="24"/>
        </w:rPr>
        <w:t xml:space="preserve">MONTOYA ZAMORA, Raúl, Las reglas de la lógica en la valoración de las pruebas en materia electoral federal, </w:t>
      </w:r>
      <w:r>
        <w:rPr>
          <w:rFonts w:ascii="Arial" w:eastAsia="Arial" w:hAnsi="Arial" w:cs="Arial"/>
          <w:i/>
          <w:iCs/>
          <w:color w:val="000000"/>
          <w:sz w:val="24"/>
          <w:szCs w:val="24"/>
        </w:rPr>
        <w:t>Justicia Electoral. Revista del Tribunal Electoral del Poder Judicial de la Federación</w:t>
      </w:r>
      <w:r>
        <w:rPr>
          <w:rFonts w:ascii="Arial" w:eastAsia="Arial" w:hAnsi="Arial" w:cs="Arial"/>
          <w:color w:val="000000"/>
          <w:sz w:val="24"/>
          <w:szCs w:val="24"/>
        </w:rPr>
        <w:t>, México, vol. 1, núm. 8, 2011, pp. 23-54.</w:t>
      </w:r>
    </w:p>
    <w:p w14:paraId="007D99FC" w14:textId="77777777" w:rsidR="004236C6" w:rsidRPr="004236C6" w:rsidRDefault="004236C6" w:rsidP="004236C6">
      <w:pPr>
        <w:spacing w:before="0" w:after="0" w:line="360" w:lineRule="auto"/>
        <w:ind w:left="709" w:hanging="709"/>
        <w:jc w:val="both"/>
      </w:pPr>
      <w:r>
        <w:rPr>
          <w:rFonts w:ascii="Arial" w:eastAsia="Arial" w:hAnsi="Arial" w:cs="Arial"/>
          <w:color w:val="000000"/>
          <w:sz w:val="24"/>
          <w:szCs w:val="24"/>
        </w:rPr>
        <w:t xml:space="preserve">NIEVA-FENOLL, Jordi, Carga de la prueba y estándares de prueba. Dos reminiscencias del pasado, </w:t>
      </w:r>
      <w:r>
        <w:rPr>
          <w:rFonts w:ascii="Arial" w:eastAsia="Arial" w:hAnsi="Arial" w:cs="Arial"/>
          <w:i/>
          <w:iCs/>
          <w:color w:val="000000"/>
          <w:sz w:val="24"/>
          <w:szCs w:val="24"/>
        </w:rPr>
        <w:t>Estudios de Derecho</w:t>
      </w:r>
      <w:r>
        <w:rPr>
          <w:rFonts w:ascii="Arial" w:eastAsia="Arial" w:hAnsi="Arial" w:cs="Arial"/>
          <w:color w:val="000000"/>
          <w:sz w:val="24"/>
          <w:szCs w:val="24"/>
        </w:rPr>
        <w:t>, Medellín, vol. 77, núm. 170, 2020.</w:t>
      </w:r>
    </w:p>
    <w:p w14:paraId="6D88FDB5" w14:textId="77777777" w:rsidR="004236C6" w:rsidRPr="004236C6" w:rsidRDefault="004236C6" w:rsidP="004236C6">
      <w:pPr>
        <w:spacing w:before="0" w:after="0" w:line="360" w:lineRule="auto"/>
        <w:ind w:left="709" w:hanging="709"/>
        <w:jc w:val="both"/>
      </w:pPr>
      <w:r>
        <w:rPr>
          <w:rFonts w:ascii="Arial" w:eastAsia="Arial" w:hAnsi="Arial" w:cs="Arial"/>
          <w:color w:val="000000"/>
          <w:sz w:val="24"/>
          <w:szCs w:val="24"/>
        </w:rPr>
        <w:t xml:space="preserve">OLAIZ GONZÁLEZ, Jaime, Estudio de la sentencia SUP-JIN-359/2012. Sobre la necesidad de una doctrina sobre invalidez por determinancia en el sistema electoral, </w:t>
      </w:r>
      <w:r>
        <w:rPr>
          <w:rFonts w:ascii="Arial" w:eastAsia="Arial" w:hAnsi="Arial" w:cs="Arial"/>
          <w:i/>
          <w:iCs/>
          <w:color w:val="000000"/>
          <w:sz w:val="24"/>
          <w:szCs w:val="24"/>
        </w:rPr>
        <w:t>Revista Mexicana de Derecho Electoral</w:t>
      </w:r>
      <w:r>
        <w:rPr>
          <w:rFonts w:ascii="Arial" w:eastAsia="Arial" w:hAnsi="Arial" w:cs="Arial"/>
          <w:color w:val="000000"/>
          <w:sz w:val="24"/>
          <w:szCs w:val="24"/>
        </w:rPr>
        <w:t>, núm. 13-14, 2018.</w:t>
      </w:r>
    </w:p>
    <w:p w14:paraId="3B7A0C8E" w14:textId="77777777" w:rsidR="004236C6" w:rsidRPr="004236C6" w:rsidRDefault="004236C6" w:rsidP="004236C6">
      <w:pPr>
        <w:spacing w:before="0" w:after="0" w:line="360" w:lineRule="auto"/>
        <w:ind w:left="709" w:hanging="709"/>
        <w:jc w:val="both"/>
      </w:pPr>
      <w:r>
        <w:rPr>
          <w:rFonts w:ascii="Arial" w:eastAsia="Arial" w:hAnsi="Arial" w:cs="Arial"/>
          <w:color w:val="000000"/>
          <w:sz w:val="24"/>
          <w:szCs w:val="24"/>
        </w:rPr>
        <w:t xml:space="preserve">PARDO, Michael S., Estándares de prueba y teoría de la prueba, en VÁZQUEZ, Carmen (ed.), </w:t>
      </w:r>
      <w:r>
        <w:rPr>
          <w:rFonts w:ascii="Arial" w:eastAsia="Arial" w:hAnsi="Arial" w:cs="Arial"/>
          <w:i/>
          <w:iCs/>
          <w:color w:val="000000"/>
          <w:sz w:val="24"/>
          <w:szCs w:val="24"/>
        </w:rPr>
        <w:t>Estándares de prueba y prueba científica. Ensayos de epistemología jurídica</w:t>
      </w:r>
      <w:r>
        <w:rPr>
          <w:rFonts w:ascii="Arial" w:eastAsia="Arial" w:hAnsi="Arial" w:cs="Arial"/>
          <w:color w:val="000000"/>
          <w:sz w:val="24"/>
          <w:szCs w:val="24"/>
        </w:rPr>
        <w:t>, Madrid, Marcial Pons, 2013, pp. 99-118.</w:t>
      </w:r>
    </w:p>
    <w:p w14:paraId="54407615" w14:textId="77777777" w:rsidR="004236C6" w:rsidRPr="004236C6" w:rsidRDefault="004236C6" w:rsidP="004236C6">
      <w:pPr>
        <w:spacing w:before="0" w:after="0" w:line="360" w:lineRule="auto"/>
        <w:ind w:left="709" w:hanging="709"/>
        <w:jc w:val="both"/>
      </w:pPr>
      <w:r>
        <w:rPr>
          <w:rFonts w:ascii="Arial" w:eastAsia="Arial" w:hAnsi="Arial" w:cs="Arial"/>
          <w:color w:val="000000"/>
          <w:sz w:val="24"/>
          <w:szCs w:val="24"/>
        </w:rPr>
        <w:lastRenderedPageBreak/>
        <w:t xml:space="preserve">RODARTE NAVA, Silvia </w:t>
      </w:r>
      <w:r>
        <w:rPr>
          <w:rFonts w:ascii="Arial" w:eastAsia="Arial" w:hAnsi="Arial" w:cs="Arial"/>
          <w:i/>
          <w:iCs/>
          <w:color w:val="000000"/>
          <w:sz w:val="24"/>
          <w:szCs w:val="24"/>
        </w:rPr>
        <w:t>et al.</w:t>
      </w:r>
      <w:r>
        <w:rPr>
          <w:rFonts w:ascii="Arial" w:eastAsia="Arial" w:hAnsi="Arial" w:cs="Arial"/>
          <w:color w:val="000000"/>
          <w:sz w:val="24"/>
          <w:szCs w:val="24"/>
        </w:rPr>
        <w:t xml:space="preserve">, El problema de la determinancia cuantitativa y una propuesta de solución parcial, </w:t>
      </w:r>
      <w:r>
        <w:rPr>
          <w:rFonts w:ascii="Arial" w:eastAsia="Arial" w:hAnsi="Arial" w:cs="Arial"/>
          <w:i/>
          <w:iCs/>
          <w:color w:val="000000"/>
          <w:sz w:val="24"/>
          <w:szCs w:val="24"/>
        </w:rPr>
        <w:t>Justicia Electoral. Revista del Tribunal Electoral del Poder Judicial de la Federación</w:t>
      </w:r>
      <w:r>
        <w:rPr>
          <w:rFonts w:ascii="Arial" w:eastAsia="Arial" w:hAnsi="Arial" w:cs="Arial"/>
          <w:color w:val="000000"/>
          <w:sz w:val="24"/>
          <w:szCs w:val="24"/>
        </w:rPr>
        <w:t>, México, vol. 1, núm. 7, 2011, pp. 311-332.</w:t>
      </w:r>
    </w:p>
    <w:p w14:paraId="47FEDCF1" w14:textId="77777777" w:rsidR="004236C6" w:rsidRPr="004236C6" w:rsidRDefault="004236C6" w:rsidP="004236C6">
      <w:pPr>
        <w:spacing w:before="0" w:after="0" w:line="360" w:lineRule="auto"/>
        <w:ind w:left="709" w:hanging="709"/>
        <w:jc w:val="both"/>
      </w:pPr>
      <w:r>
        <w:rPr>
          <w:rFonts w:ascii="Arial" w:eastAsia="Arial" w:hAnsi="Arial" w:cs="Arial"/>
          <w:color w:val="000000"/>
          <w:sz w:val="24"/>
          <w:szCs w:val="24"/>
        </w:rPr>
        <w:t xml:space="preserve">RYLE, Gilbert, </w:t>
      </w:r>
      <w:r>
        <w:rPr>
          <w:rFonts w:ascii="Arial" w:eastAsia="Arial" w:hAnsi="Arial" w:cs="Arial"/>
          <w:i/>
          <w:iCs/>
          <w:color w:val="000000"/>
          <w:sz w:val="24"/>
          <w:szCs w:val="24"/>
        </w:rPr>
        <w:t xml:space="preserve">The Concept of Mind</w:t>
      </w:r>
      <w:r>
        <w:rPr>
          <w:rFonts w:ascii="Arial" w:eastAsia="Arial" w:hAnsi="Arial" w:cs="Arial"/>
          <w:color w:val="000000"/>
          <w:sz w:val="24"/>
          <w:szCs w:val="24"/>
        </w:rPr>
        <w:t xml:space="preserve">, Harmondsworth, Penguin Books, 1963, reimpresión de 1968.</w:t>
      </w:r>
    </w:p>
    <w:p w14:paraId="176EF72C" w14:textId="77777777" w:rsidR="004236C6" w:rsidRPr="004236C6" w:rsidRDefault="004236C6" w:rsidP="004236C6">
      <w:pPr>
        <w:spacing w:before="0" w:after="0" w:line="360" w:lineRule="auto"/>
        <w:ind w:left="709" w:hanging="709"/>
        <w:jc w:val="both"/>
      </w:pPr>
      <w:r>
        <w:rPr>
          <w:rFonts w:ascii="Arial" w:eastAsia="Arial" w:hAnsi="Arial" w:cs="Arial"/>
          <w:color w:val="000000"/>
          <w:sz w:val="24"/>
          <w:szCs w:val="24"/>
        </w:rPr>
        <w:t xml:space="preserve">VÁZQUEZ, Carmen (ed.), </w:t>
      </w:r>
      <w:r>
        <w:rPr>
          <w:rFonts w:ascii="Arial" w:eastAsia="Arial" w:hAnsi="Arial" w:cs="Arial"/>
          <w:i/>
          <w:iCs/>
          <w:color w:val="000000"/>
          <w:sz w:val="24"/>
          <w:szCs w:val="24"/>
        </w:rPr>
        <w:t>Estándares de prueba y prueba científica. Ensayos de epistemología jurídica</w:t>
      </w:r>
      <w:r>
        <w:rPr>
          <w:rFonts w:ascii="Arial" w:eastAsia="Arial" w:hAnsi="Arial" w:cs="Arial"/>
          <w:color w:val="000000"/>
          <w:sz w:val="24"/>
          <w:szCs w:val="24"/>
        </w:rPr>
        <w:t>, Madrid, Marcial Pons, 2013.</w:t>
      </w:r>
    </w:p>
    <w:p w14:paraId="170D22DC" w14:textId="77777777" w:rsidR="004236C6" w:rsidRPr="004236C6" w:rsidRDefault="004236C6" w:rsidP="004236C6">
      <w:pPr>
        <w:spacing w:before="0" w:after="0" w:line="360" w:lineRule="auto"/>
        <w:ind w:left="709" w:hanging="709"/>
        <w:jc w:val="both"/>
      </w:pPr>
      <w:r>
        <w:rPr>
          <w:rFonts w:ascii="Arial" w:eastAsia="Arial" w:hAnsi="Arial" w:cs="Arial"/>
          <w:color w:val="000000"/>
          <w:sz w:val="24"/>
          <w:szCs w:val="24"/>
        </w:rPr>
        <w:t xml:space="preserve">WOLDENBERG, José, </w:t>
      </w:r>
      <w:r>
        <w:rPr>
          <w:rFonts w:ascii="Arial" w:eastAsia="Arial" w:hAnsi="Arial" w:cs="Arial"/>
          <w:i/>
          <w:iCs/>
          <w:color w:val="000000"/>
          <w:sz w:val="24"/>
          <w:szCs w:val="24"/>
        </w:rPr>
        <w:t>Historia mínima de la transición democrática en México</w:t>
      </w:r>
      <w:r>
        <w:rPr>
          <w:rFonts w:ascii="Arial" w:eastAsia="Arial" w:hAnsi="Arial" w:cs="Arial"/>
          <w:color w:val="000000"/>
          <w:sz w:val="24"/>
          <w:szCs w:val="24"/>
        </w:rPr>
        <w:t>, México, El Colegio de México, 2012.</w:t>
      </w:r>
    </w:p>
    <w:p w14:paraId="6DFF1D86" w14:textId="77777777" w:rsidR="004236C6" w:rsidRPr="004236C6" w:rsidRDefault="004236C6" w:rsidP="004236C6">
      <w:pPr>
        <w:spacing w:before="0" w:after="0" w:line="360" w:lineRule="auto"/>
        <w:ind w:left="709" w:hanging="709"/>
        <w:jc w:val="both"/>
      </w:pPr>
      <w:r>
        <w:rPr>
          <w:rFonts w:ascii="Arial" w:eastAsia="Arial" w:hAnsi="Arial" w:cs="Arial"/>
          <w:color w:val="000000"/>
          <w:sz w:val="24"/>
          <w:szCs w:val="24"/>
        </w:rPr>
        <w:t xml:space="preserve">ZEFERÍN HERNÁNDEZ, Iván Aarón, </w:t>
      </w:r>
      <w:r>
        <w:rPr>
          <w:rFonts w:ascii="Arial" w:eastAsia="Arial" w:hAnsi="Arial" w:cs="Arial"/>
          <w:i/>
          <w:iCs/>
          <w:color w:val="000000"/>
          <w:sz w:val="24"/>
          <w:szCs w:val="24"/>
        </w:rPr>
        <w:t>La prueba libre y lógica. Sistema penal acusatorio mexicano</w:t>
      </w:r>
      <w:r>
        <w:rPr>
          <w:rFonts w:ascii="Arial" w:eastAsia="Arial" w:hAnsi="Arial" w:cs="Arial"/>
          <w:color w:val="000000"/>
          <w:sz w:val="24"/>
          <w:szCs w:val="24"/>
        </w:rPr>
        <w:t>, México, Instituto de la Judicatura Federal, 2016.</w:t>
      </w:r>
    </w:p>
    <w:p w14:paraId="6F1C8215" w14:textId="77777777" w:rsidR="004236C6" w:rsidRPr="004236C6" w:rsidRDefault="004236C6" w:rsidP="004236C6">
      <w:pPr>
        <w:spacing w:before="0" w:after="0" w:line="360" w:lineRule="auto"/>
        <w:ind w:left="709" w:hanging="709"/>
        <w:jc w:val="both"/>
      </w:pPr>
      <w:r>
        <w:rPr>
          <w:rFonts w:ascii="Arial" w:eastAsia="Arial" w:hAnsi="Arial" w:cs="Arial"/>
          <w:color w:val="000000"/>
          <w:sz w:val="24"/>
          <w:szCs w:val="24"/>
        </w:rPr>
        <w:t xml:space="preserve">ZAMACONA MADRIGAL, Jorge Alberto y GARCÍA RODRÍGUEZ, Martha Margarita, Vigencia de la causal abstracta de nulidad de elección en México a través del nacimiento de la causal de nulidad de elecciones por violación a principios constitucionales. Caso Yurécuaro, Michoacán, </w:t>
      </w:r>
      <w:r>
        <w:rPr>
          <w:rFonts w:ascii="Arial" w:eastAsia="Arial" w:hAnsi="Arial" w:cs="Arial"/>
          <w:i/>
          <w:iCs/>
          <w:color w:val="000000"/>
          <w:sz w:val="24"/>
          <w:szCs w:val="24"/>
        </w:rPr>
        <w:t>Justicia Electoral. Revista del Tribunal Electoral del Poder Judicial de la Federación</w:t>
      </w:r>
      <w:r>
        <w:rPr>
          <w:rFonts w:ascii="Arial" w:eastAsia="Arial" w:hAnsi="Arial" w:cs="Arial"/>
          <w:color w:val="000000"/>
          <w:sz w:val="24"/>
          <w:szCs w:val="24"/>
        </w:rPr>
        <w:t>, México, vol. 1, núm. 8, 2011, pp. 257-285.</w:t>
      </w:r>
    </w:p>
    <w:p>
      <w:pPr>
        <w:spacing w:before="0" w:after="0" w:line="360" w:lineRule="auto"/>
        <w:jc w:val="left"/>
      </w:pPr>
    </w:p>
    <w:p>
      <w:pPr>
        <w:keepNext/>
        <w:spacing w:before="0" w:after="0" w:line="360" w:lineRule="auto"/>
        <w:ind w:left="567" w:hanging="284"/>
        <w:jc w:val="left"/>
      </w:pPr>
      <w:r>
        <w:rPr>
          <w:rFonts w:ascii="Arial" w:eastAsia="Arial" w:hAnsi="Arial" w:cs="Arial"/>
          <w:color w:val="000000"/>
          <w:sz w:val="24"/>
          <w:szCs w:val="24"/>
        </w:rPr>
        <w:t xml:space="preserve">II. </w:t>
      </w:r>
      <w:r>
        <w:rPr>
          <w:rFonts w:ascii="Arial" w:eastAsia="Arial" w:hAnsi="Arial" w:cs="Arial"/>
          <w:i/>
          <w:iCs/>
          <w:color w:val="000000"/>
          <w:sz w:val="24"/>
          <w:szCs w:val="24"/>
        </w:rPr>
        <w:t xml:space="preserve">Legislación</w:t>
      </w:r>
    </w:p>
    <w:p>
      <w:pPr>
        <w:spacing w:before="0" w:after="0" w:line="360" w:lineRule="auto"/>
        <w:jc w:val="left"/>
      </w:pPr>
    </w:p>
    <w:p w14:paraId="0AA56E34" w14:textId="77777777" w:rsidR="004236C6" w:rsidRPr="004236C6" w:rsidRDefault="004236C6" w:rsidP="004236C6">
      <w:pPr>
        <w:spacing w:before="0" w:after="0" w:line="360" w:lineRule="auto"/>
        <w:ind w:left="709" w:hanging="709"/>
        <w:jc w:val="both"/>
      </w:pPr>
      <w:r>
        <w:rPr>
          <w:rFonts w:ascii="Arial" w:eastAsia="Arial" w:hAnsi="Arial" w:cs="Arial"/>
          <w:color w:val="000000"/>
          <w:sz w:val="24"/>
          <w:szCs w:val="24"/>
        </w:rPr>
        <w:t xml:space="preserve">Código Nacional de Procedimientos Penales, texto vigente, última reforma publicada en el </w:t>
      </w:r>
      <w:r>
        <w:rPr>
          <w:rFonts w:ascii="Arial" w:eastAsia="Arial" w:hAnsi="Arial" w:cs="Arial"/>
          <w:i/>
          <w:iCs/>
          <w:color w:val="000000"/>
          <w:sz w:val="24"/>
          <w:szCs w:val="24"/>
        </w:rPr>
        <w:t>Diario Oficial de la Federación</w:t>
      </w:r>
      <w:r>
        <w:rPr>
          <w:rFonts w:ascii="Arial" w:eastAsia="Arial" w:hAnsi="Arial" w:cs="Arial"/>
          <w:color w:val="000000"/>
          <w:sz w:val="24"/>
          <w:szCs w:val="24"/>
        </w:rPr>
        <w:t xml:space="preserve"> el 28 de noviembre de 2025.</w:t>
      </w:r>
    </w:p>
    <w:p w14:paraId="07817126" w14:textId="77777777" w:rsidR="004236C6" w:rsidRPr="004236C6" w:rsidRDefault="004236C6" w:rsidP="004236C6">
      <w:pPr>
        <w:spacing w:before="0" w:after="0" w:line="360" w:lineRule="auto"/>
        <w:ind w:left="709" w:hanging="709"/>
        <w:jc w:val="both"/>
      </w:pPr>
      <w:r>
        <w:rPr>
          <w:rFonts w:ascii="Arial" w:eastAsia="Arial" w:hAnsi="Arial" w:cs="Arial"/>
          <w:color w:val="000000"/>
          <w:sz w:val="24"/>
          <w:szCs w:val="24"/>
        </w:rPr>
        <w:t>Código de Procedimientos Civiles para el Estado de Michoacán de Ocampo, publicado en el Periódico Oficial del Estado el 6 de septiembre de 2008, texto vigente con última reforma publicada el 26 de septiembre de 2022.</w:t>
      </w:r>
    </w:p>
    <w:p w14:paraId="0BDE7163" w14:textId="77777777" w:rsidR="004236C6" w:rsidRPr="004236C6" w:rsidRDefault="004236C6" w:rsidP="004236C6">
      <w:pPr>
        <w:spacing w:before="0" w:after="0" w:line="360" w:lineRule="auto"/>
        <w:ind w:left="709" w:hanging="709"/>
        <w:jc w:val="both"/>
      </w:pPr>
      <w:r>
        <w:rPr>
          <w:rFonts w:ascii="Arial" w:eastAsia="Arial" w:hAnsi="Arial" w:cs="Arial"/>
          <w:color w:val="000000"/>
          <w:sz w:val="24"/>
          <w:szCs w:val="24"/>
        </w:rPr>
        <w:t xml:space="preserve">Constitución Política de los Estados Unidos Mexicanos, texto vigente, últimas reformas publicadas en el </w:t>
      </w:r>
      <w:r>
        <w:rPr>
          <w:rFonts w:ascii="Arial" w:eastAsia="Arial" w:hAnsi="Arial" w:cs="Arial"/>
          <w:i/>
          <w:iCs/>
          <w:color w:val="000000"/>
          <w:sz w:val="24"/>
          <w:szCs w:val="24"/>
        </w:rPr>
        <w:t>Diario Oficial de la Federación</w:t>
      </w:r>
      <w:r>
        <w:rPr>
          <w:rFonts w:ascii="Arial" w:eastAsia="Arial" w:hAnsi="Arial" w:cs="Arial"/>
          <w:color w:val="000000"/>
          <w:sz w:val="24"/>
          <w:szCs w:val="24"/>
        </w:rPr>
        <w:t xml:space="preserve"> el 2 de junio de 2026. Se consultaron, en particular, los decretos de reforma publicados el 10 de febrero de 2014, el 15 de septiembre de 2024 y el 2 de junio de 2026.</w:t>
      </w:r>
    </w:p>
    <w:p w14:paraId="6FB08761" w14:textId="77777777" w:rsidR="004236C6" w:rsidRPr="004236C6" w:rsidRDefault="004236C6" w:rsidP="004236C6">
      <w:pPr>
        <w:spacing w:before="0" w:after="0" w:line="360" w:lineRule="auto"/>
        <w:ind w:left="709" w:hanging="709"/>
        <w:jc w:val="both"/>
      </w:pPr>
      <w:r>
        <w:rPr>
          <w:rFonts w:ascii="Arial" w:eastAsia="Arial" w:hAnsi="Arial" w:cs="Arial"/>
          <w:color w:val="000000"/>
          <w:sz w:val="24"/>
          <w:szCs w:val="24"/>
        </w:rPr>
        <w:lastRenderedPageBreak/>
        <w:t xml:space="preserve">Ley General del Sistema de Medios de Impugnación en Materia Electoral, publicada en el </w:t>
      </w:r>
      <w:r>
        <w:rPr>
          <w:rFonts w:ascii="Arial" w:eastAsia="Arial" w:hAnsi="Arial" w:cs="Arial"/>
          <w:i/>
          <w:iCs/>
          <w:color w:val="000000"/>
          <w:sz w:val="24"/>
          <w:szCs w:val="24"/>
        </w:rPr>
        <w:t>Diario Oficial de la Federación</w:t>
      </w:r>
      <w:r>
        <w:rPr>
          <w:rFonts w:ascii="Arial" w:eastAsia="Arial" w:hAnsi="Arial" w:cs="Arial"/>
          <w:color w:val="000000"/>
          <w:sz w:val="24"/>
          <w:szCs w:val="24"/>
        </w:rPr>
        <w:t xml:space="preserve"> el 22 de noviembre de 1996, texto vigente con última reforma publicada el 14 de noviembre de 2025. Se consultaron, en particular, los decretos de reforma publicados el 23 de mayo de 2014 y el 15 de octubre de 2024.</w:t>
      </w:r>
    </w:p>
    <w:p>
      <w:pPr>
        <w:spacing w:before="0" w:after="0" w:line="360" w:lineRule="auto"/>
        <w:jc w:val="left"/>
      </w:pPr>
    </w:p>
    <w:p>
      <w:pPr>
        <w:keepNext/>
        <w:spacing w:before="0" w:after="0" w:line="360" w:lineRule="auto"/>
        <w:ind w:left="567" w:hanging="284"/>
        <w:jc w:val="left"/>
      </w:pPr>
      <w:r>
        <w:rPr>
          <w:rFonts w:ascii="Arial" w:eastAsia="Arial" w:hAnsi="Arial" w:cs="Arial"/>
          <w:color w:val="000000"/>
          <w:sz w:val="24"/>
          <w:szCs w:val="24"/>
        </w:rPr>
        <w:t xml:space="preserve">III. </w:t>
      </w:r>
      <w:r>
        <w:rPr>
          <w:rFonts w:ascii="Arial" w:eastAsia="Arial" w:hAnsi="Arial" w:cs="Arial"/>
          <w:i/>
          <w:iCs/>
          <w:color w:val="000000"/>
          <w:sz w:val="24"/>
          <w:szCs w:val="24"/>
        </w:rPr>
        <w:t xml:space="preserve">Jurisprudencia y tesis</w:t>
      </w:r>
    </w:p>
    <w:p>
      <w:pPr>
        <w:spacing w:before="0" w:after="0" w:line="360" w:lineRule="auto"/>
        <w:jc w:val="left"/>
      </w:pPr>
    </w:p>
    <w:p w14:paraId="34A3E8AD" w14:textId="77777777" w:rsidR="004236C6" w:rsidRPr="004236C6" w:rsidRDefault="004236C6" w:rsidP="004236C6">
      <w:pPr>
        <w:spacing w:before="0" w:after="0" w:line="360" w:lineRule="auto"/>
        <w:ind w:left="709" w:hanging="709"/>
        <w:jc w:val="both"/>
      </w:pPr>
      <w:r>
        <w:rPr>
          <w:rFonts w:ascii="Arial" w:eastAsia="Arial" w:hAnsi="Arial" w:cs="Arial"/>
          <w:color w:val="000000"/>
          <w:sz w:val="24"/>
          <w:szCs w:val="24"/>
        </w:rPr>
        <w:t xml:space="preserve">Jurisprudencia 9/98, PRINCIPIO DE CONSERVACIÓN DE LOS ACTOS PÚBLICOS VÁLIDAMENTE CELEBRADOS. SU APLICACIÓN EN LA DETERMINACIÓN DE LA NULIDAD DE CIERTA VOTACIÓN, CÓMPUTO O ELECCIÓN, </w:t>
      </w:r>
      <w:r>
        <w:rPr>
          <w:rFonts w:ascii="Arial" w:eastAsia="Arial" w:hAnsi="Arial" w:cs="Arial"/>
          <w:i/>
          <w:iCs/>
          <w:color w:val="000000"/>
          <w:sz w:val="24"/>
          <w:szCs w:val="24"/>
        </w:rPr>
        <w:t>Justicia Electoral. Revista del Tribunal Electoral del Poder Judicial de la Federación</w:t>
      </w:r>
      <w:r>
        <w:rPr>
          <w:rFonts w:ascii="Arial" w:eastAsia="Arial" w:hAnsi="Arial" w:cs="Arial"/>
          <w:color w:val="000000"/>
          <w:sz w:val="24"/>
          <w:szCs w:val="24"/>
        </w:rPr>
        <w:t>, suplemento 2, 1998, pp. 19 y 20.</w:t>
      </w:r>
    </w:p>
    <w:p w14:paraId="0F21FFA1" w14:textId="77777777" w:rsidR="004236C6" w:rsidRPr="004236C6" w:rsidRDefault="004236C6" w:rsidP="004236C6">
      <w:pPr>
        <w:spacing w:before="0" w:after="0" w:line="360" w:lineRule="auto"/>
        <w:ind w:left="709" w:hanging="709"/>
        <w:jc w:val="both"/>
      </w:pPr>
      <w:r>
        <w:rPr>
          <w:rFonts w:ascii="Arial" w:eastAsia="Arial" w:hAnsi="Arial" w:cs="Arial"/>
          <w:color w:val="000000"/>
          <w:sz w:val="24"/>
          <w:szCs w:val="24"/>
        </w:rPr>
        <w:t xml:space="preserve">Jurisprudencia 11/2002, PRUEBA TESTIMONIAL. EN MATERIA ELECTORAL SÓLO PUEDE APORTAR INDICIOS, </w:t>
      </w:r>
      <w:r>
        <w:rPr>
          <w:rFonts w:ascii="Arial" w:eastAsia="Arial" w:hAnsi="Arial" w:cs="Arial"/>
          <w:i/>
          <w:iCs/>
          <w:color w:val="000000"/>
          <w:sz w:val="24"/>
          <w:szCs w:val="24"/>
        </w:rPr>
        <w:t>Justicia Electoral. Revista del Tribunal Electoral del Poder Judicial de la Federación</w:t>
      </w:r>
      <w:r>
        <w:rPr>
          <w:rFonts w:ascii="Arial" w:eastAsia="Arial" w:hAnsi="Arial" w:cs="Arial"/>
          <w:color w:val="000000"/>
          <w:sz w:val="24"/>
          <w:szCs w:val="24"/>
        </w:rPr>
        <w:t>, suplemento 6, 2003, pp. 58 y 59.</w:t>
      </w:r>
    </w:p>
    <w:p w14:paraId="2658819B" w14:textId="77777777" w:rsidR="004236C6" w:rsidRPr="004236C6" w:rsidRDefault="004236C6" w:rsidP="004236C6">
      <w:pPr>
        <w:spacing w:before="0" w:after="0" w:line="360" w:lineRule="auto"/>
        <w:ind w:left="709" w:hanging="709"/>
        <w:jc w:val="both"/>
      </w:pPr>
      <w:r>
        <w:rPr>
          <w:rFonts w:ascii="Arial" w:eastAsia="Arial" w:hAnsi="Arial" w:cs="Arial"/>
          <w:color w:val="000000"/>
          <w:sz w:val="24"/>
          <w:szCs w:val="24"/>
        </w:rPr>
        <w:t xml:space="preserve">Jurisprudencia 38/2002, NOTAS PERIODÍSTICAS. ELEMENTOS PARA DETERMINAR SU FUERZA INDICIARIA, </w:t>
      </w:r>
      <w:r>
        <w:rPr>
          <w:rFonts w:ascii="Arial" w:eastAsia="Arial" w:hAnsi="Arial" w:cs="Arial"/>
          <w:i/>
          <w:iCs/>
          <w:color w:val="000000"/>
          <w:sz w:val="24"/>
          <w:szCs w:val="24"/>
        </w:rPr>
        <w:t>Justicia Electoral. Revista del Tribunal Electoral del Poder Judicial de la Federación</w:t>
      </w:r>
      <w:r>
        <w:rPr>
          <w:rFonts w:ascii="Arial" w:eastAsia="Arial" w:hAnsi="Arial" w:cs="Arial"/>
          <w:color w:val="000000"/>
          <w:sz w:val="24"/>
          <w:szCs w:val="24"/>
        </w:rPr>
        <w:t>, suplemento 6, 2003, p. 44.</w:t>
      </w:r>
    </w:p>
    <w:p w14:paraId="2C70E10A" w14:textId="77777777" w:rsidR="004236C6" w:rsidRPr="004236C6" w:rsidRDefault="004236C6" w:rsidP="004236C6">
      <w:pPr>
        <w:spacing w:before="0" w:after="0" w:line="360" w:lineRule="auto"/>
        <w:ind w:left="709" w:hanging="709"/>
        <w:jc w:val="both"/>
      </w:pPr>
      <w:r>
        <w:rPr>
          <w:rFonts w:ascii="Arial" w:eastAsia="Arial" w:hAnsi="Arial" w:cs="Arial"/>
          <w:color w:val="000000"/>
          <w:sz w:val="24"/>
          <w:szCs w:val="24"/>
        </w:rPr>
        <w:t xml:space="preserve">Jurisprudencia 39/2002, NULIDAD DE ELECCIÓN O DE LA VOTACIÓN RECIBIDA EN UNA CASILLA. CRITERIOS PARA ESTABLECER CUÁNDO UNA IRREGULARIDAD ES DETERMINANTE PARA SU RESULTADO, </w:t>
      </w:r>
      <w:r>
        <w:rPr>
          <w:rFonts w:ascii="Arial" w:eastAsia="Arial" w:hAnsi="Arial" w:cs="Arial"/>
          <w:i/>
          <w:iCs/>
          <w:color w:val="000000"/>
          <w:sz w:val="24"/>
          <w:szCs w:val="24"/>
        </w:rPr>
        <w:t>Justicia Electoral. Revista del Tribunal Electoral del Poder Judicial de la Federación</w:t>
      </w:r>
      <w:r>
        <w:rPr>
          <w:rFonts w:ascii="Arial" w:eastAsia="Arial" w:hAnsi="Arial" w:cs="Arial"/>
          <w:color w:val="000000"/>
          <w:sz w:val="24"/>
          <w:szCs w:val="24"/>
        </w:rPr>
        <w:t>, suplemento 6, 2003, p. 45.</w:t>
      </w:r>
    </w:p>
    <w:p w14:paraId="01760C49" w14:textId="77777777" w:rsidR="004236C6" w:rsidRPr="004236C6" w:rsidRDefault="004236C6" w:rsidP="004236C6">
      <w:pPr>
        <w:spacing w:before="0" w:after="0" w:line="360" w:lineRule="auto"/>
        <w:ind w:left="709" w:hanging="709"/>
        <w:jc w:val="both"/>
      </w:pPr>
      <w:r>
        <w:rPr>
          <w:rFonts w:ascii="Arial" w:eastAsia="Arial" w:hAnsi="Arial" w:cs="Arial"/>
          <w:color w:val="000000"/>
          <w:sz w:val="24"/>
          <w:szCs w:val="24"/>
        </w:rPr>
        <w:t xml:space="preserve">Jurisprudencia 4/2014, PRUEBAS TÉCNICAS. SON INSUFICIENTES, POR SÍ SOLAS, PARA ACREDITAR DE MANERA FEHACIENTE LOS HECHOS QUE CONTIENEN, </w:t>
      </w:r>
      <w:r>
        <w:rPr>
          <w:rFonts w:ascii="Arial" w:eastAsia="Arial" w:hAnsi="Arial" w:cs="Arial"/>
          <w:i/>
          <w:iCs/>
          <w:color w:val="000000"/>
          <w:sz w:val="24"/>
          <w:szCs w:val="24"/>
        </w:rPr>
        <w:t>Gaceta de Jurisprudencia y Tesis en materia electoral</w:t>
      </w:r>
      <w:r>
        <w:rPr>
          <w:rFonts w:ascii="Arial" w:eastAsia="Arial" w:hAnsi="Arial" w:cs="Arial"/>
          <w:color w:val="000000"/>
          <w:sz w:val="24"/>
          <w:szCs w:val="24"/>
        </w:rPr>
        <w:t>, Tribunal Electoral del Poder Judicial de la Federación, año 7, núm. 14, 2014, pp. 23 y 24.</w:t>
      </w:r>
    </w:p>
    <w:p w14:paraId="28C20338" w14:textId="77777777" w:rsidR="004236C6" w:rsidRPr="004236C6" w:rsidRDefault="004236C6" w:rsidP="004236C6">
      <w:pPr>
        <w:spacing w:before="0" w:after="0" w:line="360" w:lineRule="auto"/>
        <w:ind w:left="709" w:hanging="709"/>
        <w:jc w:val="both"/>
      </w:pPr>
      <w:r>
        <w:rPr>
          <w:rFonts w:ascii="Arial" w:eastAsia="Arial" w:hAnsi="Arial" w:cs="Arial"/>
          <w:color w:val="000000"/>
          <w:sz w:val="24"/>
          <w:szCs w:val="24"/>
        </w:rPr>
        <w:lastRenderedPageBreak/>
        <w:t xml:space="preserve">Jurisprudencia 44/2024, NULIDAD DE LA ELECCIÓN. ELEMENTOS O CONDICIONES QUE SE DEBEN ACREDITAR CUANDO SE SOLICITA POR VIOLACIÓN A PRINCIPIOS O PRECEPTOS CONSTITUCIONALES, </w:t>
      </w:r>
      <w:r>
        <w:rPr>
          <w:rFonts w:ascii="Arial" w:eastAsia="Arial" w:hAnsi="Arial" w:cs="Arial"/>
          <w:i/>
          <w:iCs/>
          <w:color w:val="000000"/>
          <w:sz w:val="24"/>
          <w:szCs w:val="24"/>
        </w:rPr>
        <w:t>Gaceta Jurisprudencia y Tesis en materia electoral</w:t>
      </w:r>
      <w:r>
        <w:rPr>
          <w:rFonts w:ascii="Arial" w:eastAsia="Arial" w:hAnsi="Arial" w:cs="Arial"/>
          <w:color w:val="000000"/>
          <w:sz w:val="24"/>
          <w:szCs w:val="24"/>
        </w:rPr>
        <w:t>, Tribunal Electoral del Poder Judicial de la Federación, año 17, núm. 29, 2024, pp. 149-151.</w:t>
      </w:r>
    </w:p>
    <w:p w14:paraId="360245C0" w14:textId="77777777" w:rsidR="004236C6" w:rsidRPr="004236C6" w:rsidRDefault="004236C6" w:rsidP="004236C6">
      <w:pPr>
        <w:spacing w:before="0" w:after="0" w:line="360" w:lineRule="auto"/>
        <w:ind w:left="709" w:hanging="709"/>
        <w:jc w:val="both"/>
      </w:pPr>
      <w:r>
        <w:rPr>
          <w:rFonts w:ascii="Arial" w:eastAsia="Arial" w:hAnsi="Arial" w:cs="Arial"/>
          <w:color w:val="000000"/>
          <w:sz w:val="24"/>
          <w:szCs w:val="24"/>
        </w:rPr>
        <w:t xml:space="preserve">Tesis XXXI/2004, NULIDAD DE ELECCIÓN. FACTORES CUALITATIVO Y CUANTITATIVO DEL CARÁCTER DETERMINANTE DE LA VIOLACIÓN O IRREGULARIDAD, </w:t>
      </w:r>
      <w:r>
        <w:rPr>
          <w:rFonts w:ascii="Arial" w:eastAsia="Arial" w:hAnsi="Arial" w:cs="Arial"/>
          <w:i/>
          <w:iCs/>
          <w:color w:val="000000"/>
          <w:sz w:val="24"/>
          <w:szCs w:val="24"/>
        </w:rPr>
        <w:t>Jurisprudencia y Tesis Relevantes 1997-2005. Compilación Oficial</w:t>
      </w:r>
      <w:r>
        <w:rPr>
          <w:rFonts w:ascii="Arial" w:eastAsia="Arial" w:hAnsi="Arial" w:cs="Arial"/>
          <w:color w:val="000000"/>
          <w:sz w:val="24"/>
          <w:szCs w:val="24"/>
        </w:rPr>
        <w:t>, Tribunal Electoral del Poder Judicial de la Federación, pp. 725 y 726.</w:t>
      </w:r>
    </w:p>
    <w:p w14:paraId="103AA3E4" w14:textId="77777777" w:rsidR="004236C6" w:rsidRPr="004236C6" w:rsidRDefault="004236C6" w:rsidP="004236C6">
      <w:pPr>
        <w:spacing w:before="0" w:after="0" w:line="360" w:lineRule="auto"/>
        <w:ind w:left="709" w:hanging="709"/>
        <w:jc w:val="both"/>
      </w:pPr>
      <w:r>
        <w:rPr>
          <w:rFonts w:ascii="Arial" w:eastAsia="Arial" w:hAnsi="Arial" w:cs="Arial"/>
          <w:color w:val="000000"/>
          <w:sz w:val="24"/>
          <w:szCs w:val="24"/>
        </w:rPr>
        <w:t xml:space="preserve">Tesis XXXVII/2004, PRUEBAS INDIRECTAS. SON IDÓNEAS PARA ACREDITAR ACTIVIDADES ILÍCITAS REALIZADAS POR LOS PARTIDOS POLÍTICOS, </w:t>
      </w:r>
      <w:r>
        <w:rPr>
          <w:rFonts w:ascii="Arial" w:eastAsia="Arial" w:hAnsi="Arial" w:cs="Arial"/>
          <w:i/>
          <w:iCs/>
          <w:color w:val="000000"/>
          <w:sz w:val="24"/>
          <w:szCs w:val="24"/>
        </w:rPr>
        <w:t>Jurisprudencia y Tesis Relevantes 1997-2005. Compilación Oficial</w:t>
      </w:r>
      <w:r>
        <w:rPr>
          <w:rFonts w:ascii="Arial" w:eastAsia="Arial" w:hAnsi="Arial" w:cs="Arial"/>
          <w:color w:val="000000"/>
          <w:sz w:val="24"/>
          <w:szCs w:val="24"/>
        </w:rPr>
        <w:t>, Tribunal Electoral del Poder Judicial de la Federación, pp. 833-835.</w:t>
      </w:r>
    </w:p>
    <w:p w14:paraId="34AE2869" w14:textId="77777777" w:rsidR="004236C6" w:rsidRPr="004236C6" w:rsidRDefault="004236C6" w:rsidP="004236C6">
      <w:pPr>
        <w:spacing w:before="0" w:after="0" w:line="360" w:lineRule="auto"/>
        <w:ind w:left="709" w:hanging="709"/>
        <w:jc w:val="both"/>
      </w:pPr>
      <w:r>
        <w:rPr>
          <w:rFonts w:ascii="Arial" w:eastAsia="Arial" w:hAnsi="Arial" w:cs="Arial"/>
          <w:color w:val="000000"/>
          <w:sz w:val="24"/>
          <w:szCs w:val="24"/>
        </w:rPr>
        <w:t xml:space="preserve">Tesis III/2010, NULIDAD DE ELECCIÓN. LAS CONDUCTAS SANCIONADAS A TRAVÉS DE PROCEDIMIENTOS ADMINISTRATIVOS SANCIONADORES SON INSUFICIENTES, POR SÍ MISMAS, PARA ACTUALIZARLA, </w:t>
      </w:r>
      <w:r>
        <w:rPr>
          <w:rFonts w:ascii="Arial" w:eastAsia="Arial" w:hAnsi="Arial" w:cs="Arial"/>
          <w:i/>
          <w:iCs/>
          <w:color w:val="000000"/>
          <w:sz w:val="24"/>
          <w:szCs w:val="24"/>
        </w:rPr>
        <w:t>Gaceta de Jurisprudencia y Tesis en materia electoral</w:t>
      </w:r>
      <w:r>
        <w:rPr>
          <w:rFonts w:ascii="Arial" w:eastAsia="Arial" w:hAnsi="Arial" w:cs="Arial"/>
          <w:color w:val="000000"/>
          <w:sz w:val="24"/>
          <w:szCs w:val="24"/>
        </w:rPr>
        <w:t>, Tribunal Electoral del Poder Judicial de la Federación, año 3, núm. 6, 2010, p. 43.</w:t>
      </w:r>
    </w:p>
    <w:p w14:paraId="18512208" w14:textId="77777777" w:rsidR="004236C6" w:rsidRPr="004236C6" w:rsidRDefault="004236C6" w:rsidP="004236C6">
      <w:pPr>
        <w:spacing w:before="0" w:after="0" w:line="360" w:lineRule="auto"/>
        <w:ind w:left="709" w:hanging="709"/>
        <w:jc w:val="both"/>
      </w:pPr>
      <w:r>
        <w:rPr>
          <w:rFonts w:ascii="Arial" w:eastAsia="Arial" w:hAnsi="Arial" w:cs="Arial"/>
          <w:color w:val="000000"/>
          <w:sz w:val="24"/>
          <w:szCs w:val="24"/>
        </w:rPr>
        <w:t xml:space="preserve">Tesis 1a. CCLXXXIII/2013 (10a.), </w:t>
      </w:r>
      <w:r>
        <w:rPr>
          <w:rFonts w:ascii="Arial" w:eastAsia="Arial" w:hAnsi="Arial" w:cs="Arial"/>
          <w:i/>
          <w:iCs/>
          <w:color w:val="000000"/>
          <w:sz w:val="24"/>
          <w:szCs w:val="24"/>
        </w:rPr>
        <w:t>Semanario Judicial de la Federación y su Gaceta</w:t>
      </w:r>
      <w:r>
        <w:rPr>
          <w:rFonts w:ascii="Arial" w:eastAsia="Arial" w:hAnsi="Arial" w:cs="Arial"/>
          <w:color w:val="000000"/>
          <w:sz w:val="24"/>
          <w:szCs w:val="24"/>
        </w:rPr>
        <w:t>, Décima Época, libro XXV, octubre de 2013, t. 2, p. 1058, registro digital 2004757.</w:t>
      </w:r>
    </w:p>
    <w:p w14:paraId="7B93573B" w14:textId="77777777" w:rsidR="004236C6" w:rsidRPr="004236C6" w:rsidRDefault="004236C6" w:rsidP="004236C6">
      <w:pPr>
        <w:spacing w:before="0" w:after="0" w:line="360" w:lineRule="auto"/>
        <w:ind w:left="709" w:hanging="709"/>
        <w:jc w:val="both"/>
      </w:pPr>
      <w:r>
        <w:rPr>
          <w:rFonts w:ascii="Arial" w:eastAsia="Arial" w:hAnsi="Arial" w:cs="Arial"/>
          <w:color w:val="000000"/>
          <w:sz w:val="24"/>
          <w:szCs w:val="24"/>
        </w:rPr>
        <w:t xml:space="preserve">Tesis 1a. CCXVIII/2015 (10a.), IN DUBIO PRO REO. EL CONCEPTO DE DUDA ASOCIADO A ESTE PRINCIPIO NO DEBE ENTENDERSE COMO LA FALTA DE CONVICCIÓN O LA INDETERMINACIÓN DEL ÁNIMO O PENSAMIENTO DEL JUZGADOR, </w:t>
      </w:r>
      <w:r>
        <w:rPr>
          <w:rFonts w:ascii="Arial" w:eastAsia="Arial" w:hAnsi="Arial" w:cs="Arial"/>
          <w:i/>
          <w:iCs/>
          <w:color w:val="000000"/>
          <w:sz w:val="24"/>
          <w:szCs w:val="24"/>
        </w:rPr>
        <w:t>Gaceta del Semanario Judicial de la Federación</w:t>
      </w:r>
      <w:r>
        <w:rPr>
          <w:rFonts w:ascii="Arial" w:eastAsia="Arial" w:hAnsi="Arial" w:cs="Arial"/>
          <w:color w:val="000000"/>
          <w:sz w:val="24"/>
          <w:szCs w:val="24"/>
        </w:rPr>
        <w:t>, Décima Época, libro 19, junio de 2015, t. I, p. 589, registro digital 2009462.</w:t>
      </w:r>
    </w:p>
    <w:p w14:paraId="5E8679D4" w14:textId="77777777" w:rsidR="004236C6" w:rsidRPr="004236C6" w:rsidRDefault="004236C6" w:rsidP="004236C6">
      <w:pPr>
        <w:spacing w:before="0" w:after="0" w:line="360" w:lineRule="auto"/>
        <w:ind w:left="709" w:hanging="709"/>
        <w:jc w:val="both"/>
      </w:pPr>
      <w:r>
        <w:rPr>
          <w:rFonts w:ascii="Arial" w:eastAsia="Arial" w:hAnsi="Arial" w:cs="Arial"/>
          <w:color w:val="000000"/>
          <w:sz w:val="24"/>
          <w:szCs w:val="24"/>
        </w:rPr>
        <w:t xml:space="preserve">Tesis II.1o.P.1 P (11a.), </w:t>
      </w:r>
      <w:r>
        <w:rPr>
          <w:rFonts w:ascii="Arial" w:eastAsia="Arial" w:hAnsi="Arial" w:cs="Arial"/>
          <w:i/>
          <w:iCs/>
          <w:color w:val="000000"/>
          <w:sz w:val="24"/>
          <w:szCs w:val="24"/>
        </w:rPr>
        <w:t>Gaceta del Semanario Judicial de la Federación</w:t>
      </w:r>
      <w:r>
        <w:rPr>
          <w:rFonts w:ascii="Arial" w:eastAsia="Arial" w:hAnsi="Arial" w:cs="Arial"/>
          <w:color w:val="000000"/>
          <w:sz w:val="24"/>
          <w:szCs w:val="24"/>
        </w:rPr>
        <w:t>, Undécima Época, libro 14, junio de 2022, t. VII, p. 6278, registro digital 2024878.</w:t>
      </w:r>
    </w:p>
    <w:p>
      <w:pPr>
        <w:spacing w:before="0" w:after="0" w:line="360" w:lineRule="auto"/>
        <w:jc w:val="left"/>
      </w:pPr>
    </w:p>
    <w:p>
      <w:pPr>
        <w:keepNext/>
        <w:spacing w:before="0" w:after="0" w:line="360" w:lineRule="auto"/>
        <w:ind w:left="567" w:hanging="284"/>
        <w:jc w:val="left"/>
      </w:pPr>
      <w:r>
        <w:rPr>
          <w:rFonts w:ascii="Arial" w:eastAsia="Arial" w:hAnsi="Arial" w:cs="Arial"/>
          <w:color w:val="000000"/>
          <w:sz w:val="24"/>
          <w:szCs w:val="24"/>
        </w:rPr>
        <w:t xml:space="preserve">IV. </w:t>
      </w:r>
      <w:r>
        <w:rPr>
          <w:rFonts w:ascii="Arial" w:eastAsia="Arial" w:hAnsi="Arial" w:cs="Arial"/>
          <w:i/>
          <w:iCs/>
          <w:color w:val="000000"/>
          <w:sz w:val="24"/>
          <w:szCs w:val="24"/>
        </w:rPr>
        <w:t xml:space="preserve">Resoluciones judiciales, votos y proyectos</w:t>
      </w:r>
    </w:p>
    <w:p>
      <w:pPr>
        <w:spacing w:before="0" w:after="0" w:line="360" w:lineRule="auto"/>
        <w:jc w:val="left"/>
      </w:pPr>
    </w:p>
    <w:p w14:paraId="51B48E66" w14:textId="77777777" w:rsidR="004236C6" w:rsidRPr="004236C6" w:rsidRDefault="004236C6" w:rsidP="004236C6">
      <w:pPr>
        <w:spacing w:before="0" w:after="0" w:line="360" w:lineRule="auto"/>
        <w:ind w:left="709" w:hanging="709"/>
        <w:jc w:val="both"/>
      </w:pPr>
      <w:r>
        <w:rPr>
          <w:rFonts w:ascii="Arial" w:eastAsia="Arial" w:hAnsi="Arial" w:cs="Arial"/>
          <w:color w:val="000000"/>
          <w:sz w:val="24"/>
          <w:szCs w:val="24"/>
        </w:rPr>
        <w:t xml:space="preserve">Sala Superior del Tribunal Electoral del Poder Judicial de la Federación, SUP-JRC-487/2000 y acumulado SUP-JRC-489/2000, sentencia de 29 de diciembre de 2000, en Tribunal Electoral del Poder Judicial de la Federación, </w:t>
      </w:r>
      <w:r>
        <w:rPr>
          <w:rFonts w:ascii="Arial" w:eastAsia="Arial" w:hAnsi="Arial" w:cs="Arial"/>
          <w:i/>
          <w:iCs/>
          <w:color w:val="000000"/>
          <w:sz w:val="24"/>
          <w:szCs w:val="24"/>
        </w:rPr>
        <w:t>Ejecución de sentencias en los juicios de revisión constitucional electoral. Caso Tabasco</w:t>
      </w:r>
      <w:r>
        <w:rPr>
          <w:rFonts w:ascii="Arial" w:eastAsia="Arial" w:hAnsi="Arial" w:cs="Arial"/>
          <w:color w:val="000000"/>
          <w:sz w:val="24"/>
          <w:szCs w:val="24"/>
        </w:rPr>
        <w:t>, México, TEPJF, 2001, Colección Sentencias Relevantes, núm. 2, t. I.</w:t>
      </w:r>
    </w:p>
    <w:p w14:paraId="16C7B84C" w14:textId="77777777" w:rsidR="004236C6" w:rsidRPr="004236C6" w:rsidRDefault="004236C6" w:rsidP="004236C6">
      <w:pPr>
        <w:spacing w:before="0" w:after="0" w:line="360" w:lineRule="auto"/>
        <w:ind w:left="709" w:hanging="709"/>
        <w:jc w:val="both"/>
      </w:pPr>
      <w:r>
        <w:rPr>
          <w:rFonts w:ascii="Arial" w:eastAsia="Arial" w:hAnsi="Arial" w:cs="Arial"/>
          <w:color w:val="000000"/>
          <w:sz w:val="24"/>
          <w:szCs w:val="24"/>
        </w:rPr>
        <w:t xml:space="preserve">Voto particular de los magistrados Eloy Fuentes Cerda y Alfonsina Berta Navarro Hidalgo en el SUP-JRC-487/2000 y acumulado, en Tribunal Electoral del Poder Judicial de la Federación, </w:t>
      </w:r>
      <w:r>
        <w:rPr>
          <w:rFonts w:ascii="Arial" w:eastAsia="Arial" w:hAnsi="Arial" w:cs="Arial"/>
          <w:i/>
          <w:iCs/>
          <w:color w:val="000000"/>
          <w:sz w:val="24"/>
          <w:szCs w:val="24"/>
        </w:rPr>
        <w:t>Ejecución de sentencias en los juicios de revisión constitucional electoral. Caso Tabasco</w:t>
      </w:r>
      <w:r>
        <w:rPr>
          <w:rFonts w:ascii="Arial" w:eastAsia="Arial" w:hAnsi="Arial" w:cs="Arial"/>
          <w:color w:val="000000"/>
          <w:sz w:val="24"/>
          <w:szCs w:val="24"/>
        </w:rPr>
        <w:t>, México, TEPJF, 2001, Colección Sentencias Relevantes, núm. 2, t. II.</w:t>
      </w:r>
    </w:p>
    <w:p w14:paraId="06F5FBE7" w14:textId="77777777" w:rsidR="004236C6" w:rsidRPr="004236C6" w:rsidRDefault="004236C6" w:rsidP="004236C6">
      <w:pPr>
        <w:spacing w:before="0" w:after="0" w:line="360" w:lineRule="auto"/>
        <w:ind w:left="709" w:hanging="709"/>
        <w:jc w:val="both"/>
      </w:pPr>
      <w:r>
        <w:rPr>
          <w:rFonts w:ascii="Arial" w:eastAsia="Arial" w:hAnsi="Arial" w:cs="Arial"/>
          <w:color w:val="000000"/>
          <w:sz w:val="24"/>
          <w:szCs w:val="24"/>
        </w:rPr>
        <w:t>Sala Superior del Tribunal Electoral del Poder Judicial de la Federación, SUP-JRC-170/2001, sentencia de 6 de septiembre de 2001.</w:t>
      </w:r>
    </w:p>
    <w:p w14:paraId="25CD7A8D" w14:textId="77777777" w:rsidR="004236C6" w:rsidRPr="004236C6" w:rsidRDefault="004236C6" w:rsidP="004236C6">
      <w:pPr>
        <w:spacing w:before="0" w:after="0" w:line="360" w:lineRule="auto"/>
        <w:ind w:left="709" w:hanging="709"/>
        <w:jc w:val="both"/>
      </w:pPr>
      <w:r>
        <w:rPr>
          <w:rFonts w:ascii="Arial" w:eastAsia="Arial" w:hAnsi="Arial" w:cs="Arial"/>
          <w:color w:val="000000"/>
          <w:sz w:val="24"/>
          <w:szCs w:val="24"/>
        </w:rPr>
        <w:t>Sala Superior del Tribunal Electoral del Poder Judicial de la Federación, SUP-JRC-349/2001 y acumulado, sentencia de 30 de diciembre de 2001.</w:t>
      </w:r>
    </w:p>
    <w:p w14:paraId="56E33E73" w14:textId="77777777" w:rsidR="004236C6" w:rsidRPr="004236C6" w:rsidRDefault="004236C6" w:rsidP="004236C6">
      <w:pPr>
        <w:spacing w:before="0" w:after="0" w:line="360" w:lineRule="auto"/>
        <w:ind w:left="709" w:hanging="709"/>
        <w:jc w:val="both"/>
      </w:pPr>
      <w:r>
        <w:rPr>
          <w:rFonts w:ascii="Arial" w:eastAsia="Arial" w:hAnsi="Arial" w:cs="Arial"/>
          <w:color w:val="000000"/>
          <w:sz w:val="24"/>
          <w:szCs w:val="24"/>
        </w:rPr>
        <w:t>Sala Superior del Tribunal Electoral del Poder Judicial de la Federación, SUP-JRC-024/2002, sentencia de 30 de enero de 2002.</w:t>
      </w:r>
    </w:p>
    <w:p w14:paraId="66DFA9B3" w14:textId="77777777" w:rsidR="004236C6" w:rsidRPr="004236C6" w:rsidRDefault="004236C6" w:rsidP="004236C6">
      <w:pPr>
        <w:spacing w:before="0" w:after="0" w:line="360" w:lineRule="auto"/>
        <w:ind w:left="709" w:hanging="709"/>
        <w:jc w:val="both"/>
      </w:pPr>
      <w:r>
        <w:rPr>
          <w:rFonts w:ascii="Arial" w:eastAsia="Arial" w:hAnsi="Arial" w:cs="Arial"/>
          <w:color w:val="000000"/>
          <w:sz w:val="24"/>
          <w:szCs w:val="24"/>
        </w:rPr>
        <w:t>Sala Superior del Tribunal Electoral del Poder Judicial de la Federación, SUP-JRC-221/2003 y acumulados, sentencia de 29 de octubre de 2003.</w:t>
      </w:r>
    </w:p>
    <w:p w14:paraId="2D7E35C2" w14:textId="77777777" w:rsidR="004236C6" w:rsidRPr="004236C6" w:rsidRDefault="004236C6" w:rsidP="004236C6">
      <w:pPr>
        <w:spacing w:before="0" w:after="0" w:line="360" w:lineRule="auto"/>
        <w:ind w:left="709" w:hanging="709"/>
        <w:jc w:val="both"/>
      </w:pPr>
      <w:r>
        <w:rPr>
          <w:rFonts w:ascii="Arial" w:eastAsia="Arial" w:hAnsi="Arial" w:cs="Arial"/>
          <w:color w:val="000000"/>
          <w:sz w:val="24"/>
          <w:szCs w:val="24"/>
        </w:rPr>
        <w:t>Voto particular de los magistrados Alfonsina Berta Navarro Hidalgo, José Luis de la Peza y Eloy Fuentes Cerda en el SUP-JRC-221/2003 y acumulados.</w:t>
      </w:r>
    </w:p>
    <w:p w14:paraId="5DE1255F" w14:textId="77777777" w:rsidR="004236C6" w:rsidRPr="004236C6" w:rsidRDefault="004236C6" w:rsidP="004236C6">
      <w:pPr>
        <w:spacing w:before="0" w:after="0" w:line="360" w:lineRule="auto"/>
        <w:ind w:left="709" w:hanging="709"/>
        <w:jc w:val="both"/>
      </w:pPr>
      <w:r>
        <w:rPr>
          <w:rFonts w:ascii="Arial" w:eastAsia="Arial" w:hAnsi="Arial" w:cs="Arial"/>
          <w:color w:val="000000"/>
          <w:sz w:val="24"/>
          <w:szCs w:val="24"/>
        </w:rPr>
        <w:t>Sala Superior del Tribunal Electoral del Poder Judicial de la Federación, SUP-JIN-212/2006, sentencia de 28 de agosto de 2006.</w:t>
      </w:r>
    </w:p>
    <w:p w14:paraId="21639BCF" w14:textId="77777777" w:rsidR="004236C6" w:rsidRPr="004236C6" w:rsidRDefault="004236C6" w:rsidP="004236C6">
      <w:pPr>
        <w:spacing w:before="0" w:after="0" w:line="360" w:lineRule="auto"/>
        <w:ind w:left="709" w:hanging="709"/>
        <w:jc w:val="both"/>
      </w:pPr>
      <w:r>
        <w:rPr>
          <w:rFonts w:ascii="Arial" w:eastAsia="Arial" w:hAnsi="Arial" w:cs="Arial"/>
          <w:color w:val="000000"/>
          <w:sz w:val="24"/>
          <w:szCs w:val="24"/>
        </w:rPr>
        <w:t>Sala Superior del Tribunal Electoral del Poder Judicial de la Federación, SUP-JRC-604/2007, sentencia de 23 de diciembre de 2007.</w:t>
      </w:r>
    </w:p>
    <w:p w14:paraId="055D1611" w14:textId="77777777" w:rsidR="004236C6" w:rsidRPr="004236C6" w:rsidRDefault="004236C6" w:rsidP="004236C6">
      <w:pPr>
        <w:spacing w:before="0" w:after="0" w:line="360" w:lineRule="auto"/>
        <w:ind w:left="709" w:hanging="709"/>
        <w:jc w:val="both"/>
      </w:pPr>
      <w:r>
        <w:rPr>
          <w:rFonts w:ascii="Arial" w:eastAsia="Arial" w:hAnsi="Arial" w:cs="Arial"/>
          <w:color w:val="000000"/>
          <w:sz w:val="24"/>
          <w:szCs w:val="24"/>
        </w:rPr>
        <w:t>Sala Superior del Tribunal Electoral del Poder Judicial de la Federación, SUP-RAP-33/2010, sentencia de 6 de mayo de 2010.</w:t>
      </w:r>
    </w:p>
    <w:p w14:paraId="5F2430B0" w14:textId="77777777" w:rsidR="004236C6" w:rsidRPr="004236C6" w:rsidRDefault="004236C6" w:rsidP="004236C6">
      <w:pPr>
        <w:spacing w:before="0" w:after="0" w:line="360" w:lineRule="auto"/>
        <w:ind w:left="709" w:hanging="709"/>
        <w:jc w:val="both"/>
      </w:pPr>
      <w:r>
        <w:rPr>
          <w:rFonts w:ascii="Arial" w:eastAsia="Arial" w:hAnsi="Arial" w:cs="Arial"/>
          <w:color w:val="000000"/>
          <w:sz w:val="24"/>
          <w:szCs w:val="24"/>
        </w:rPr>
        <w:lastRenderedPageBreak/>
        <w:t>Sala Superior del Tribunal Electoral del Poder Judicial de la Federación, SUP-JRC-273/2010 y acumulados, sentencia de 12 de septiembre de 2010.</w:t>
      </w:r>
    </w:p>
    <w:p w14:paraId="0A6CB7B7" w14:textId="77777777" w:rsidR="004236C6" w:rsidRPr="004236C6" w:rsidRDefault="004236C6" w:rsidP="004236C6">
      <w:pPr>
        <w:spacing w:before="0" w:after="0" w:line="360" w:lineRule="auto"/>
        <w:ind w:left="709" w:hanging="709"/>
        <w:jc w:val="both"/>
      </w:pPr>
      <w:r>
        <w:rPr>
          <w:rFonts w:ascii="Arial" w:eastAsia="Arial" w:hAnsi="Arial" w:cs="Arial"/>
          <w:color w:val="000000"/>
          <w:sz w:val="24"/>
          <w:szCs w:val="24"/>
        </w:rPr>
        <w:t>Sala Superior del Tribunal Electoral del Poder Judicial de la Federación, SUP-CDC-2/2017, sentencia de 7 de febrero de 2018.</w:t>
      </w:r>
    </w:p>
    <w:p w14:paraId="07D0B0EA" w14:textId="77777777" w:rsidR="004236C6" w:rsidRPr="004236C6" w:rsidRDefault="004236C6" w:rsidP="004236C6">
      <w:pPr>
        <w:spacing w:before="0" w:after="0" w:line="360" w:lineRule="auto"/>
        <w:ind w:left="709" w:hanging="709"/>
        <w:jc w:val="both"/>
      </w:pPr>
      <w:r>
        <w:rPr>
          <w:rFonts w:ascii="Arial" w:eastAsia="Arial" w:hAnsi="Arial" w:cs="Arial"/>
          <w:color w:val="000000"/>
          <w:sz w:val="24"/>
          <w:szCs w:val="24"/>
        </w:rPr>
        <w:t>Sala Superior del Tribunal Electoral del Poder Judicial de la Federación, SUP-REC-1388/2018, sentencia de 30 de septiembre de 2018.</w:t>
      </w:r>
    </w:p>
    <w:p w14:paraId="6C1FB4C8" w14:textId="77777777" w:rsidR="004236C6" w:rsidRPr="004236C6" w:rsidRDefault="004236C6" w:rsidP="004236C6">
      <w:pPr>
        <w:spacing w:before="0" w:after="0" w:line="360" w:lineRule="auto"/>
        <w:ind w:left="709" w:hanging="709"/>
        <w:jc w:val="both"/>
      </w:pPr>
      <w:r>
        <w:rPr>
          <w:rFonts w:ascii="Arial" w:eastAsia="Arial" w:hAnsi="Arial" w:cs="Arial"/>
          <w:color w:val="000000"/>
          <w:sz w:val="24"/>
          <w:szCs w:val="24"/>
        </w:rPr>
        <w:t>Voto razonado del magistrado Reyes Rodríguez Mondragón en el SUP-REC-1388/2018.</w:t>
      </w:r>
    </w:p>
    <w:p w14:paraId="17674A34" w14:textId="77777777" w:rsidR="004236C6" w:rsidRPr="004236C6" w:rsidRDefault="004236C6" w:rsidP="004236C6">
      <w:pPr>
        <w:spacing w:before="0" w:after="0" w:line="360" w:lineRule="auto"/>
        <w:ind w:left="709" w:hanging="709"/>
        <w:jc w:val="both"/>
      </w:pPr>
      <w:r>
        <w:rPr>
          <w:rFonts w:ascii="Arial" w:eastAsia="Arial" w:hAnsi="Arial" w:cs="Arial"/>
          <w:color w:val="000000"/>
          <w:sz w:val="24"/>
          <w:szCs w:val="24"/>
        </w:rPr>
        <w:t>Sala Superior del Tribunal Electoral del Poder Judicial de la Federación, SUP-JIN-194/2025 y acumulados, sentencia de 20 de agosto de 2025, magistrado encargado del engrose Felipe Alfredo Fuentes Barrera.</w:t>
      </w:r>
    </w:p>
    <w:p w14:paraId="709675F1" w14:textId="77777777" w:rsidR="004236C6" w:rsidRPr="004236C6" w:rsidRDefault="004236C6" w:rsidP="004236C6">
      <w:pPr>
        <w:spacing w:before="0" w:after="0" w:line="360" w:lineRule="auto"/>
        <w:ind w:left="709" w:hanging="709"/>
        <w:jc w:val="both"/>
      </w:pPr>
      <w:r>
        <w:rPr>
          <w:rFonts w:ascii="Arial" w:eastAsia="Arial" w:hAnsi="Arial" w:cs="Arial"/>
          <w:color w:val="000000"/>
          <w:sz w:val="24"/>
          <w:szCs w:val="24"/>
        </w:rPr>
        <w:t>Voto particular de la magistrada Janine M. Otálora Malassis en el SUP-JIN-194/2025 y acumulados.</w:t>
      </w:r>
    </w:p>
    <w:p w14:paraId="5737A293" w14:textId="77777777" w:rsidR="004236C6" w:rsidRPr="004236C6" w:rsidRDefault="004236C6" w:rsidP="004236C6">
      <w:pPr>
        <w:spacing w:before="0" w:after="0" w:line="360" w:lineRule="auto"/>
        <w:ind w:left="709" w:hanging="709"/>
        <w:jc w:val="both"/>
      </w:pPr>
      <w:r>
        <w:rPr>
          <w:rFonts w:ascii="Arial" w:eastAsia="Arial" w:hAnsi="Arial" w:cs="Arial"/>
          <w:color w:val="000000"/>
          <w:sz w:val="24"/>
          <w:szCs w:val="24"/>
        </w:rPr>
        <w:t>Voto particular del magistrado Reyes Rodríguez Mondragón en el SUP-JIN-194/2025 y acumulados.</w:t>
      </w:r>
    </w:p>
    <w:p w14:paraId="0C64BD58" w14:textId="77777777" w:rsidR="004236C6" w:rsidRPr="004236C6" w:rsidRDefault="004236C6" w:rsidP="004236C6">
      <w:pPr>
        <w:spacing w:before="0" w:after="0" w:line="360" w:lineRule="auto"/>
        <w:ind w:left="709" w:hanging="709"/>
        <w:jc w:val="both"/>
      </w:pPr>
      <w:r>
        <w:rPr>
          <w:rFonts w:ascii="Arial" w:eastAsia="Arial" w:hAnsi="Arial" w:cs="Arial"/>
          <w:color w:val="000000"/>
          <w:sz w:val="24"/>
          <w:szCs w:val="24"/>
        </w:rPr>
        <w:t>Proyecto de sentencia presentado por el magistrado Reyes Rodríguez Mondragón en el SUP-JIN-194/2025 y acumulados, reproducido en su voto particular.</w:t>
      </w:r>
    </w:p>
    <w:p w14:paraId="0FC08794" w14:textId="77777777" w:rsidR="004236C6" w:rsidRPr="004236C6" w:rsidRDefault="004236C6" w:rsidP="004236C6">
      <w:pPr>
        <w:spacing w:before="0" w:after="0" w:line="360" w:lineRule="auto"/>
        <w:ind w:left="709" w:hanging="709"/>
        <w:jc w:val="both"/>
      </w:pPr>
      <w:r>
        <w:rPr>
          <w:rFonts w:ascii="Arial" w:eastAsia="Arial" w:hAnsi="Arial" w:cs="Arial"/>
          <w:color w:val="000000"/>
          <w:sz w:val="24"/>
          <w:szCs w:val="24"/>
        </w:rPr>
        <w:t>Voto particular del ministro José Ramón Cossío Díaz en el amparo directo 78/2012, Primera Sala de la Suprema Corte de Justicia de la Nación, 21 de agosto de 2013.</w:t>
      </w:r>
    </w:p>
    <w:p w14:paraId="681DEB7D" w14:textId="77777777" w:rsidR="004236C6" w:rsidRPr="004236C6" w:rsidRDefault="004236C6" w:rsidP="004236C6">
      <w:pPr>
        <w:spacing w:before="0" w:after="0" w:line="360" w:lineRule="auto"/>
        <w:ind w:left="709" w:hanging="709"/>
        <w:jc w:val="both"/>
      </w:pPr>
      <w:r>
        <w:rPr>
          <w:rFonts w:ascii="Arial" w:eastAsia="Arial" w:hAnsi="Arial" w:cs="Arial"/>
          <w:color w:val="000000"/>
          <w:sz w:val="24"/>
          <w:szCs w:val="24"/>
        </w:rPr>
        <w:t>Sala Regional Especializada del Tribunal Electoral del Poder Judicial de la Federación, SRE-PSC-236/2024.</w:t>
      </w:r>
    </w:p>
    <w:sectPr>
      <w:headerReference w:type="even" r:id="rId7"/>
      <w:headerReference w:type="default" r:id="rId8"/>
      <w:footerReference w:type="even" r:id="rId9"/>
      <w:footerReference w:type="default" r:id="rId10"/>
      <w:headerReference w:type="first" r:id="rId11"/>
      <w:footerReference w:type="first" r:id="rId12"/>
      <w:pgSz w:w="12240" w:h="15840"/>
      <w:pgMar w:top="1417" w:right="1701" w:bottom="1417" w:left="1701" w:header="708" w:footer="708" w:gutter="0"/>
      <w:pgNumType w:fmt="decimal"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83EAF3" w14:textId="77777777" w:rsidR="00E354C7" w:rsidRDefault="00E354C7" w:rsidP="0075283F">
      <w:r>
        <w:separator/>
      </w:r>
    </w:p>
  </w:endnote>
  <w:endnote w:type="continuationSeparator" w:id="0">
    <w:p w14:paraId="46D792F2" w14:textId="77777777" w:rsidR="00E354C7" w:rsidRDefault="00E354C7" w:rsidP="007528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jc w:val="center"/>
    </w:pPr>
    <w:r>
      <w:rPr>
        <w:rFonts w:ascii="Arial" w:eastAsia="Arial" w:hAnsi="Arial" w:cs="Arial"/>
        <w:color w:val="000000"/>
        <w:sz w:val="20"/>
        <w:szCs w:val="20"/>
      </w:rPr>
      <w:fldChar w:fldCharType="begin"/>
    </w:r>
    <w:r>
      <w:rPr>
        <w:rFonts w:ascii="Arial" w:eastAsia="Arial" w:hAnsi="Arial" w:cs="Arial"/>
        <w:color w:val="000000"/>
        <w:sz w:val="20"/>
        <w:szCs w:val="20"/>
      </w:rPr>
      <w:instrText xml:space="preserve"> PAGE </w:instrText>
    </w:r>
    <w:r>
      <w:rPr>
        <w:rFonts w:ascii="Arial" w:eastAsia="Arial" w:hAnsi="Arial" w:cs="Arial"/>
        <w:color w:val="000000"/>
        <w:sz w:val="20"/>
        <w:szCs w:val="20"/>
      </w:rPr>
      <w:fldChar w:fldCharType="separate"/>
    </w:r>
    <w:r>
      <w:rPr>
        <w:rFonts w:ascii="Arial" w:eastAsia="Arial" w:hAnsi="Arial" w:cs="Arial"/>
        <w:color w:val="000000"/>
        <w:sz w:val="20"/>
        <w:szCs w:val="20"/>
      </w:rPr>
      <w:t>1</w:t>
    </w:r>
    <w:r>
      <w:rPr>
        <w:rFonts w:ascii="Arial" w:eastAsia="Arial" w:hAnsi="Arial" w:cs="Arial"/>
        <w:color w:val="000000"/>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jc w:val="center"/>
    </w:pPr>
    <w:r>
      <w:rPr>
        <w:rFonts w:ascii="Arial" w:eastAsia="Arial" w:hAnsi="Arial" w:cs="Arial"/>
        <w:color w:val="000000"/>
        <w:sz w:val="20"/>
        <w:szCs w:val="20"/>
      </w:rPr>
      <w:fldChar w:fldCharType="begin"/>
    </w:r>
    <w:r>
      <w:rPr>
        <w:rFonts w:ascii="Arial" w:eastAsia="Arial" w:hAnsi="Arial" w:cs="Arial"/>
        <w:color w:val="000000"/>
        <w:sz w:val="20"/>
        <w:szCs w:val="20"/>
      </w:rPr>
      <w:instrText xml:space="preserve"> PAGE </w:instrText>
    </w:r>
    <w:r>
      <w:rPr>
        <w:rFonts w:ascii="Arial" w:eastAsia="Arial" w:hAnsi="Arial" w:cs="Arial"/>
        <w:color w:val="000000"/>
        <w:sz w:val="20"/>
        <w:szCs w:val="20"/>
      </w:rPr>
      <w:fldChar w:fldCharType="separate"/>
    </w:r>
    <w:r>
      <w:rPr>
        <w:rFonts w:ascii="Arial" w:eastAsia="Arial" w:hAnsi="Arial" w:cs="Arial"/>
        <w:color w:val="000000"/>
        <w:sz w:val="20"/>
        <w:szCs w:val="20"/>
      </w:rPr>
      <w:t>1</w:t>
    </w:r>
    <w:r>
      <w:rPr>
        <w:rFonts w:ascii="Arial" w:eastAsia="Arial" w:hAnsi="Arial" w:cs="Arial"/>
        <w:color w:val="000000"/>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39DC4" w14:textId="77777777" w:rsidR="0075283F" w:rsidRDefault="0075283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DDBB5D" w14:textId="77777777" w:rsidR="00E354C7" w:rsidRDefault="00E354C7" w:rsidP="0075283F">
      <w:r>
        <w:separator/>
      </w:r>
    </w:p>
  </w:footnote>
  <w:footnote w:type="continuationSeparator" w:id="0">
    <w:p w14:paraId="1752D584" w14:textId="77777777" w:rsidR="00E354C7" w:rsidRDefault="00E354C7" w:rsidP="0075283F">
      <w:r>
        <w:continuationSeparator/>
      </w:r>
    </w:p>
  </w:footnote>
  <w:footnote w:id="1">
    <w:p w14:paraId="58E57577" w14:textId="77777777" w:rsidR="00816622" w:rsidRDefault="00816622" w:rsidP="0081662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Mittermaier</w:t>
      </w:r>
      <w:proofErr w:type="spellEnd"/>
      <w:r>
        <w:rPr>
          <w:rFonts w:ascii="Times New Roman" w:eastAsia="Times New Roman" w:hAnsi="Times New Roman" w:cs="Times New Roman"/>
          <w:sz w:val="20"/>
          <w:szCs w:val="20"/>
        </w:rPr>
        <w:t xml:space="preserve">, C. J. A., </w:t>
      </w:r>
      <w:r>
        <w:rPr>
          <w:rFonts w:ascii="Times New Roman" w:eastAsia="Times New Roman" w:hAnsi="Times New Roman" w:cs="Times New Roman"/>
          <w:i/>
          <w:sz w:val="20"/>
          <w:szCs w:val="20"/>
        </w:rPr>
        <w:t>Tratado de la prueba en materia criminal</w:t>
      </w:r>
      <w:r>
        <w:rPr>
          <w:rFonts w:ascii="Times New Roman" w:eastAsia="Times New Roman" w:hAnsi="Times New Roman" w:cs="Times New Roman"/>
          <w:sz w:val="20"/>
          <w:szCs w:val="20"/>
        </w:rPr>
        <w:t>, 2a. ed., Madrid, Imprenta de la Revista de Legislación, 1857, p. 358.</w:t>
      </w:r>
    </w:p>
  </w:footnote>
  <w:footnote w:id="2">
    <w:p w14:paraId="75D8414D" w14:textId="77777777" w:rsidR="00816622" w:rsidRDefault="00816622" w:rsidP="0081662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pp. 358 y 359.</w:t>
      </w:r>
    </w:p>
  </w:footnote>
  <w:footnote w:id="3">
    <w:p w14:paraId="044E1678" w14:textId="77777777" w:rsidR="00816622" w:rsidRDefault="00816622" w:rsidP="0081662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pp. 382 y 383.</w:t>
      </w:r>
    </w:p>
  </w:footnote>
  <w:footnote w:id="4">
    <w:p w14:paraId="42C0B7DC" w14:textId="77777777" w:rsidR="00816622" w:rsidRDefault="00816622" w:rsidP="0081662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360.</w:t>
      </w:r>
    </w:p>
  </w:footnote>
  <w:footnote w:id="5">
    <w:p w14:paraId="765A4A96" w14:textId="77777777" w:rsidR="00816622" w:rsidRDefault="00816622" w:rsidP="0081662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361.</w:t>
      </w:r>
    </w:p>
  </w:footnote>
  <w:footnote w:id="6">
    <w:p w14:paraId="00EC4A44" w14:textId="77777777" w:rsidR="00816622" w:rsidRDefault="00816622" w:rsidP="0081662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pp. 361 y 362.</w:t>
      </w:r>
    </w:p>
  </w:footnote>
  <w:footnote w:id="7">
    <w:p w14:paraId="03E9CA3B" w14:textId="77777777" w:rsidR="00816622" w:rsidRDefault="00816622" w:rsidP="0081662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pp. 365 y 366.</w:t>
      </w:r>
    </w:p>
  </w:footnote>
  <w:footnote w:id="8">
    <w:p w14:paraId="3AFFDD67" w14:textId="77777777" w:rsidR="00816622" w:rsidRDefault="00816622" w:rsidP="0081662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382.</w:t>
      </w:r>
    </w:p>
  </w:footnote>
  <w:footnote w:id="9">
    <w:p w14:paraId="04DD7E96" w14:textId="77777777" w:rsidR="00816622" w:rsidRDefault="00816622" w:rsidP="0081662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Carnelutti, Francesco, </w:t>
      </w:r>
      <w:r>
        <w:rPr>
          <w:rFonts w:ascii="Times New Roman" w:eastAsia="Times New Roman" w:hAnsi="Times New Roman" w:cs="Times New Roman"/>
          <w:i/>
          <w:sz w:val="20"/>
          <w:szCs w:val="20"/>
        </w:rPr>
        <w:t>La prueba civil</w:t>
      </w:r>
      <w:r>
        <w:rPr>
          <w:rFonts w:ascii="Times New Roman" w:eastAsia="Times New Roman" w:hAnsi="Times New Roman" w:cs="Times New Roman"/>
          <w:sz w:val="20"/>
          <w:szCs w:val="20"/>
        </w:rPr>
        <w:t>, trad. de Niceto Alcalá-Zamora y Castillo, Santiago de Chile, Ediciones Olejnik, 2018, p. 219.</w:t>
      </w:r>
    </w:p>
  </w:footnote>
  <w:footnote w:id="10">
    <w:p w14:paraId="404E03A1" w14:textId="77777777" w:rsidR="00816622" w:rsidRDefault="00816622" w:rsidP="0081662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127.</w:t>
      </w:r>
    </w:p>
  </w:footnote>
  <w:footnote w:id="11">
    <w:p w14:paraId="0BEE07BD" w14:textId="77777777" w:rsidR="00816622" w:rsidRDefault="00816622" w:rsidP="0081662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Benfeld, Johann, Los orígenes del concepto de sana crítica, </w:t>
      </w:r>
      <w:r>
        <w:rPr>
          <w:rFonts w:ascii="Times New Roman" w:eastAsia="Times New Roman" w:hAnsi="Times New Roman" w:cs="Times New Roman"/>
          <w:i/>
          <w:sz w:val="20"/>
          <w:szCs w:val="20"/>
        </w:rPr>
        <w:t>Revista de Estudios Histórico-Jurídicos</w:t>
      </w:r>
      <w:r>
        <w:rPr>
          <w:rFonts w:ascii="Times New Roman" w:eastAsia="Times New Roman" w:hAnsi="Times New Roman" w:cs="Times New Roman"/>
          <w:sz w:val="20"/>
          <w:szCs w:val="20"/>
        </w:rPr>
        <w:t xml:space="preserve">, Valparaíso, núm. XXXV, 2013, pp. 571</w:t>
      </w:r>
      <w:r>
        <w:rPr>
          <w:rFonts w:ascii="Times New Roman" w:eastAsia="Times New Roman" w:hAnsi="Times New Roman" w:cs="Times New Roman"/>
          <w:sz w:val="20"/>
          <w:szCs w:val="20"/>
        </w:rPr>
        <w:t xml:space="preserve">, 572 y 577</w:t>
      </w:r>
      <w:r>
        <w:rPr>
          <w:rFonts w:ascii="Times New Roman" w:eastAsia="Times New Roman" w:hAnsi="Times New Roman" w:cs="Times New Roman"/>
          <w:sz w:val="20"/>
          <w:szCs w:val="20"/>
        </w:rPr>
        <w:t xml:space="preserve">.</w:t>
      </w:r>
    </w:p>
  </w:footnote>
  <w:footnote w:id="12">
    <w:p w14:paraId="45ABA5BE" w14:textId="77777777" w:rsidR="00816622" w:rsidRDefault="00816622" w:rsidP="0081662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Devis Echandía, Hernando, </w:t>
      </w:r>
      <w:r>
        <w:rPr>
          <w:rFonts w:ascii="Times New Roman" w:eastAsia="Times New Roman" w:hAnsi="Times New Roman" w:cs="Times New Roman"/>
          <w:i/>
          <w:sz w:val="20"/>
          <w:szCs w:val="20"/>
        </w:rPr>
        <w:t>Nociones generales de derecho procesal civil</w:t>
      </w:r>
      <w:r>
        <w:rPr>
          <w:rFonts w:ascii="Times New Roman" w:eastAsia="Times New Roman" w:hAnsi="Times New Roman" w:cs="Times New Roman"/>
          <w:sz w:val="20"/>
          <w:szCs w:val="20"/>
        </w:rPr>
        <w:t>, pról. de Jaime Guasp, Madrid, Aguilar, s.f., p. 57.</w:t>
      </w:r>
    </w:p>
  </w:footnote>
  <w:footnote w:id="13">
    <w:p w14:paraId="650239D2" w14:textId="77777777" w:rsidR="00816622" w:rsidRDefault="00816622" w:rsidP="0081662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Mittermaier</w:t>
      </w:r>
      <w:proofErr w:type="spellEnd"/>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Tratado de la prueba en materia criminal</w:t>
      </w:r>
      <w:r>
        <w:rPr>
          <w:rFonts w:ascii="Times New Roman" w:eastAsia="Times New Roman" w:hAnsi="Times New Roman" w:cs="Times New Roman"/>
          <w:sz w:val="20"/>
          <w:szCs w:val="20"/>
        </w:rPr>
        <w:t>, cit., p. 360, nota 1.</w:t>
      </w:r>
    </w:p>
  </w:footnote>
  <w:footnote w:id="14">
    <w:p w14:paraId="2171184A" w14:textId="77777777" w:rsidR="00816622" w:rsidRDefault="00816622" w:rsidP="0081662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Cortés Coto, Ronald, La prueba indiciaria, </w:t>
      </w:r>
      <w:r>
        <w:rPr>
          <w:rFonts w:ascii="Times New Roman" w:eastAsia="Times New Roman" w:hAnsi="Times New Roman" w:cs="Times New Roman"/>
          <w:i/>
          <w:sz w:val="20"/>
          <w:szCs w:val="20"/>
        </w:rPr>
        <w:t>Revista Digital de la Maestría en Ciencias Penales</w:t>
      </w:r>
      <w:r>
        <w:rPr>
          <w:rFonts w:ascii="Times New Roman" w:eastAsia="Times New Roman" w:hAnsi="Times New Roman" w:cs="Times New Roman"/>
          <w:sz w:val="20"/>
          <w:szCs w:val="20"/>
        </w:rPr>
        <w:t>, San José, Universidad de Costa Rica, núm. 2, 2010, pp. 271 y 272.</w:t>
      </w:r>
    </w:p>
  </w:footnote>
  <w:footnote w:id="15">
    <w:p w14:paraId="0ABD910C" w14:textId="77777777" w:rsidR="00816622" w:rsidRDefault="00816622" w:rsidP="0081662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González Lagier, Daniel, </w:t>
      </w:r>
      <w:r>
        <w:rPr>
          <w:rFonts w:ascii="Times New Roman" w:eastAsia="Times New Roman" w:hAnsi="Times New Roman" w:cs="Times New Roman"/>
          <w:i/>
          <w:sz w:val="20"/>
          <w:szCs w:val="20"/>
        </w:rPr>
        <w:t>Quaestio facti. Ensayos sobre prueba, causalidad y acción</w:t>
      </w:r>
      <w:r>
        <w:rPr>
          <w:rFonts w:ascii="Times New Roman" w:eastAsia="Times New Roman" w:hAnsi="Times New Roman" w:cs="Times New Roman"/>
          <w:sz w:val="20"/>
          <w:szCs w:val="20"/>
        </w:rPr>
        <w:t>, Lima-Bogotá, Palestra-Temis, 2005, pp. 55-59.</w:t>
      </w:r>
    </w:p>
  </w:footnote>
  <w:footnote w:id="16">
    <w:p w14:paraId="25723BBF" w14:textId="77777777" w:rsidR="00816622" w:rsidRDefault="00816622" w:rsidP="0081662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pp. 61 y 62.</w:t>
      </w:r>
    </w:p>
  </w:footnote>
  <w:footnote w:id="17">
    <w:p w14:paraId="2A6AE5AE" w14:textId="77777777" w:rsidR="00816622" w:rsidRDefault="00816622" w:rsidP="0081662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62.</w:t>
      </w:r>
    </w:p>
  </w:footnote>
  <w:footnote w:id="18">
    <w:p w14:paraId="61FA0F23" w14:textId="77777777" w:rsidR="00816622" w:rsidRDefault="00816622" w:rsidP="0081662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87.</w:t>
      </w:r>
    </w:p>
  </w:footnote>
  <w:footnote w:id="19">
    <w:p w14:paraId="5123A421" w14:textId="77777777" w:rsidR="00816622" w:rsidRDefault="00816622" w:rsidP="0081662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Igartua Salaverría, Juan, </w:t>
      </w:r>
      <w:r>
        <w:rPr>
          <w:rFonts w:ascii="Times New Roman" w:eastAsia="Times New Roman" w:hAnsi="Times New Roman" w:cs="Times New Roman"/>
          <w:i/>
          <w:sz w:val="20"/>
          <w:szCs w:val="20"/>
        </w:rPr>
        <w:t>Indicios, duda razonable, prueba científica. Perspectivas sobre la prueba en el proceso penal</w:t>
      </w:r>
      <w:r>
        <w:rPr>
          <w:rFonts w:ascii="Times New Roman" w:eastAsia="Times New Roman" w:hAnsi="Times New Roman" w:cs="Times New Roman"/>
          <w:sz w:val="20"/>
          <w:szCs w:val="20"/>
        </w:rPr>
        <w:t>, Valencia, Tirant lo Blanch, 2021, pp. 42 y 43.</w:t>
      </w:r>
    </w:p>
  </w:footnote>
  <w:footnote w:id="20">
    <w:p w14:paraId="5F5C6DD6" w14:textId="77777777" w:rsidR="00816622" w:rsidRDefault="00816622" w:rsidP="0081662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Carnelutti, </w:t>
      </w:r>
      <w:r>
        <w:rPr>
          <w:rFonts w:ascii="Times New Roman" w:eastAsia="Times New Roman" w:hAnsi="Times New Roman" w:cs="Times New Roman"/>
          <w:i/>
          <w:sz w:val="20"/>
          <w:szCs w:val="20"/>
        </w:rPr>
        <w:t>La prueba civil</w:t>
      </w:r>
      <w:r>
        <w:rPr>
          <w:rFonts w:ascii="Times New Roman" w:eastAsia="Times New Roman" w:hAnsi="Times New Roman" w:cs="Times New Roman"/>
          <w:sz w:val="20"/>
          <w:szCs w:val="20"/>
        </w:rPr>
        <w:t>, cit., p. 220.</w:t>
      </w:r>
    </w:p>
  </w:footnote>
  <w:footnote w:id="21">
    <w:p w14:paraId="77EEA180" w14:textId="77777777" w:rsidR="00816622" w:rsidRDefault="00816622" w:rsidP="0081662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Gascón Abellán, Marina, </w:t>
      </w:r>
      <w:r>
        <w:rPr>
          <w:rFonts w:ascii="Times New Roman" w:eastAsia="Times New Roman" w:hAnsi="Times New Roman" w:cs="Times New Roman"/>
          <w:i/>
          <w:sz w:val="20"/>
          <w:szCs w:val="20"/>
        </w:rPr>
        <w:t>Los hechos en el derecho. Bases argumentales de la prueba</w:t>
      </w:r>
      <w:r>
        <w:rPr>
          <w:rFonts w:ascii="Times New Roman" w:eastAsia="Times New Roman" w:hAnsi="Times New Roman" w:cs="Times New Roman"/>
          <w:sz w:val="20"/>
          <w:szCs w:val="20"/>
        </w:rPr>
        <w:t>, 3a. ed., Madrid, Marcial Pons, 2010, p. 79.</w:t>
      </w:r>
    </w:p>
  </w:footnote>
  <w:footnote w:id="22">
    <w:p w14:paraId="18B6A7E2" w14:textId="77777777" w:rsidR="00816622" w:rsidRDefault="00816622" w:rsidP="0081662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González Lagier, </w:t>
      </w:r>
      <w:r>
        <w:rPr>
          <w:rFonts w:ascii="Times New Roman" w:eastAsia="Times New Roman" w:hAnsi="Times New Roman" w:cs="Times New Roman"/>
          <w:i/>
          <w:sz w:val="20"/>
          <w:szCs w:val="20"/>
        </w:rPr>
        <w:t>Quaestio facti</w:t>
      </w:r>
      <w:r>
        <w:rPr>
          <w:rFonts w:ascii="Times New Roman" w:eastAsia="Times New Roman" w:hAnsi="Times New Roman" w:cs="Times New Roman"/>
          <w:sz w:val="20"/>
          <w:szCs w:val="20"/>
        </w:rPr>
        <w:t>, cit., pp. 93 y 94.</w:t>
      </w:r>
    </w:p>
  </w:footnote>
  <w:footnote w:id="23">
    <w:p w14:paraId="325350A9" w14:textId="77777777" w:rsidR="00816622" w:rsidRDefault="00816622" w:rsidP="0081662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Igartua Salaverría, </w:t>
      </w:r>
      <w:r>
        <w:rPr>
          <w:rFonts w:ascii="Times New Roman" w:eastAsia="Times New Roman" w:hAnsi="Times New Roman" w:cs="Times New Roman"/>
          <w:i/>
          <w:sz w:val="20"/>
          <w:szCs w:val="20"/>
        </w:rPr>
        <w:t>Indicios, duda razonable, prueba científica</w:t>
      </w:r>
      <w:r>
        <w:rPr>
          <w:rFonts w:ascii="Times New Roman" w:eastAsia="Times New Roman" w:hAnsi="Times New Roman" w:cs="Times New Roman"/>
          <w:sz w:val="20"/>
          <w:szCs w:val="20"/>
        </w:rPr>
        <w:t>, cit., pp. 44-46.</w:t>
      </w:r>
    </w:p>
  </w:footnote>
  <w:footnote w:id="24">
    <w:p w14:paraId="414A28C7" w14:textId="77777777" w:rsidR="00816622" w:rsidRDefault="00816622" w:rsidP="0081662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Cortés Coto, La prueba indiciaria, cit., pp. 285 y 286.</w:t>
      </w:r>
    </w:p>
  </w:footnote>
  <w:footnote w:id="25">
    <w:p w14:paraId="550B3BC6" w14:textId="77777777" w:rsidR="00816622" w:rsidRDefault="00816622" w:rsidP="0081662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284.</w:t>
      </w:r>
    </w:p>
  </w:footnote>
  <w:footnote w:id="26">
    <w:p w14:paraId="2B0100D5" w14:textId="77777777" w:rsidR="00816622" w:rsidRDefault="00816622" w:rsidP="0081662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Carnelutti, </w:t>
      </w:r>
      <w:r>
        <w:rPr>
          <w:rFonts w:ascii="Times New Roman" w:eastAsia="Times New Roman" w:hAnsi="Times New Roman" w:cs="Times New Roman"/>
          <w:i/>
          <w:sz w:val="20"/>
          <w:szCs w:val="20"/>
        </w:rPr>
        <w:t>La prueba civil</w:t>
      </w:r>
      <w:r>
        <w:rPr>
          <w:rFonts w:ascii="Times New Roman" w:eastAsia="Times New Roman" w:hAnsi="Times New Roman" w:cs="Times New Roman"/>
          <w:sz w:val="20"/>
          <w:szCs w:val="20"/>
        </w:rPr>
        <w:t>, cit., p. 219.</w:t>
      </w:r>
    </w:p>
  </w:footnote>
  <w:footnote w:id="27">
    <w:p w14:paraId="6089C66A" w14:textId="77777777" w:rsidR="00816622" w:rsidRDefault="00816622" w:rsidP="0081662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Igartua Salaverría, </w:t>
      </w:r>
      <w:r>
        <w:rPr>
          <w:rFonts w:ascii="Times New Roman" w:eastAsia="Times New Roman" w:hAnsi="Times New Roman" w:cs="Times New Roman"/>
          <w:i/>
          <w:sz w:val="20"/>
          <w:szCs w:val="20"/>
        </w:rPr>
        <w:t>Indicios, duda razonable, prueba científica</w:t>
      </w:r>
      <w:r>
        <w:rPr>
          <w:rFonts w:ascii="Times New Roman" w:eastAsia="Times New Roman" w:hAnsi="Times New Roman" w:cs="Times New Roman"/>
          <w:sz w:val="20"/>
          <w:szCs w:val="20"/>
        </w:rPr>
        <w:t>, cit., p. 48, nota 77.</w:t>
      </w:r>
    </w:p>
  </w:footnote>
  <w:footnote w:id="28">
    <w:p w14:paraId="208DC4F3" w14:textId="77777777" w:rsidR="00816622" w:rsidRDefault="00816622" w:rsidP="0081662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Mittermaier</w:t>
      </w:r>
      <w:proofErr w:type="spellEnd"/>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Tratado de la prueba en materia criminal</w:t>
      </w:r>
      <w:r>
        <w:rPr>
          <w:rFonts w:ascii="Times New Roman" w:eastAsia="Times New Roman" w:hAnsi="Times New Roman" w:cs="Times New Roman"/>
          <w:sz w:val="20"/>
          <w:szCs w:val="20"/>
        </w:rPr>
        <w:t>, cit., p. 377.</w:t>
      </w:r>
    </w:p>
  </w:footnote>
  <w:footnote w:id="29">
    <w:p w14:paraId="79C95C17" w14:textId="77777777" w:rsidR="00816622" w:rsidRDefault="00816622" w:rsidP="0081662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378.</w:t>
      </w:r>
    </w:p>
  </w:footnote>
  <w:footnote w:id="30">
    <w:p w14:paraId="3CDED8F0" w14:textId="77777777" w:rsidR="00816622" w:rsidRDefault="00816622" w:rsidP="0081662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Citado por Cortés Coto, La prueba indiciaria, cit., p. 280.</w:t>
      </w:r>
    </w:p>
  </w:footnote>
  <w:footnote w:id="31">
    <w:p w14:paraId="4C354F52" w14:textId="77777777" w:rsidR="00816622" w:rsidRDefault="00816622" w:rsidP="0081662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González Lagier, </w:t>
      </w:r>
      <w:r>
        <w:rPr>
          <w:rFonts w:ascii="Times New Roman" w:eastAsia="Times New Roman" w:hAnsi="Times New Roman" w:cs="Times New Roman"/>
          <w:i/>
          <w:sz w:val="20"/>
          <w:szCs w:val="20"/>
        </w:rPr>
        <w:t>Quaestio facti</w:t>
      </w:r>
      <w:r>
        <w:rPr>
          <w:rFonts w:ascii="Times New Roman" w:eastAsia="Times New Roman" w:hAnsi="Times New Roman" w:cs="Times New Roman"/>
          <w:sz w:val="20"/>
          <w:szCs w:val="20"/>
        </w:rPr>
        <w:t>, cit., p. 82.</w:t>
      </w:r>
    </w:p>
  </w:footnote>
  <w:footnote w:id="32">
    <w:p w14:paraId="3430D85A" w14:textId="77777777" w:rsidR="00816622" w:rsidRDefault="00816622" w:rsidP="0081662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pp. 83 y 84.</w:t>
      </w:r>
    </w:p>
  </w:footnote>
  <w:footnote w:id="33">
    <w:p w14:paraId="50E8CD2F" w14:textId="77777777" w:rsidR="00816622" w:rsidRDefault="00816622" w:rsidP="0081662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Ferrer Beltrán, Jordi, </w:t>
      </w:r>
      <w:r>
        <w:rPr>
          <w:rFonts w:ascii="Times New Roman" w:eastAsia="Times New Roman" w:hAnsi="Times New Roman" w:cs="Times New Roman"/>
          <w:i/>
          <w:sz w:val="20"/>
          <w:szCs w:val="20"/>
        </w:rPr>
        <w:t>La valoración racional de la prueba</w:t>
      </w:r>
      <w:r>
        <w:rPr>
          <w:rFonts w:ascii="Times New Roman" w:eastAsia="Times New Roman" w:hAnsi="Times New Roman" w:cs="Times New Roman"/>
          <w:sz w:val="20"/>
          <w:szCs w:val="20"/>
        </w:rPr>
        <w:t>, Madrid, Marcial Pons, 2007, p. 76.</w:t>
      </w:r>
    </w:p>
  </w:footnote>
  <w:footnote w:id="34">
    <w:p w14:paraId="0E1471C6" w14:textId="77777777" w:rsidR="00816622" w:rsidRDefault="00816622" w:rsidP="0081662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Mittermaier</w:t>
      </w:r>
      <w:proofErr w:type="spellEnd"/>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Tratado de la prueba en materia criminal</w:t>
      </w:r>
      <w:r>
        <w:rPr>
          <w:rFonts w:ascii="Times New Roman" w:eastAsia="Times New Roman" w:hAnsi="Times New Roman" w:cs="Times New Roman"/>
          <w:sz w:val="20"/>
          <w:szCs w:val="20"/>
        </w:rPr>
        <w:t>, cit., pp. 365 y 366.</w:t>
      </w:r>
    </w:p>
  </w:footnote>
  <w:footnote w:id="35">
    <w:p w14:paraId="415D6969" w14:textId="77777777" w:rsidR="00816622" w:rsidRDefault="00816622" w:rsidP="0081662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Cortés Coto, La prueba indiciaria, cit., pp. 286 y 287.</w:t>
      </w:r>
    </w:p>
  </w:footnote>
  <w:footnote w:id="36">
    <w:p w14:paraId="37A1A8A1" w14:textId="77777777" w:rsidR="00816622" w:rsidRDefault="00816622" w:rsidP="0081662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González Lagier, </w:t>
      </w:r>
      <w:r>
        <w:rPr>
          <w:rFonts w:ascii="Times New Roman" w:eastAsia="Times New Roman" w:hAnsi="Times New Roman" w:cs="Times New Roman"/>
          <w:i/>
          <w:sz w:val="20"/>
          <w:szCs w:val="20"/>
        </w:rPr>
        <w:t>Quaestio facti</w:t>
      </w:r>
      <w:r>
        <w:rPr>
          <w:rFonts w:ascii="Times New Roman" w:eastAsia="Times New Roman" w:hAnsi="Times New Roman" w:cs="Times New Roman"/>
          <w:sz w:val="20"/>
          <w:szCs w:val="20"/>
        </w:rPr>
        <w:t>, cit., p. 79.</w:t>
      </w:r>
    </w:p>
  </w:footnote>
  <w:footnote w:id="37">
    <w:p w14:paraId="4FCEE6E7" w14:textId="77777777" w:rsidR="00816622" w:rsidRDefault="00816622" w:rsidP="0081662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pp. 64-71.</w:t>
      </w:r>
    </w:p>
  </w:footnote>
  <w:footnote w:id="38">
    <w:p w14:paraId="4F7D1185" w14:textId="77777777" w:rsidR="00816622" w:rsidRDefault="00816622" w:rsidP="0081662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70.</w:t>
      </w:r>
    </w:p>
  </w:footnote>
  <w:footnote w:id="39">
    <w:p w14:paraId="0C1600D9" w14:textId="77777777" w:rsidR="00816622" w:rsidRDefault="00816622" w:rsidP="0081662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pp. 80-91.</w:t>
      </w:r>
    </w:p>
  </w:footnote>
  <w:footnote w:id="40">
    <w:p w14:paraId="432B3D07" w14:textId="77777777" w:rsidR="00816622" w:rsidRDefault="00816622" w:rsidP="0081662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80.</w:t>
      </w:r>
    </w:p>
  </w:footnote>
  <w:footnote w:id="41">
    <w:p w14:paraId="6CD11839" w14:textId="77777777" w:rsidR="00816622" w:rsidRDefault="00816622" w:rsidP="0081662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pp. 92 y 93.</w:t>
      </w:r>
    </w:p>
  </w:footnote>
  <w:footnote w:id="42">
    <w:p w14:paraId="2C9B2504" w14:textId="77777777" w:rsidR="00816622" w:rsidRDefault="00816622" w:rsidP="0081662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pp. 86 y 87.</w:t>
      </w:r>
    </w:p>
  </w:footnote>
  <w:footnote w:id="43">
    <w:p w14:paraId="56E7C9EB" w14:textId="77777777" w:rsidR="00816622" w:rsidRDefault="00816622" w:rsidP="0081662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xml:space="preserve">, p. 86, nota 35</w:t>
      </w:r>
      <w:r>
        <w:rPr>
          <w:rFonts w:ascii="Times New Roman" w:eastAsia="Times New Roman" w:hAnsi="Times New Roman" w:cs="Times New Roman"/>
          <w:sz w:val="20"/>
          <w:szCs w:val="20"/>
        </w:rPr>
        <w:t xml:space="preserve">, y p. 87</w:t>
      </w:r>
      <w:r>
        <w:rPr>
          <w:rFonts w:ascii="Times New Roman" w:eastAsia="Times New Roman" w:hAnsi="Times New Roman" w:cs="Times New Roman"/>
          <w:sz w:val="20"/>
          <w:szCs w:val="20"/>
        </w:rPr>
        <w:t xml:space="preserve">.</w:t>
      </w:r>
    </w:p>
  </w:footnote>
  <w:footnote w:id="44">
    <w:p w14:paraId="153A1072" w14:textId="77777777" w:rsidR="00816622" w:rsidRDefault="00816622" w:rsidP="0081662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Igartua Salaverría, </w:t>
      </w:r>
      <w:r>
        <w:rPr>
          <w:rFonts w:ascii="Times New Roman" w:eastAsia="Times New Roman" w:hAnsi="Times New Roman" w:cs="Times New Roman"/>
          <w:i/>
          <w:sz w:val="20"/>
          <w:szCs w:val="20"/>
        </w:rPr>
        <w:t>Indicios, duda razonable, prueba científica</w:t>
      </w:r>
      <w:r>
        <w:rPr>
          <w:rFonts w:ascii="Times New Roman" w:eastAsia="Times New Roman" w:hAnsi="Times New Roman" w:cs="Times New Roman"/>
          <w:sz w:val="20"/>
          <w:szCs w:val="20"/>
        </w:rPr>
        <w:t>, cit., pp. 49 y 50.</w:t>
      </w:r>
    </w:p>
  </w:footnote>
  <w:footnote w:id="45">
    <w:p w14:paraId="6F95913F" w14:textId="77777777" w:rsidR="00816622" w:rsidRDefault="00816622" w:rsidP="0081662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xml:space="preserve">, pp. 38 y 39. Igartua remite a Haack, Susan, </w:t>
      </w:r>
      <w:proofErr w:type="spellStart"/>
      <w:r>
        <w:rPr>
          <w:rFonts w:ascii="Times New Roman" w:eastAsia="Times New Roman" w:hAnsi="Times New Roman" w:cs="Times New Roman"/>
          <w:i/>
          <w:sz w:val="20"/>
          <w:szCs w:val="20"/>
        </w:rPr>
        <w:t>Legalizzare</w:t>
      </w:r>
      <w:proofErr w:type="spellEnd"/>
      <w:r>
        <w:rPr>
          <w:rFonts w:ascii="Times New Roman" w:eastAsia="Times New Roman" w:hAnsi="Times New Roman" w:cs="Times New Roman"/>
          <w:i/>
          <w:sz w:val="20"/>
          <w:szCs w:val="20"/>
        </w:rPr>
        <w:t xml:space="preserve"> </w:t>
      </w:r>
      <w:proofErr w:type="spellStart"/>
      <w:r>
        <w:rPr>
          <w:rFonts w:ascii="Times New Roman" w:eastAsia="Times New Roman" w:hAnsi="Times New Roman" w:cs="Times New Roman"/>
          <w:i/>
          <w:sz w:val="20"/>
          <w:szCs w:val="20"/>
        </w:rPr>
        <w:t>l’epistemologia</w:t>
      </w:r>
      <w:proofErr w:type="spellEnd"/>
      <w:r>
        <w:rPr>
          <w:rFonts w:ascii="Times New Roman" w:eastAsia="Times New Roman" w:hAnsi="Times New Roman" w:cs="Times New Roman"/>
          <w:i/>
          <w:sz w:val="20"/>
          <w:szCs w:val="20"/>
        </w:rPr>
        <w:t xml:space="preserve">. Prova, </w:t>
      </w:r>
      <w:proofErr w:type="spellStart"/>
      <w:r>
        <w:rPr>
          <w:rFonts w:ascii="Times New Roman" w:eastAsia="Times New Roman" w:hAnsi="Times New Roman" w:cs="Times New Roman"/>
          <w:i/>
          <w:sz w:val="20"/>
          <w:szCs w:val="20"/>
        </w:rPr>
        <w:t>probabilità</w:t>
      </w:r>
      <w:proofErr w:type="spellEnd"/>
      <w:r>
        <w:rPr>
          <w:rFonts w:ascii="Times New Roman" w:eastAsia="Times New Roman" w:hAnsi="Times New Roman" w:cs="Times New Roman"/>
          <w:i/>
          <w:sz w:val="20"/>
          <w:szCs w:val="20"/>
        </w:rPr>
        <w:t xml:space="preserve"> e causa nel </w:t>
      </w:r>
      <w:proofErr w:type="spellStart"/>
      <w:r>
        <w:rPr>
          <w:rFonts w:ascii="Times New Roman" w:eastAsia="Times New Roman" w:hAnsi="Times New Roman" w:cs="Times New Roman"/>
          <w:i/>
          <w:sz w:val="20"/>
          <w:szCs w:val="20"/>
        </w:rPr>
        <w:t>diritto</w:t>
      </w:r>
      <w:proofErr w:type="spellEnd"/>
      <w:r>
        <w:rPr>
          <w:rFonts w:ascii="Times New Roman" w:eastAsia="Times New Roman" w:hAnsi="Times New Roman" w:cs="Times New Roman"/>
          <w:sz w:val="20"/>
          <w:szCs w:val="20"/>
        </w:rPr>
        <w:t>, Milán, EGEA, 2015, pp. 19-21.</w:t>
      </w:r>
    </w:p>
  </w:footnote>
  <w:footnote w:id="46">
    <w:p w14:paraId="57F201B1" w14:textId="77777777" w:rsidR="00816622" w:rsidRDefault="00816622" w:rsidP="0081662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Igartua Salaverría, </w:t>
      </w:r>
      <w:r>
        <w:rPr>
          <w:rFonts w:ascii="Times New Roman" w:eastAsia="Times New Roman" w:hAnsi="Times New Roman" w:cs="Times New Roman"/>
          <w:i/>
          <w:sz w:val="20"/>
          <w:szCs w:val="20"/>
        </w:rPr>
        <w:t>Indicios, duda razonable, prueba científica</w:t>
      </w:r>
      <w:r>
        <w:rPr>
          <w:rFonts w:ascii="Times New Roman" w:eastAsia="Times New Roman" w:hAnsi="Times New Roman" w:cs="Times New Roman"/>
          <w:sz w:val="20"/>
          <w:szCs w:val="20"/>
        </w:rPr>
        <w:t>, cit., p. 51, nota 85.</w:t>
      </w:r>
    </w:p>
  </w:footnote>
  <w:footnote w:id="47">
    <w:p w14:paraId="7A37BB0A" w14:textId="77777777" w:rsidR="00816622" w:rsidRDefault="00816622" w:rsidP="0081662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Mittermaier</w:t>
      </w:r>
      <w:proofErr w:type="spellEnd"/>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Tratado de la prueba en materia criminal</w:t>
      </w:r>
      <w:r>
        <w:rPr>
          <w:rFonts w:ascii="Times New Roman" w:eastAsia="Times New Roman" w:hAnsi="Times New Roman" w:cs="Times New Roman"/>
          <w:sz w:val="20"/>
          <w:szCs w:val="20"/>
        </w:rPr>
        <w:t>, cit., p. 383.</w:t>
      </w:r>
    </w:p>
  </w:footnote>
  <w:footnote w:id="48">
    <w:p w14:paraId="470F635F" w14:textId="77777777" w:rsidR="00816622" w:rsidRDefault="00816622" w:rsidP="0081662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Mittermaier</w:t>
      </w:r>
      <w:proofErr w:type="spellEnd"/>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Tratado de la prueba en materia criminal</w:t>
      </w:r>
      <w:r>
        <w:rPr>
          <w:rFonts w:ascii="Times New Roman" w:eastAsia="Times New Roman" w:hAnsi="Times New Roman" w:cs="Times New Roman"/>
          <w:sz w:val="20"/>
          <w:szCs w:val="20"/>
        </w:rPr>
        <w:t>, cit., p. 324, nota 4.</w:t>
      </w:r>
    </w:p>
  </w:footnote>
  <w:footnote w:id="49">
    <w:p w14:paraId="34640D5A" w14:textId="77777777" w:rsidR="00816622" w:rsidRDefault="00816622" w:rsidP="0081662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395.</w:t>
      </w:r>
    </w:p>
  </w:footnote>
  <w:footnote w:id="50">
    <w:p w14:paraId="7D61075D" w14:textId="77777777" w:rsidR="00816622" w:rsidRDefault="00816622" w:rsidP="0081662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Ley General del Sistema de Medios de Impugnación en Materia Electoral, artículo 16, párrafos 1 a 3, texto consultado con última reforma publicada en el </w:t>
      </w:r>
      <w:r>
        <w:rPr>
          <w:rFonts w:ascii="Times New Roman" w:eastAsia="Times New Roman" w:hAnsi="Times New Roman" w:cs="Times New Roman"/>
          <w:i/>
          <w:sz w:val="20"/>
          <w:szCs w:val="20"/>
        </w:rPr>
        <w:t>Diario Oficial de la Federación</w:t>
      </w:r>
      <w:r>
        <w:rPr>
          <w:rFonts w:ascii="Times New Roman" w:eastAsia="Times New Roman" w:hAnsi="Times New Roman" w:cs="Times New Roman"/>
          <w:sz w:val="20"/>
          <w:szCs w:val="20"/>
        </w:rPr>
        <w:t xml:space="preserve"> el 14 de noviembre de 2025.</w:t>
      </w:r>
    </w:p>
  </w:footnote>
  <w:footnote w:id="51">
    <w:p w14:paraId="0E647A8B" w14:textId="77777777" w:rsidR="00816622" w:rsidRDefault="00816622" w:rsidP="0081662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Tesis 1a. CCLXXXIII/2013 (10a.), </w:t>
      </w:r>
      <w:r>
        <w:rPr>
          <w:rFonts w:ascii="Times New Roman" w:eastAsia="Times New Roman" w:hAnsi="Times New Roman" w:cs="Times New Roman"/>
          <w:i/>
          <w:sz w:val="20"/>
          <w:szCs w:val="20"/>
        </w:rPr>
        <w:t>Semanario Judicial de la Federación y su Gaceta</w:t>
      </w:r>
      <w:r>
        <w:rPr>
          <w:rFonts w:ascii="Times New Roman" w:eastAsia="Times New Roman" w:hAnsi="Times New Roman" w:cs="Times New Roman"/>
          <w:sz w:val="20"/>
          <w:szCs w:val="20"/>
        </w:rPr>
        <w:t>, Décima Época, libro XXV, octubre de 2013, t. 2, p. 1058, registro digital 2004757.</w:t>
      </w:r>
    </w:p>
  </w:footnote>
  <w:footnote w:id="52">
    <w:p w14:paraId="3FBDCE6F" w14:textId="77777777" w:rsidR="00816622" w:rsidRDefault="00816622" w:rsidP="0081662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Cossío Díaz, José Ramón, voto particular en el amparo directo 78/2012, Primera Sala de la Suprema Corte de Justicia de la Nación, 21 de agosto de 2013.</w:t>
      </w:r>
    </w:p>
  </w:footnote>
  <w:footnote w:id="53">
    <w:p w14:paraId="6FA54B0B" w14:textId="77777777" w:rsidR="00816622" w:rsidRDefault="00816622" w:rsidP="0081662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Tesis II.1o.P.1 P (11a.), </w:t>
      </w:r>
      <w:r>
        <w:rPr>
          <w:rFonts w:ascii="Times New Roman" w:eastAsia="Times New Roman" w:hAnsi="Times New Roman" w:cs="Times New Roman"/>
          <w:i/>
          <w:sz w:val="20"/>
          <w:szCs w:val="20"/>
        </w:rPr>
        <w:t>Gaceta del Semanario Judicial de la Federación</w:t>
      </w:r>
      <w:r>
        <w:rPr>
          <w:rFonts w:ascii="Times New Roman" w:eastAsia="Times New Roman" w:hAnsi="Times New Roman" w:cs="Times New Roman"/>
          <w:sz w:val="20"/>
          <w:szCs w:val="20"/>
        </w:rPr>
        <w:t>, Undécima Época, libro 14, junio de 2022, t. VII, p. 6278, registro digital 2024878.</w:t>
      </w:r>
    </w:p>
  </w:footnote>
  <w:footnote w:id="54">
    <w:p w14:paraId="333CD337" w14:textId="77777777" w:rsidR="00816622" w:rsidRDefault="00816622" w:rsidP="0081662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Sala Superior del Tribunal Electoral del Poder Judicial de la Federación, SUP-JRC-487/2000 y acumulado SUP-JRC-489/2000, sentencia de 29 de diciembre de 2000, considerando de valoración probatoria, fragmento consultado correspondiente a las pp. 470-510 del expediente digitalizado.</w:t>
      </w:r>
    </w:p>
  </w:footnote>
  <w:footnote w:id="55">
    <w:p w14:paraId="3F7FC650" w14:textId="77777777" w:rsidR="00816622" w:rsidRDefault="00816622" w:rsidP="0081662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Jurisprudencia 38/2002, NOTAS PERIODÍSTICAS. ELEMENTOS PARA DETERMINAR SU FUERZA INDICIARIA, </w:t>
      </w:r>
      <w:r>
        <w:rPr>
          <w:rFonts w:ascii="Times New Roman" w:eastAsia="Times New Roman" w:hAnsi="Times New Roman" w:cs="Times New Roman"/>
          <w:i/>
          <w:sz w:val="20"/>
          <w:szCs w:val="20"/>
        </w:rPr>
        <w:t>Justicia Electoral. Revista del Tribunal Electoral del Poder Judicial de la Federación</w:t>
      </w:r>
      <w:r>
        <w:rPr>
          <w:rFonts w:ascii="Times New Roman" w:eastAsia="Times New Roman" w:hAnsi="Times New Roman" w:cs="Times New Roman"/>
          <w:sz w:val="20"/>
          <w:szCs w:val="20"/>
        </w:rPr>
        <w:t>, suplemento 6, 2003, p. 44. Entre sus precedentes figura el SUP-JRC-349/2001.</w:t>
      </w:r>
    </w:p>
  </w:footnote>
  <w:footnote w:id="56">
    <w:p w14:paraId="23E7C308" w14:textId="77777777" w:rsidR="00816622" w:rsidRDefault="00816622" w:rsidP="0081662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Jurisprudencia 4/2014, PRUEBAS TÉCNICAS. SON INSUFICIENTES, POR SÍ SOLAS, PARA ACREDITAR DE MANERA FEHACIENTE LOS HECHOS QUE CONTIENEN, </w:t>
      </w:r>
      <w:r>
        <w:rPr>
          <w:rFonts w:ascii="Times New Roman" w:eastAsia="Times New Roman" w:hAnsi="Times New Roman" w:cs="Times New Roman"/>
          <w:i/>
          <w:sz w:val="20"/>
          <w:szCs w:val="20"/>
        </w:rPr>
        <w:t>Gaceta de Jurisprudencia y Tesis en materia electoral</w:t>
      </w:r>
      <w:r>
        <w:rPr>
          <w:rFonts w:ascii="Times New Roman" w:eastAsia="Times New Roman" w:hAnsi="Times New Roman" w:cs="Times New Roman"/>
          <w:sz w:val="20"/>
          <w:szCs w:val="20"/>
        </w:rPr>
        <w:t>, Tribunal Electoral del Poder Judicial de la Federación, año 7, núm. 14, 2014, pp. 23 y 24.</w:t>
      </w:r>
    </w:p>
  </w:footnote>
  <w:footnote w:id="57">
    <w:p w14:paraId="0D31C6D4" w14:textId="77777777" w:rsidR="00816622" w:rsidRDefault="00816622" w:rsidP="0081662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Tesis XXXI/2004, NULIDAD DE ELECCIÓN. FACTORES CUALITATIVO Y CUANTITATIVO DEL CARÁCTER DETERMINANTE DE LA VIOLACIÓN O IRREGULARIDAD, </w:t>
      </w:r>
      <w:r>
        <w:rPr>
          <w:rFonts w:ascii="Times New Roman" w:eastAsia="Times New Roman" w:hAnsi="Times New Roman" w:cs="Times New Roman"/>
          <w:i/>
          <w:sz w:val="20"/>
          <w:szCs w:val="20"/>
        </w:rPr>
        <w:t>Jurisprudencia y Tesis Relevantes 1997-2005. Compilación Oficial</w:t>
      </w:r>
      <w:r>
        <w:rPr>
          <w:rFonts w:ascii="Times New Roman" w:eastAsia="Times New Roman" w:hAnsi="Times New Roman" w:cs="Times New Roman"/>
          <w:sz w:val="20"/>
          <w:szCs w:val="20"/>
        </w:rPr>
        <w:t>, Tribunal Electoral del Poder Judicial de la Federación, pp. 725 y 726.</w:t>
      </w:r>
    </w:p>
  </w:footnote>
  <w:footnote w:id="58">
    <w:p w14:paraId="49A559FA" w14:textId="77777777" w:rsidR="00816622" w:rsidRDefault="00816622" w:rsidP="0081662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Jurisprudencia 9/98, PRINCIPIO DE CONSERVACIÓN DE LOS ACTOS PÚBLICOS VÁLIDAMENTE CELEBRADOS. SU APLICACIÓN EN LA DETERMINACIÓN DE LA NULIDAD DE CIERTA VOTACIÓN, CÓMPUTO O ELECCIÓN, </w:t>
      </w:r>
      <w:r>
        <w:rPr>
          <w:rFonts w:ascii="Times New Roman" w:eastAsia="Times New Roman" w:hAnsi="Times New Roman" w:cs="Times New Roman"/>
          <w:i/>
          <w:sz w:val="20"/>
          <w:szCs w:val="20"/>
        </w:rPr>
        <w:t>Justicia Electoral. Revista del Tribunal Electoral del Poder Judicial de la Federación</w:t>
      </w:r>
      <w:r>
        <w:rPr>
          <w:rFonts w:ascii="Times New Roman" w:eastAsia="Times New Roman" w:hAnsi="Times New Roman" w:cs="Times New Roman"/>
          <w:sz w:val="20"/>
          <w:szCs w:val="20"/>
        </w:rPr>
        <w:t>, suplemento 2, 1998, pp. 19 y 20.</w:t>
      </w:r>
    </w:p>
  </w:footnote>
  <w:footnote w:id="59">
    <w:p w14:paraId="6779B70A" w14:textId="77777777" w:rsidR="00816622" w:rsidRDefault="00816622" w:rsidP="0081662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Jurisprudencia 44/2024, NULIDAD DE LA ELECCIÓN. ELEMENTOS O CONDICIONES QUE SE DEBEN ACREDITAR CUANDO SE SOLICITA POR VIOLACIÓN A PRINCIPIOS O PRECEPTOS CONSTITUCIONALES, </w:t>
      </w:r>
      <w:r>
        <w:rPr>
          <w:rFonts w:ascii="Times New Roman" w:eastAsia="Times New Roman" w:hAnsi="Times New Roman" w:cs="Times New Roman"/>
          <w:i/>
          <w:sz w:val="20"/>
          <w:szCs w:val="20"/>
        </w:rPr>
        <w:t>Gaceta Jurisprudencia y Tesis en materia electoral</w:t>
      </w:r>
      <w:r>
        <w:rPr>
          <w:rFonts w:ascii="Times New Roman" w:eastAsia="Times New Roman" w:hAnsi="Times New Roman" w:cs="Times New Roman"/>
          <w:sz w:val="20"/>
          <w:szCs w:val="20"/>
        </w:rPr>
        <w:t>, Tribunal Electoral del Poder Judicial de la Federación, año 17, núm. 29, 2024, pp. 149-151.</w:t>
      </w:r>
    </w:p>
  </w:footnote>
  <w:footnote w:id="60">
    <w:p w14:paraId="436FF810" w14:textId="77777777" w:rsidR="00816622" w:rsidRDefault="00816622" w:rsidP="0081662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Sala Superior del Tribunal Electoral del Poder Judicial de la Federación, SUP-JIN-194/2025 y acumulados, sentencia de 20 de agosto de 2025, magistrado encargado del engrose Felipe Alfredo Fuentes Barrera, párrafos 50 a 60, pp. </w:t>
      </w:r>
      <w:r>
        <w:rPr>
          <w:rFonts w:ascii="Times New Roman" w:eastAsia="Times New Roman" w:hAnsi="Times New Roman" w:cs="Times New Roman"/>
          <w:sz w:val="20"/>
          <w:szCs w:val="20"/>
        </w:rPr>
        <w:t xml:space="preserve">11-13</w:t>
      </w:r>
      <w:r>
        <w:rPr>
          <w:rFonts w:ascii="Times New Roman" w:eastAsia="Times New Roman" w:hAnsi="Times New Roman" w:cs="Times New Roman"/>
          <w:sz w:val="20"/>
          <w:szCs w:val="20"/>
        </w:rPr>
        <w:t xml:space="preserve">.</w:t>
      </w:r>
    </w:p>
  </w:footnote>
  <w:footnote w:id="61">
    <w:p w14:paraId="398C5A33" w14:textId="77777777" w:rsidR="00816622" w:rsidRDefault="00816622" w:rsidP="0081662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párrafos 90 a 92.</w:t>
      </w:r>
    </w:p>
  </w:footnote>
  <w:footnote w:id="62">
    <w:p w14:paraId="586D2EF1" w14:textId="77777777" w:rsidR="00816622" w:rsidRDefault="00816622" w:rsidP="0081662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Igartua Salaverría, </w:t>
      </w:r>
      <w:r>
        <w:rPr>
          <w:rFonts w:ascii="Times New Roman" w:eastAsia="Times New Roman" w:hAnsi="Times New Roman" w:cs="Times New Roman"/>
          <w:i/>
          <w:sz w:val="20"/>
          <w:szCs w:val="20"/>
        </w:rPr>
        <w:t>Indicios, duda razonable, prueba científica</w:t>
      </w:r>
      <w:r>
        <w:rPr>
          <w:rFonts w:ascii="Times New Roman" w:eastAsia="Times New Roman" w:hAnsi="Times New Roman" w:cs="Times New Roman"/>
          <w:sz w:val="20"/>
          <w:szCs w:val="20"/>
        </w:rPr>
        <w:t>, cit., p. 37.</w:t>
      </w:r>
    </w:p>
  </w:footnote>
  <w:footnote w:id="63">
    <w:p w14:paraId="6FAEBA46" w14:textId="77777777" w:rsidR="00816622" w:rsidRDefault="00816622" w:rsidP="0081662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38.</w:t>
      </w:r>
    </w:p>
  </w:footnote>
  <w:footnote w:id="64">
    <w:p w14:paraId="1D2D10C2" w14:textId="77777777" w:rsidR="00816622" w:rsidRDefault="00816622" w:rsidP="0081662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Mittermaier</w:t>
      </w:r>
      <w:proofErr w:type="spellEnd"/>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Tratado de la prueba en materia criminal</w:t>
      </w:r>
      <w:r>
        <w:rPr>
          <w:rFonts w:ascii="Times New Roman" w:eastAsia="Times New Roman" w:hAnsi="Times New Roman" w:cs="Times New Roman"/>
          <w:sz w:val="20"/>
          <w:szCs w:val="20"/>
        </w:rPr>
        <w:t>, cit., p. 378.</w:t>
      </w:r>
    </w:p>
  </w:footnote>
  <w:footnote w:id="65">
    <w:p w14:paraId="64E8A9BB" w14:textId="77777777" w:rsidR="00816622" w:rsidRDefault="00816622" w:rsidP="0081662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Ferrer Beltrán, </w:t>
      </w:r>
      <w:r>
        <w:rPr>
          <w:rFonts w:ascii="Times New Roman" w:eastAsia="Times New Roman" w:hAnsi="Times New Roman" w:cs="Times New Roman"/>
          <w:i/>
          <w:sz w:val="20"/>
          <w:szCs w:val="20"/>
        </w:rPr>
        <w:t>La valoración racional de la prueba</w:t>
      </w:r>
      <w:r>
        <w:rPr>
          <w:rFonts w:ascii="Times New Roman" w:eastAsia="Times New Roman" w:hAnsi="Times New Roman" w:cs="Times New Roman"/>
          <w:sz w:val="20"/>
          <w:szCs w:val="20"/>
        </w:rPr>
        <w:t>, cit., pp. 75-77.</w:t>
      </w:r>
    </w:p>
  </w:footnote>
  <w:footnote w:id="66">
    <w:p w14:paraId="4CC4612C" w14:textId="77777777" w:rsidR="00816622" w:rsidRDefault="00816622" w:rsidP="0081662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González Lagier, </w:t>
      </w:r>
      <w:r>
        <w:rPr>
          <w:rFonts w:ascii="Times New Roman" w:eastAsia="Times New Roman" w:hAnsi="Times New Roman" w:cs="Times New Roman"/>
          <w:i/>
          <w:sz w:val="20"/>
          <w:szCs w:val="20"/>
        </w:rPr>
        <w:t>Quaestio facti</w:t>
      </w:r>
      <w:r>
        <w:rPr>
          <w:rFonts w:ascii="Times New Roman" w:eastAsia="Times New Roman" w:hAnsi="Times New Roman" w:cs="Times New Roman"/>
          <w:sz w:val="20"/>
          <w:szCs w:val="20"/>
        </w:rPr>
        <w:t>, cit., pp. 86-88.</w:t>
      </w:r>
    </w:p>
  </w:footnote>
  <w:footnote w:id="67">
    <w:p w14:paraId="24D0A097" w14:textId="77777777" w:rsidR="00816622" w:rsidRDefault="00816622" w:rsidP="0081662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Tesis II.1o.P.1 P (11a.), cit.</w:t>
      </w:r>
    </w:p>
  </w:footnote>
  <w:footnote w:id="68">
    <w:p w14:paraId="72AD7EE5" w14:textId="77777777" w:rsidR="00816622" w:rsidRDefault="00816622" w:rsidP="0081662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González Lagier, </w:t>
      </w:r>
      <w:r>
        <w:rPr>
          <w:rFonts w:ascii="Times New Roman" w:eastAsia="Times New Roman" w:hAnsi="Times New Roman" w:cs="Times New Roman"/>
          <w:i/>
          <w:sz w:val="20"/>
          <w:szCs w:val="20"/>
        </w:rPr>
        <w:t>Quaestio facti</w:t>
      </w:r>
      <w:r>
        <w:rPr>
          <w:rFonts w:ascii="Times New Roman" w:eastAsia="Times New Roman" w:hAnsi="Times New Roman" w:cs="Times New Roman"/>
          <w:sz w:val="20"/>
          <w:szCs w:val="20"/>
        </w:rPr>
        <w:t>, cit., p. 94, nota 44.</w:t>
      </w:r>
    </w:p>
  </w:footnote>
  <w:footnote w:id="69">
    <w:p w14:paraId="04EA0052" w14:textId="77777777" w:rsidR="00816622" w:rsidRDefault="00816622" w:rsidP="0081662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Mittermaier</w:t>
      </w:r>
      <w:proofErr w:type="spellEnd"/>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Tratado de la prueba en materia criminal</w:t>
      </w:r>
      <w:r>
        <w:rPr>
          <w:rFonts w:ascii="Times New Roman" w:eastAsia="Times New Roman" w:hAnsi="Times New Roman" w:cs="Times New Roman"/>
          <w:sz w:val="20"/>
          <w:szCs w:val="20"/>
        </w:rPr>
        <w:t>, cit., p. 377.</w:t>
      </w:r>
    </w:p>
  </w:footnote>
  <w:footnote w:id="70">
    <w:p w14:paraId="201AF746" w14:textId="77777777" w:rsidR="00816622" w:rsidRDefault="00816622" w:rsidP="0081662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396.</w:t>
      </w:r>
    </w:p>
  </w:footnote>
  <w:footnote w:id="71">
    <w:p w14:paraId="458CF5B9" w14:textId="77777777" w:rsidR="00816622" w:rsidRDefault="00816622" w:rsidP="0081662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Igartua Salaverría, </w:t>
      </w:r>
      <w:r>
        <w:rPr>
          <w:rFonts w:ascii="Times New Roman" w:eastAsia="Times New Roman" w:hAnsi="Times New Roman" w:cs="Times New Roman"/>
          <w:i/>
          <w:sz w:val="20"/>
          <w:szCs w:val="20"/>
        </w:rPr>
        <w:t>Indicios, duda razonable, prueba científica</w:t>
      </w:r>
      <w:r>
        <w:rPr>
          <w:rFonts w:ascii="Times New Roman" w:eastAsia="Times New Roman" w:hAnsi="Times New Roman" w:cs="Times New Roman"/>
          <w:sz w:val="20"/>
          <w:szCs w:val="20"/>
        </w:rPr>
        <w:t>, cit., p. 39.</w:t>
      </w:r>
    </w:p>
  </w:footnote>
  <w:footnote w:id="72">
    <w:p w14:paraId="4BBB8403" w14:textId="77777777" w:rsidR="00816622" w:rsidRDefault="00816622" w:rsidP="0081662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Ferrer Beltrán, </w:t>
      </w:r>
      <w:r>
        <w:rPr>
          <w:rFonts w:ascii="Times New Roman" w:eastAsia="Times New Roman" w:hAnsi="Times New Roman" w:cs="Times New Roman"/>
          <w:i/>
          <w:sz w:val="20"/>
          <w:szCs w:val="20"/>
        </w:rPr>
        <w:t>La valoración racional de la prueba</w:t>
      </w:r>
      <w:r>
        <w:rPr>
          <w:rFonts w:ascii="Times New Roman" w:eastAsia="Times New Roman" w:hAnsi="Times New Roman" w:cs="Times New Roman"/>
          <w:sz w:val="20"/>
          <w:szCs w:val="20"/>
        </w:rPr>
        <w:t>, cit., pp. 41-49.</w:t>
      </w:r>
    </w:p>
  </w:footnote>
  <w:footnote w:id="73">
    <w:p w14:paraId="73C43DB4" w14:textId="77777777" w:rsidR="00816622" w:rsidRDefault="00816622" w:rsidP="0081662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48.</w:t>
      </w:r>
    </w:p>
  </w:footnote>
  <w:footnote w:id="74">
    <w:p w14:paraId="4A8021B2" w14:textId="77777777" w:rsidR="00816622" w:rsidRDefault="00816622" w:rsidP="0081662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pp. 47 y 48.</w:t>
      </w:r>
    </w:p>
  </w:footnote>
  <w:footnote w:id="75">
    <w:p w14:paraId="30997485" w14:textId="77777777" w:rsidR="00816622" w:rsidRDefault="00816622" w:rsidP="0081662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Igartua Salaverría, </w:t>
      </w:r>
      <w:r>
        <w:rPr>
          <w:rFonts w:ascii="Times New Roman" w:eastAsia="Times New Roman" w:hAnsi="Times New Roman" w:cs="Times New Roman"/>
          <w:i/>
          <w:sz w:val="20"/>
          <w:szCs w:val="20"/>
        </w:rPr>
        <w:t>Indicios, duda razonable, prueba científica</w:t>
      </w:r>
      <w:r>
        <w:rPr>
          <w:rFonts w:ascii="Times New Roman" w:eastAsia="Times New Roman" w:hAnsi="Times New Roman" w:cs="Times New Roman"/>
          <w:sz w:val="20"/>
          <w:szCs w:val="20"/>
        </w:rPr>
        <w:t>, cit., p. 51.</w:t>
      </w:r>
    </w:p>
  </w:footnote>
  <w:footnote w:id="76">
    <w:p w14:paraId="22113A2E" w14:textId="77777777" w:rsidR="00657C4E" w:rsidRDefault="00657C4E" w:rsidP="00657C4E">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Ferrer Beltrán, Jordi, </w:t>
      </w:r>
      <w:r>
        <w:rPr>
          <w:rFonts w:ascii="Times New Roman" w:eastAsia="Times New Roman" w:hAnsi="Times New Roman" w:cs="Times New Roman"/>
          <w:i/>
          <w:sz w:val="20"/>
          <w:szCs w:val="20"/>
        </w:rPr>
        <w:t>Prueba sin convicción. Estándares de prueba y debido proceso</w:t>
      </w:r>
      <w:r>
        <w:rPr>
          <w:rFonts w:ascii="Times New Roman" w:eastAsia="Times New Roman" w:hAnsi="Times New Roman" w:cs="Times New Roman"/>
          <w:sz w:val="20"/>
          <w:szCs w:val="20"/>
        </w:rPr>
        <w:t>, Madrid, Marcial Pons, 2021, p. 18.</w:t>
      </w:r>
    </w:p>
  </w:footnote>
  <w:footnote w:id="77">
    <w:p w14:paraId="09F1C038" w14:textId="77777777" w:rsidR="00657C4E" w:rsidRDefault="00657C4E" w:rsidP="00657C4E">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19.</w:t>
      </w:r>
    </w:p>
  </w:footnote>
  <w:footnote w:id="78">
    <w:p w14:paraId="1A67DF17" w14:textId="77777777" w:rsidR="00657C4E" w:rsidRDefault="00657C4E" w:rsidP="00657C4E">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Ley General del Sistema de Medios de Impugnación en Materia Electoral, artículo 16, párrafos 1 a 3, texto consultado con última reforma publicada en el </w:t>
      </w:r>
      <w:r>
        <w:rPr>
          <w:rFonts w:ascii="Times New Roman" w:eastAsia="Times New Roman" w:hAnsi="Times New Roman" w:cs="Times New Roman"/>
          <w:i/>
          <w:sz w:val="20"/>
          <w:szCs w:val="20"/>
        </w:rPr>
        <w:t>Diario Oficial de la Federación</w:t>
      </w:r>
      <w:r>
        <w:rPr>
          <w:rFonts w:ascii="Times New Roman" w:eastAsia="Times New Roman" w:hAnsi="Times New Roman" w:cs="Times New Roman"/>
          <w:sz w:val="20"/>
          <w:szCs w:val="20"/>
        </w:rPr>
        <w:t xml:space="preserve"> el 14 de noviembre de 2025.</w:t>
      </w:r>
    </w:p>
  </w:footnote>
  <w:footnote w:id="79">
    <w:p w14:paraId="1DE6386B" w14:textId="77777777" w:rsidR="00657C4E" w:rsidRDefault="00657C4E" w:rsidP="00657C4E">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Nieva-</w:t>
      </w:r>
      <w:proofErr w:type="spellStart"/>
      <w:r>
        <w:rPr>
          <w:rFonts w:ascii="Times New Roman" w:eastAsia="Times New Roman" w:hAnsi="Times New Roman" w:cs="Times New Roman"/>
          <w:sz w:val="20"/>
          <w:szCs w:val="20"/>
        </w:rPr>
        <w:t>Fenoll</w:t>
      </w:r>
      <w:proofErr w:type="spellEnd"/>
      <w:r>
        <w:rPr>
          <w:rFonts w:ascii="Times New Roman" w:eastAsia="Times New Roman" w:hAnsi="Times New Roman" w:cs="Times New Roman"/>
          <w:sz w:val="20"/>
          <w:szCs w:val="20"/>
        </w:rPr>
        <w:t xml:space="preserve">, Jordi, Carga de la prueba y estándares de prueba. Dos reminiscencias del pasado, </w:t>
      </w:r>
      <w:r>
        <w:rPr>
          <w:rFonts w:ascii="Times New Roman" w:eastAsia="Times New Roman" w:hAnsi="Times New Roman" w:cs="Times New Roman"/>
          <w:i/>
          <w:sz w:val="20"/>
          <w:szCs w:val="20"/>
        </w:rPr>
        <w:t>Estudios de Derecho</w:t>
      </w:r>
      <w:r>
        <w:rPr>
          <w:rFonts w:ascii="Times New Roman" w:eastAsia="Times New Roman" w:hAnsi="Times New Roman" w:cs="Times New Roman"/>
          <w:sz w:val="20"/>
          <w:szCs w:val="20"/>
        </w:rPr>
        <w:t>, Medellín, vol. 77, núm. 170, 2020, p. 130.</w:t>
      </w:r>
    </w:p>
  </w:footnote>
  <w:footnote w:id="80">
    <w:p w14:paraId="240F2A27" w14:textId="77777777" w:rsidR="00657C4E" w:rsidRDefault="00657C4E" w:rsidP="00657C4E">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Gascón Abellán, Marina, </w:t>
      </w:r>
      <w:r>
        <w:rPr>
          <w:rFonts w:ascii="Times New Roman" w:eastAsia="Times New Roman" w:hAnsi="Times New Roman" w:cs="Times New Roman"/>
          <w:i/>
          <w:sz w:val="20"/>
          <w:szCs w:val="20"/>
        </w:rPr>
        <w:t>Los hechos en el derecho. Bases argumentales de la prueba</w:t>
      </w:r>
      <w:r>
        <w:rPr>
          <w:rFonts w:ascii="Times New Roman" w:eastAsia="Times New Roman" w:hAnsi="Times New Roman" w:cs="Times New Roman"/>
          <w:sz w:val="20"/>
          <w:szCs w:val="20"/>
        </w:rPr>
        <w:t>, 3a. ed., Madrid, Marcial Pons, 2010, p. 32.</w:t>
      </w:r>
    </w:p>
  </w:footnote>
  <w:footnote w:id="81">
    <w:p w14:paraId="74D0E65E" w14:textId="77777777" w:rsidR="00657C4E" w:rsidRDefault="00657C4E" w:rsidP="00657C4E">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34.</w:t>
      </w:r>
    </w:p>
  </w:footnote>
  <w:footnote w:id="82">
    <w:p w14:paraId="0D2299F0" w14:textId="77777777" w:rsidR="00657C4E" w:rsidRDefault="00657C4E" w:rsidP="00657C4E">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pp. 141 y 142.</w:t>
      </w:r>
    </w:p>
  </w:footnote>
  <w:footnote w:id="83">
    <w:p w14:paraId="03785459" w14:textId="77777777" w:rsidR="00657C4E" w:rsidRDefault="00657C4E" w:rsidP="00657C4E">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González Lagier, Daniel, </w:t>
      </w:r>
      <w:r>
        <w:rPr>
          <w:rFonts w:ascii="Times New Roman" w:eastAsia="Times New Roman" w:hAnsi="Times New Roman" w:cs="Times New Roman"/>
          <w:i/>
          <w:sz w:val="20"/>
          <w:szCs w:val="20"/>
        </w:rPr>
        <w:t>Quaestio facti. Ensayos sobre prueba, causalidad y acción</w:t>
      </w:r>
      <w:r>
        <w:rPr>
          <w:rFonts w:ascii="Times New Roman" w:eastAsia="Times New Roman" w:hAnsi="Times New Roman" w:cs="Times New Roman"/>
          <w:sz w:val="20"/>
          <w:szCs w:val="20"/>
        </w:rPr>
        <w:t>, Lima-Bogotá, Palestra-Temis, 2005, pp. 75 y 76.</w:t>
      </w:r>
    </w:p>
  </w:footnote>
  <w:footnote w:id="84">
    <w:p w14:paraId="3A488ABD" w14:textId="77777777" w:rsidR="00657C4E" w:rsidRDefault="00657C4E" w:rsidP="00657C4E">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Laudan, Larry, </w:t>
      </w:r>
      <w:r>
        <w:rPr>
          <w:rFonts w:ascii="Times New Roman" w:eastAsia="Times New Roman" w:hAnsi="Times New Roman" w:cs="Times New Roman"/>
          <w:i/>
          <w:sz w:val="20"/>
          <w:szCs w:val="20"/>
        </w:rPr>
        <w:t xml:space="preserve">Truth, Error, and Criminal Law. </w:t>
      </w:r>
      <w:proofErr w:type="spellStart"/>
      <w:r>
        <w:rPr>
          <w:rFonts w:ascii="Times New Roman" w:eastAsia="Times New Roman" w:hAnsi="Times New Roman" w:cs="Times New Roman"/>
          <w:i/>
          <w:sz w:val="20"/>
          <w:szCs w:val="20"/>
        </w:rPr>
        <w:t>An</w:t>
      </w:r>
      <w:proofErr w:type="spellEnd"/>
      <w:r>
        <w:rPr>
          <w:rFonts w:ascii="Times New Roman" w:eastAsia="Times New Roman" w:hAnsi="Times New Roman" w:cs="Times New Roman"/>
          <w:i/>
          <w:sz w:val="20"/>
          <w:szCs w:val="20"/>
        </w:rPr>
        <w:t xml:space="preserve"> Essay in Legal </w:t>
      </w:r>
      <w:proofErr w:type="spellStart"/>
      <w:r>
        <w:rPr>
          <w:rFonts w:ascii="Times New Roman" w:eastAsia="Times New Roman" w:hAnsi="Times New Roman" w:cs="Times New Roman"/>
          <w:i/>
          <w:sz w:val="20"/>
          <w:szCs w:val="20"/>
        </w:rPr>
        <w:t>Epistemology</w:t>
      </w:r>
      <w:proofErr w:type="spellEnd"/>
      <w:r>
        <w:rPr>
          <w:rFonts w:ascii="Times New Roman" w:eastAsia="Times New Roman" w:hAnsi="Times New Roman" w:cs="Times New Roman"/>
          <w:sz w:val="20"/>
          <w:szCs w:val="20"/>
        </w:rPr>
        <w:t xml:space="preserve">, Cambridge, Cambridge </w:t>
      </w:r>
      <w:proofErr w:type="spellStart"/>
      <w:r>
        <w:rPr>
          <w:rFonts w:ascii="Times New Roman" w:eastAsia="Times New Roman" w:hAnsi="Times New Roman" w:cs="Times New Roman"/>
          <w:sz w:val="20"/>
          <w:szCs w:val="20"/>
        </w:rPr>
        <w:t>University</w:t>
      </w:r>
      <w:proofErr w:type="spellEnd"/>
      <w:r>
        <w:rPr>
          <w:rFonts w:ascii="Times New Roman" w:eastAsia="Times New Roman" w:hAnsi="Times New Roman" w:cs="Times New Roman"/>
          <w:sz w:val="20"/>
          <w:szCs w:val="20"/>
        </w:rPr>
        <w:t xml:space="preserve"> Press, 2006, p. 33.</w:t>
      </w:r>
    </w:p>
  </w:footnote>
  <w:footnote w:id="85">
    <w:p w14:paraId="0BFF352D" w14:textId="77777777" w:rsidR="00657C4E" w:rsidRDefault="00657C4E" w:rsidP="00657C4E">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34.</w:t>
      </w:r>
    </w:p>
  </w:footnote>
  <w:footnote w:id="86">
    <w:p w14:paraId="58A7C1E2" w14:textId="77777777" w:rsidR="00657C4E" w:rsidRDefault="00657C4E" w:rsidP="00657C4E">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Nieva-</w:t>
      </w:r>
      <w:proofErr w:type="spellStart"/>
      <w:r>
        <w:rPr>
          <w:rFonts w:ascii="Times New Roman" w:eastAsia="Times New Roman" w:hAnsi="Times New Roman" w:cs="Times New Roman"/>
          <w:sz w:val="20"/>
          <w:szCs w:val="20"/>
        </w:rPr>
        <w:t>Fenoll</w:t>
      </w:r>
      <w:proofErr w:type="spellEnd"/>
      <w:r>
        <w:rPr>
          <w:rFonts w:ascii="Times New Roman" w:eastAsia="Times New Roman" w:hAnsi="Times New Roman" w:cs="Times New Roman"/>
          <w:sz w:val="20"/>
          <w:szCs w:val="20"/>
        </w:rPr>
        <w:t>, Carga de la prueba y estándares de prueba, cit., p. 131, nota 56.</w:t>
      </w:r>
    </w:p>
  </w:footnote>
  <w:footnote w:id="87">
    <w:p w14:paraId="36C5E055" w14:textId="77777777" w:rsidR="00657C4E" w:rsidRDefault="00657C4E" w:rsidP="00657C4E">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132.</w:t>
      </w:r>
    </w:p>
  </w:footnote>
  <w:footnote w:id="88">
    <w:p w14:paraId="603BDF90" w14:textId="77777777" w:rsidR="00657C4E" w:rsidRDefault="00657C4E" w:rsidP="00657C4E">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133.</w:t>
      </w:r>
    </w:p>
  </w:footnote>
  <w:footnote w:id="89">
    <w:p w14:paraId="73FC8A79" w14:textId="77777777" w:rsidR="00657C4E" w:rsidRDefault="00657C4E" w:rsidP="00657C4E">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Ferrer Beltrán, </w:t>
      </w:r>
      <w:r>
        <w:rPr>
          <w:rFonts w:ascii="Times New Roman" w:eastAsia="Times New Roman" w:hAnsi="Times New Roman" w:cs="Times New Roman"/>
          <w:i/>
          <w:sz w:val="20"/>
          <w:szCs w:val="20"/>
        </w:rPr>
        <w:t>Prueba sin convicción</w:t>
      </w:r>
      <w:r>
        <w:rPr>
          <w:rFonts w:ascii="Times New Roman" w:eastAsia="Times New Roman" w:hAnsi="Times New Roman" w:cs="Times New Roman"/>
          <w:sz w:val="20"/>
          <w:szCs w:val="20"/>
        </w:rPr>
        <w:t>, cit., p. 172.</w:t>
      </w:r>
    </w:p>
  </w:footnote>
  <w:footnote w:id="90">
    <w:p w14:paraId="3A594B21" w14:textId="77777777" w:rsidR="00657C4E" w:rsidRDefault="00657C4E" w:rsidP="00657C4E">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173.</w:t>
      </w:r>
    </w:p>
  </w:footnote>
  <w:footnote w:id="91">
    <w:p w14:paraId="0EA3FE8B" w14:textId="77777777" w:rsidR="00657C4E" w:rsidRDefault="00657C4E" w:rsidP="00657C4E">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Ferrer Beltrán, </w:t>
      </w:r>
      <w:r>
        <w:rPr>
          <w:rFonts w:ascii="Times New Roman" w:eastAsia="Times New Roman" w:hAnsi="Times New Roman" w:cs="Times New Roman"/>
          <w:i/>
          <w:sz w:val="20"/>
          <w:szCs w:val="20"/>
        </w:rPr>
        <w:t>Prueba sin convicción</w:t>
      </w:r>
      <w:r>
        <w:rPr>
          <w:rFonts w:ascii="Times New Roman" w:eastAsia="Times New Roman" w:hAnsi="Times New Roman" w:cs="Times New Roman"/>
          <w:sz w:val="20"/>
          <w:szCs w:val="20"/>
        </w:rPr>
        <w:t>, cit., p. 30.</w:t>
      </w:r>
    </w:p>
  </w:footnote>
  <w:footnote w:id="92">
    <w:p w14:paraId="4468CDE6" w14:textId="77777777" w:rsidR="00657C4E" w:rsidRDefault="00657C4E" w:rsidP="00657C4E">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pp. 20 y 21.</w:t>
      </w:r>
    </w:p>
  </w:footnote>
  <w:footnote w:id="93">
    <w:p w14:paraId="03AFBB43" w14:textId="77777777" w:rsidR="00657C4E" w:rsidRDefault="00657C4E" w:rsidP="00657C4E">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Ferrer Beltrán, Jordi, La prueba es libertad, pero no tanto. Una teoría de la prueba </w:t>
      </w:r>
      <w:proofErr w:type="spellStart"/>
      <w:r>
        <w:rPr>
          <w:rFonts w:ascii="Times New Roman" w:eastAsia="Times New Roman" w:hAnsi="Times New Roman" w:cs="Times New Roman"/>
          <w:sz w:val="20"/>
          <w:szCs w:val="20"/>
        </w:rPr>
        <w:t>cuasibenthamiana</w:t>
      </w:r>
      <w:proofErr w:type="spellEnd"/>
      <w:r>
        <w:rPr>
          <w:rFonts w:ascii="Times New Roman" w:eastAsia="Times New Roman" w:hAnsi="Times New Roman" w:cs="Times New Roman"/>
          <w:sz w:val="20"/>
          <w:szCs w:val="20"/>
        </w:rPr>
        <w:t xml:space="preserve">, en Vázquez, Carmen (ed.), </w:t>
      </w:r>
      <w:r>
        <w:rPr>
          <w:rFonts w:ascii="Times New Roman" w:eastAsia="Times New Roman" w:hAnsi="Times New Roman" w:cs="Times New Roman"/>
          <w:i/>
          <w:sz w:val="20"/>
          <w:szCs w:val="20"/>
        </w:rPr>
        <w:t>Estándares de prueba y prueba científica. Ensayos de epistemología jurídica</w:t>
      </w:r>
      <w:r>
        <w:rPr>
          <w:rFonts w:ascii="Times New Roman" w:eastAsia="Times New Roman" w:hAnsi="Times New Roman" w:cs="Times New Roman"/>
          <w:sz w:val="20"/>
          <w:szCs w:val="20"/>
        </w:rPr>
        <w:t>, Madrid, Marcial Pons, 2013, p. 24.</w:t>
      </w:r>
    </w:p>
  </w:footnote>
  <w:footnote w:id="94">
    <w:p w14:paraId="07AFB07E" w14:textId="77777777" w:rsidR="00657C4E" w:rsidRDefault="00657C4E" w:rsidP="00657C4E">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pp. 24-26.</w:t>
      </w:r>
    </w:p>
  </w:footnote>
  <w:footnote w:id="95">
    <w:p w14:paraId="7A127942" w14:textId="77777777" w:rsidR="00657C4E" w:rsidRDefault="00657C4E" w:rsidP="00657C4E">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Ferrer Beltrán, </w:t>
      </w:r>
      <w:r>
        <w:rPr>
          <w:rFonts w:ascii="Times New Roman" w:eastAsia="Times New Roman" w:hAnsi="Times New Roman" w:cs="Times New Roman"/>
          <w:i/>
          <w:sz w:val="20"/>
          <w:szCs w:val="20"/>
        </w:rPr>
        <w:t>Prueba sin convicción</w:t>
      </w:r>
      <w:r>
        <w:rPr>
          <w:rFonts w:ascii="Times New Roman" w:eastAsia="Times New Roman" w:hAnsi="Times New Roman" w:cs="Times New Roman"/>
          <w:sz w:val="20"/>
          <w:szCs w:val="20"/>
        </w:rPr>
        <w:t>, cit., p. 23.</w:t>
      </w:r>
    </w:p>
  </w:footnote>
  <w:footnote w:id="96">
    <w:p w14:paraId="31C2CE9D" w14:textId="77777777" w:rsidR="00657C4E" w:rsidRDefault="00657C4E" w:rsidP="00657C4E">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Ferrer Beltrán, La prueba es libertad, pero no tanto, cit., p. 26.</w:t>
      </w:r>
    </w:p>
  </w:footnote>
  <w:footnote w:id="97">
    <w:p w14:paraId="197D3DC5" w14:textId="77777777" w:rsidR="00657C4E" w:rsidRDefault="00657C4E" w:rsidP="00657C4E">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Ferrer Beltrán, </w:t>
      </w:r>
      <w:r>
        <w:rPr>
          <w:rFonts w:ascii="Times New Roman" w:eastAsia="Times New Roman" w:hAnsi="Times New Roman" w:cs="Times New Roman"/>
          <w:i/>
          <w:sz w:val="20"/>
          <w:szCs w:val="20"/>
        </w:rPr>
        <w:t>Prueba sin convicción</w:t>
      </w:r>
      <w:r>
        <w:rPr>
          <w:rFonts w:ascii="Times New Roman" w:eastAsia="Times New Roman" w:hAnsi="Times New Roman" w:cs="Times New Roman"/>
          <w:sz w:val="20"/>
          <w:szCs w:val="20"/>
        </w:rPr>
        <w:t>, cit., p. 23.</w:t>
      </w:r>
    </w:p>
  </w:footnote>
  <w:footnote w:id="98">
    <w:p w14:paraId="74B77525" w14:textId="77777777" w:rsidR="00657C4E" w:rsidRDefault="00657C4E" w:rsidP="00657C4E">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Ferrer Beltrán, Jordi, </w:t>
      </w:r>
      <w:r>
        <w:rPr>
          <w:rFonts w:ascii="Times New Roman" w:eastAsia="Times New Roman" w:hAnsi="Times New Roman" w:cs="Times New Roman"/>
          <w:i/>
          <w:sz w:val="20"/>
          <w:szCs w:val="20"/>
        </w:rPr>
        <w:t>La valoración racional de la prueba</w:t>
      </w:r>
      <w:r>
        <w:rPr>
          <w:rFonts w:ascii="Times New Roman" w:eastAsia="Times New Roman" w:hAnsi="Times New Roman" w:cs="Times New Roman"/>
          <w:sz w:val="20"/>
          <w:szCs w:val="20"/>
        </w:rPr>
        <w:t>, Madrid, Marcial Pons, 2007, p. 48.</w:t>
      </w:r>
    </w:p>
  </w:footnote>
  <w:footnote w:id="99">
    <w:p w14:paraId="3D1610B1" w14:textId="77777777" w:rsidR="00657C4E" w:rsidRDefault="00657C4E" w:rsidP="00657C4E">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Ferrer Beltrán, </w:t>
      </w:r>
      <w:r>
        <w:rPr>
          <w:rFonts w:ascii="Times New Roman" w:eastAsia="Times New Roman" w:hAnsi="Times New Roman" w:cs="Times New Roman"/>
          <w:i/>
          <w:sz w:val="20"/>
          <w:szCs w:val="20"/>
        </w:rPr>
        <w:t>Prueba sin convicción</w:t>
      </w:r>
      <w:r>
        <w:rPr>
          <w:rFonts w:ascii="Times New Roman" w:eastAsia="Times New Roman" w:hAnsi="Times New Roman" w:cs="Times New Roman"/>
          <w:sz w:val="20"/>
          <w:szCs w:val="20"/>
        </w:rPr>
        <w:t>, cit., p. 23, nota 15.</w:t>
      </w:r>
    </w:p>
  </w:footnote>
  <w:footnote w:id="100">
    <w:p w14:paraId="128B20B5" w14:textId="77777777" w:rsidR="00657C4E" w:rsidRDefault="00657C4E" w:rsidP="00657C4E">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Tesis II.1o.P.1 P (11a.), </w:t>
      </w:r>
      <w:r>
        <w:rPr>
          <w:rFonts w:ascii="Times New Roman" w:eastAsia="Times New Roman" w:hAnsi="Times New Roman" w:cs="Times New Roman"/>
          <w:i/>
          <w:sz w:val="20"/>
          <w:szCs w:val="20"/>
        </w:rPr>
        <w:t>Gaceta del Semanario Judicial de la Federación</w:t>
      </w:r>
      <w:r>
        <w:rPr>
          <w:rFonts w:ascii="Times New Roman" w:eastAsia="Times New Roman" w:hAnsi="Times New Roman" w:cs="Times New Roman"/>
          <w:sz w:val="20"/>
          <w:szCs w:val="20"/>
        </w:rPr>
        <w:t>, Undécima Época, libro 14, junio de 2022, t. VII, p. 6278, registro digital 2024878.</w:t>
      </w:r>
    </w:p>
  </w:footnote>
  <w:footnote w:id="101">
    <w:p w14:paraId="7E728163" w14:textId="77777777" w:rsidR="00657C4E" w:rsidRDefault="00657C4E" w:rsidP="00657C4E">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Vázquez, Carmen, A modo de presentación, en Vázquez, Carmen (ed.), </w:t>
      </w:r>
      <w:r>
        <w:rPr>
          <w:rFonts w:ascii="Times New Roman" w:eastAsia="Times New Roman" w:hAnsi="Times New Roman" w:cs="Times New Roman"/>
          <w:i/>
          <w:sz w:val="20"/>
          <w:szCs w:val="20"/>
        </w:rPr>
        <w:t>Estándares de prueba y prueba científica</w:t>
      </w:r>
      <w:r>
        <w:rPr>
          <w:rFonts w:ascii="Times New Roman" w:eastAsia="Times New Roman" w:hAnsi="Times New Roman" w:cs="Times New Roman"/>
          <w:sz w:val="20"/>
          <w:szCs w:val="20"/>
        </w:rPr>
        <w:t>, cit., p. 14.</w:t>
      </w:r>
    </w:p>
  </w:footnote>
  <w:footnote w:id="102">
    <w:p w14:paraId="09DAB7AB" w14:textId="77777777" w:rsidR="00657C4E" w:rsidRDefault="00657C4E" w:rsidP="00657C4E">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Ferrer Beltrán, </w:t>
      </w:r>
      <w:r>
        <w:rPr>
          <w:rFonts w:ascii="Times New Roman" w:eastAsia="Times New Roman" w:hAnsi="Times New Roman" w:cs="Times New Roman"/>
          <w:i/>
          <w:sz w:val="20"/>
          <w:szCs w:val="20"/>
        </w:rPr>
        <w:t>Prueba sin convicción</w:t>
      </w:r>
      <w:r>
        <w:rPr>
          <w:rFonts w:ascii="Times New Roman" w:eastAsia="Times New Roman" w:hAnsi="Times New Roman" w:cs="Times New Roman"/>
          <w:sz w:val="20"/>
          <w:szCs w:val="20"/>
        </w:rPr>
        <w:t>, cit., pp. 23 y 24.</w:t>
      </w:r>
    </w:p>
  </w:footnote>
  <w:footnote w:id="103">
    <w:p w14:paraId="26C4C29C" w14:textId="77777777" w:rsidR="00657C4E" w:rsidRDefault="00657C4E" w:rsidP="00657C4E">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149.</w:t>
      </w:r>
    </w:p>
  </w:footnote>
  <w:footnote w:id="104">
    <w:p w14:paraId="656AA9F2" w14:textId="77777777" w:rsidR="00657C4E" w:rsidRDefault="00657C4E" w:rsidP="00657C4E">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115.</w:t>
      </w:r>
    </w:p>
  </w:footnote>
  <w:footnote w:id="105">
    <w:p w14:paraId="4806897F" w14:textId="77777777" w:rsidR="00657C4E" w:rsidRDefault="00657C4E" w:rsidP="00657C4E">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Laudan, </w:t>
      </w:r>
      <w:r>
        <w:rPr>
          <w:rFonts w:ascii="Times New Roman" w:eastAsia="Times New Roman" w:hAnsi="Times New Roman" w:cs="Times New Roman"/>
          <w:i/>
          <w:sz w:val="20"/>
          <w:szCs w:val="20"/>
        </w:rPr>
        <w:t>Truth, Error, and Criminal Law</w:t>
      </w:r>
      <w:r>
        <w:rPr>
          <w:rFonts w:ascii="Times New Roman" w:eastAsia="Times New Roman" w:hAnsi="Times New Roman" w:cs="Times New Roman"/>
          <w:sz w:val="20"/>
          <w:szCs w:val="20"/>
        </w:rPr>
        <w:t>, cit., pp. 29 y 30.</w:t>
      </w:r>
    </w:p>
  </w:footnote>
  <w:footnote w:id="106">
    <w:p w14:paraId="3DD5AC25" w14:textId="77777777" w:rsidR="00657C4E" w:rsidRDefault="00657C4E" w:rsidP="00657C4E">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Ferrer Beltrán, </w:t>
      </w:r>
      <w:r>
        <w:rPr>
          <w:rFonts w:ascii="Times New Roman" w:eastAsia="Times New Roman" w:hAnsi="Times New Roman" w:cs="Times New Roman"/>
          <w:i/>
          <w:sz w:val="20"/>
          <w:szCs w:val="20"/>
        </w:rPr>
        <w:t>Prueba sin convicción</w:t>
      </w:r>
      <w:r>
        <w:rPr>
          <w:rFonts w:ascii="Times New Roman" w:eastAsia="Times New Roman" w:hAnsi="Times New Roman" w:cs="Times New Roman"/>
          <w:sz w:val="20"/>
          <w:szCs w:val="20"/>
        </w:rPr>
        <w:t>, cit., pp. 116-122.</w:t>
      </w:r>
    </w:p>
  </w:footnote>
  <w:footnote w:id="107">
    <w:p w14:paraId="4939ED92" w14:textId="77777777" w:rsidR="00657C4E" w:rsidRDefault="00657C4E" w:rsidP="00657C4E">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pp. 121 y 122.</w:t>
      </w:r>
    </w:p>
  </w:footnote>
  <w:footnote w:id="108">
    <w:p w14:paraId="4E5BC39E" w14:textId="77777777" w:rsidR="00657C4E" w:rsidRDefault="00657C4E" w:rsidP="00657C4E">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Laudan, Larry, La elemental aritmética epistémica del derecho II. Los inapropiados recursos de la teoría moral para abordar el derecho penal, en Vázquez, Carmen (ed.), </w:t>
      </w:r>
      <w:r>
        <w:rPr>
          <w:rFonts w:ascii="Times New Roman" w:eastAsia="Times New Roman" w:hAnsi="Times New Roman" w:cs="Times New Roman"/>
          <w:i/>
          <w:sz w:val="20"/>
          <w:szCs w:val="20"/>
        </w:rPr>
        <w:t>Estándares de prueba y prueba científica</w:t>
      </w:r>
      <w:r>
        <w:rPr>
          <w:rFonts w:ascii="Times New Roman" w:eastAsia="Times New Roman" w:hAnsi="Times New Roman" w:cs="Times New Roman"/>
          <w:sz w:val="20"/>
          <w:szCs w:val="20"/>
        </w:rPr>
        <w:t>, cit., pp. 121 y 122.</w:t>
      </w:r>
    </w:p>
  </w:footnote>
  <w:footnote w:id="109">
    <w:p w14:paraId="316C6C7A" w14:textId="77777777" w:rsidR="00657C4E" w:rsidRDefault="00657C4E" w:rsidP="00657C4E">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pp. 122 y 123.</w:t>
      </w:r>
    </w:p>
  </w:footnote>
  <w:footnote w:id="110">
    <w:p w14:paraId="278A4343" w14:textId="77777777" w:rsidR="00657C4E" w:rsidRDefault="00657C4E" w:rsidP="00657C4E">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Ferrer Beltrán, </w:t>
      </w:r>
      <w:r>
        <w:rPr>
          <w:rFonts w:ascii="Times New Roman" w:eastAsia="Times New Roman" w:hAnsi="Times New Roman" w:cs="Times New Roman"/>
          <w:i/>
          <w:sz w:val="20"/>
          <w:szCs w:val="20"/>
        </w:rPr>
        <w:t>Prueba sin convicción</w:t>
      </w:r>
      <w:r>
        <w:rPr>
          <w:rFonts w:ascii="Times New Roman" w:eastAsia="Times New Roman" w:hAnsi="Times New Roman" w:cs="Times New Roman"/>
          <w:sz w:val="20"/>
          <w:szCs w:val="20"/>
        </w:rPr>
        <w:t>, cit., p. 109.</w:t>
      </w:r>
    </w:p>
  </w:footnote>
  <w:footnote w:id="111">
    <w:p w14:paraId="7E432AFE" w14:textId="77777777" w:rsidR="00657C4E" w:rsidRDefault="00657C4E" w:rsidP="00657C4E">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115.</w:t>
      </w:r>
    </w:p>
  </w:footnote>
  <w:footnote w:id="112">
    <w:p w14:paraId="71D54151" w14:textId="77777777" w:rsidR="00657C4E" w:rsidRDefault="00657C4E" w:rsidP="00657C4E">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pp. 109 y 110.</w:t>
      </w:r>
    </w:p>
  </w:footnote>
  <w:footnote w:id="113">
    <w:p w14:paraId="1D37A1C3" w14:textId="77777777" w:rsidR="00657C4E" w:rsidRDefault="00657C4E" w:rsidP="00657C4E">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pp. 112-114.</w:t>
      </w:r>
    </w:p>
  </w:footnote>
  <w:footnote w:id="114">
    <w:p w14:paraId="7A456784" w14:textId="77777777" w:rsidR="00657C4E" w:rsidRDefault="00657C4E" w:rsidP="00657C4E">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Nieva-</w:t>
      </w:r>
      <w:proofErr w:type="spellStart"/>
      <w:r>
        <w:rPr>
          <w:rFonts w:ascii="Times New Roman" w:eastAsia="Times New Roman" w:hAnsi="Times New Roman" w:cs="Times New Roman"/>
          <w:sz w:val="20"/>
          <w:szCs w:val="20"/>
        </w:rPr>
        <w:t>Fenoll</w:t>
      </w:r>
      <w:proofErr w:type="spellEnd"/>
      <w:r>
        <w:rPr>
          <w:rFonts w:ascii="Times New Roman" w:eastAsia="Times New Roman" w:hAnsi="Times New Roman" w:cs="Times New Roman"/>
          <w:sz w:val="20"/>
          <w:szCs w:val="20"/>
        </w:rPr>
        <w:t>, Carga de la prueba y estándares de prueba, cit., p. 118.</w:t>
      </w:r>
    </w:p>
  </w:footnote>
  <w:footnote w:id="115">
    <w:p w14:paraId="53A11D33" w14:textId="77777777" w:rsidR="00657C4E" w:rsidRDefault="00657C4E" w:rsidP="00657C4E">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133.</w:t>
      </w:r>
    </w:p>
  </w:footnote>
  <w:footnote w:id="116">
    <w:p w14:paraId="66EA1D3E" w14:textId="77777777" w:rsidR="00657C4E" w:rsidRDefault="00657C4E" w:rsidP="00657C4E">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134.</w:t>
      </w:r>
    </w:p>
  </w:footnote>
  <w:footnote w:id="117">
    <w:p w14:paraId="3E70CD0F" w14:textId="77777777" w:rsidR="00657C4E" w:rsidRDefault="00657C4E" w:rsidP="00657C4E">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Ferrer Beltrán, </w:t>
      </w:r>
      <w:r>
        <w:rPr>
          <w:rFonts w:ascii="Times New Roman" w:eastAsia="Times New Roman" w:hAnsi="Times New Roman" w:cs="Times New Roman"/>
          <w:i/>
          <w:sz w:val="20"/>
          <w:szCs w:val="20"/>
        </w:rPr>
        <w:t>Prueba sin convicción</w:t>
      </w:r>
      <w:r>
        <w:rPr>
          <w:rFonts w:ascii="Times New Roman" w:eastAsia="Times New Roman" w:hAnsi="Times New Roman" w:cs="Times New Roman"/>
          <w:sz w:val="20"/>
          <w:szCs w:val="20"/>
        </w:rPr>
        <w:t>, cit., p. 26.</w:t>
      </w:r>
    </w:p>
  </w:footnote>
  <w:footnote w:id="118">
    <w:p w14:paraId="087783C2" w14:textId="77777777" w:rsidR="00657C4E" w:rsidRDefault="00657C4E" w:rsidP="00657C4E">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110.</w:t>
      </w:r>
    </w:p>
  </w:footnote>
  <w:footnote w:id="119">
    <w:p w14:paraId="6C064BA4" w14:textId="77777777" w:rsidR="00657C4E" w:rsidRDefault="00657C4E" w:rsidP="00657C4E">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Vázquez, A modo de presentación, cit., p. 14.</w:t>
      </w:r>
    </w:p>
  </w:footnote>
  <w:footnote w:id="120">
    <w:p w14:paraId="4890CC30" w14:textId="77777777" w:rsidR="00657C4E" w:rsidRDefault="00657C4E" w:rsidP="00657C4E">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Ferrer Beltrán, </w:t>
      </w:r>
      <w:r>
        <w:rPr>
          <w:rFonts w:ascii="Times New Roman" w:eastAsia="Times New Roman" w:hAnsi="Times New Roman" w:cs="Times New Roman"/>
          <w:i/>
          <w:sz w:val="20"/>
          <w:szCs w:val="20"/>
        </w:rPr>
        <w:t>Prueba sin convicción</w:t>
      </w:r>
      <w:r>
        <w:rPr>
          <w:rFonts w:ascii="Times New Roman" w:eastAsia="Times New Roman" w:hAnsi="Times New Roman" w:cs="Times New Roman"/>
          <w:sz w:val="20"/>
          <w:szCs w:val="20"/>
        </w:rPr>
        <w:t>, cit., pp. 110 y 111.</w:t>
      </w:r>
    </w:p>
  </w:footnote>
  <w:footnote w:id="121">
    <w:p w14:paraId="75F61FC8" w14:textId="77777777" w:rsidR="00657C4E" w:rsidRDefault="00657C4E" w:rsidP="00657C4E">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Ley General del Sistema de Medios de Impugnación en Materia Electoral, artículo 15, párrafo 2.</w:t>
      </w:r>
    </w:p>
  </w:footnote>
  <w:footnote w:id="122">
    <w:p w14:paraId="7E2E2D65" w14:textId="77777777" w:rsidR="00657C4E" w:rsidRDefault="00657C4E" w:rsidP="00657C4E">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Ferrer Beltrán, </w:t>
      </w:r>
      <w:r>
        <w:rPr>
          <w:rFonts w:ascii="Times New Roman" w:eastAsia="Times New Roman" w:hAnsi="Times New Roman" w:cs="Times New Roman"/>
          <w:i/>
          <w:sz w:val="20"/>
          <w:szCs w:val="20"/>
        </w:rPr>
        <w:t>Prueba sin convicción</w:t>
      </w:r>
      <w:r>
        <w:rPr>
          <w:rFonts w:ascii="Times New Roman" w:eastAsia="Times New Roman" w:hAnsi="Times New Roman" w:cs="Times New Roman"/>
          <w:sz w:val="20"/>
          <w:szCs w:val="20"/>
        </w:rPr>
        <w:t>, cit., p. 19.</w:t>
      </w:r>
    </w:p>
  </w:footnote>
  <w:footnote w:id="123">
    <w:p w14:paraId="4C9071B4" w14:textId="77777777" w:rsidR="00657C4E" w:rsidRDefault="00657C4E" w:rsidP="00657C4E">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142, nota 95.</w:t>
      </w:r>
    </w:p>
  </w:footnote>
  <w:footnote w:id="124">
    <w:p w14:paraId="5C66E386" w14:textId="77777777" w:rsidR="00657C4E" w:rsidRDefault="00657C4E" w:rsidP="00657C4E">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Laudan, </w:t>
      </w:r>
      <w:r>
        <w:rPr>
          <w:rFonts w:ascii="Times New Roman" w:eastAsia="Times New Roman" w:hAnsi="Times New Roman" w:cs="Times New Roman"/>
          <w:i/>
          <w:sz w:val="20"/>
          <w:szCs w:val="20"/>
        </w:rPr>
        <w:t>Truth, Error, and Criminal Law</w:t>
      </w:r>
      <w:r>
        <w:rPr>
          <w:rFonts w:ascii="Times New Roman" w:eastAsia="Times New Roman" w:hAnsi="Times New Roman" w:cs="Times New Roman"/>
          <w:sz w:val="20"/>
          <w:szCs w:val="20"/>
        </w:rPr>
        <w:t>, cit., p. 30.</w:t>
      </w:r>
    </w:p>
  </w:footnote>
  <w:footnote w:id="125">
    <w:p w14:paraId="7233836A" w14:textId="77777777" w:rsidR="00657C4E" w:rsidRDefault="00657C4E" w:rsidP="00657C4E">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Nieva-</w:t>
      </w:r>
      <w:proofErr w:type="spellStart"/>
      <w:r>
        <w:rPr>
          <w:rFonts w:ascii="Times New Roman" w:eastAsia="Times New Roman" w:hAnsi="Times New Roman" w:cs="Times New Roman"/>
          <w:sz w:val="20"/>
          <w:szCs w:val="20"/>
        </w:rPr>
        <w:t>Fenoll</w:t>
      </w:r>
      <w:proofErr w:type="spellEnd"/>
      <w:r>
        <w:rPr>
          <w:rFonts w:ascii="Times New Roman" w:eastAsia="Times New Roman" w:hAnsi="Times New Roman" w:cs="Times New Roman"/>
          <w:sz w:val="20"/>
          <w:szCs w:val="20"/>
        </w:rPr>
        <w:t>, Carga de la prueba y estándares de prueba, cit., p. 128.</w:t>
      </w:r>
    </w:p>
  </w:footnote>
  <w:footnote w:id="126">
    <w:p w14:paraId="3D455D63" w14:textId="77777777" w:rsidR="00657C4E" w:rsidRDefault="00657C4E" w:rsidP="00657C4E">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Sala Superior del Tribunal Electoral del Poder Judicial de la Federación, SUP-REC-1388/2018, sentencia de 30 de septiembre de 2018, </w:t>
      </w:r>
      <w:r>
        <w:rPr>
          <w:rFonts w:ascii="Times New Roman" w:eastAsia="Times New Roman" w:hAnsi="Times New Roman" w:cs="Times New Roman"/>
          <w:sz w:val="20"/>
          <w:szCs w:val="20"/>
        </w:rPr>
        <w:t xml:space="preserve">pp. 48 y 49</w:t>
      </w:r>
      <w:r>
        <w:rPr>
          <w:rFonts w:ascii="Times New Roman" w:eastAsia="Times New Roman" w:hAnsi="Times New Roman" w:cs="Times New Roman"/>
          <w:sz w:val="20"/>
          <w:szCs w:val="20"/>
        </w:rPr>
        <w:t xml:space="preserve">.</w:t>
      </w:r>
    </w:p>
  </w:footnote>
  <w:footnote w:id="127">
    <w:p w14:paraId="291C7DC0" w14:textId="77777777" w:rsidR="00657C4E" w:rsidRDefault="00657C4E" w:rsidP="00657C4E">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46.</w:t>
      </w:r>
    </w:p>
  </w:footnote>
  <w:footnote w:id="128">
    <w:p w14:paraId="4510FFF9" w14:textId="77777777" w:rsidR="00657C4E" w:rsidRDefault="00657C4E" w:rsidP="00657C4E">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41.</w:t>
      </w:r>
    </w:p>
  </w:footnote>
  <w:footnote w:id="129">
    <w:p w14:paraId="3838C967" w14:textId="77777777" w:rsidR="00657C4E" w:rsidRDefault="00657C4E" w:rsidP="00657C4E">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Rodríguez Mondragón, Reyes, voto razonado en el SUP-REC-1388/2018, p. 75.</w:t>
      </w:r>
    </w:p>
  </w:footnote>
  <w:footnote w:id="130">
    <w:p w14:paraId="75933501" w14:textId="77777777" w:rsidR="00657C4E" w:rsidRDefault="00657C4E" w:rsidP="00657C4E">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Código Nacional de Procedimientos Penales, artículos 259 y 265, texto consultado con última reforma publicada en el </w:t>
      </w:r>
      <w:r>
        <w:rPr>
          <w:rFonts w:ascii="Times New Roman" w:eastAsia="Times New Roman" w:hAnsi="Times New Roman" w:cs="Times New Roman"/>
          <w:i/>
          <w:sz w:val="20"/>
          <w:szCs w:val="20"/>
        </w:rPr>
        <w:t>Diario Oficial de la Federación</w:t>
      </w:r>
      <w:r>
        <w:rPr>
          <w:rFonts w:ascii="Times New Roman" w:eastAsia="Times New Roman" w:hAnsi="Times New Roman" w:cs="Times New Roman"/>
          <w:sz w:val="20"/>
          <w:szCs w:val="20"/>
        </w:rPr>
        <w:t xml:space="preserve"> el 28 de noviembre de 2025.</w:t>
      </w:r>
    </w:p>
  </w:footnote>
  <w:footnote w:id="131">
    <w:p w14:paraId="2B65573C" w14:textId="77777777" w:rsidR="00657C4E" w:rsidRDefault="00657C4E" w:rsidP="00657C4E">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González Lagier, </w:t>
      </w:r>
      <w:r>
        <w:rPr>
          <w:rFonts w:ascii="Times New Roman" w:eastAsia="Times New Roman" w:hAnsi="Times New Roman" w:cs="Times New Roman"/>
          <w:i/>
          <w:sz w:val="20"/>
          <w:szCs w:val="20"/>
        </w:rPr>
        <w:t>Quaestio facti</w:t>
      </w:r>
      <w:r>
        <w:rPr>
          <w:rFonts w:ascii="Times New Roman" w:eastAsia="Times New Roman" w:hAnsi="Times New Roman" w:cs="Times New Roman"/>
          <w:sz w:val="20"/>
          <w:szCs w:val="20"/>
        </w:rPr>
        <w:t>, cit., p. 79.</w:t>
      </w:r>
    </w:p>
  </w:footnote>
  <w:footnote w:id="132">
    <w:p w14:paraId="69D0539D" w14:textId="77777777" w:rsidR="00657C4E" w:rsidRDefault="00657C4E" w:rsidP="00657C4E">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Ferrer Beltrán, </w:t>
      </w:r>
      <w:r>
        <w:rPr>
          <w:rFonts w:ascii="Times New Roman" w:eastAsia="Times New Roman" w:hAnsi="Times New Roman" w:cs="Times New Roman"/>
          <w:i/>
          <w:sz w:val="20"/>
          <w:szCs w:val="20"/>
        </w:rPr>
        <w:t>Prueba sin convicción</w:t>
      </w:r>
      <w:r>
        <w:rPr>
          <w:rFonts w:ascii="Times New Roman" w:eastAsia="Times New Roman" w:hAnsi="Times New Roman" w:cs="Times New Roman"/>
          <w:sz w:val="20"/>
          <w:szCs w:val="20"/>
        </w:rPr>
        <w:t>, cit., p. 110.</w:t>
      </w:r>
    </w:p>
  </w:footnote>
  <w:footnote w:id="133">
    <w:p w14:paraId="78249E6D" w14:textId="77777777" w:rsidR="00657C4E" w:rsidRDefault="00657C4E" w:rsidP="00657C4E">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Ferrer Beltrán, </w:t>
      </w:r>
      <w:r>
        <w:rPr>
          <w:rFonts w:ascii="Times New Roman" w:eastAsia="Times New Roman" w:hAnsi="Times New Roman" w:cs="Times New Roman"/>
          <w:i/>
          <w:sz w:val="20"/>
          <w:szCs w:val="20"/>
        </w:rPr>
        <w:t>Prueba sin convicción</w:t>
      </w:r>
      <w:r>
        <w:rPr>
          <w:rFonts w:ascii="Times New Roman" w:eastAsia="Times New Roman" w:hAnsi="Times New Roman" w:cs="Times New Roman"/>
          <w:sz w:val="20"/>
          <w:szCs w:val="20"/>
        </w:rPr>
        <w:t>, cit., pp. 24 y 25.</w:t>
      </w:r>
    </w:p>
  </w:footnote>
  <w:footnote w:id="134">
    <w:p w14:paraId="2FDEA71F" w14:textId="77777777" w:rsidR="00657C4E" w:rsidRDefault="00657C4E" w:rsidP="00657C4E">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Ferrer Beltrán, </w:t>
      </w:r>
      <w:r>
        <w:rPr>
          <w:rFonts w:ascii="Times New Roman" w:eastAsia="Times New Roman" w:hAnsi="Times New Roman" w:cs="Times New Roman"/>
          <w:i/>
          <w:sz w:val="20"/>
          <w:szCs w:val="20"/>
        </w:rPr>
        <w:t>Prueba sin convicción</w:t>
      </w:r>
      <w:r>
        <w:rPr>
          <w:rFonts w:ascii="Times New Roman" w:eastAsia="Times New Roman" w:hAnsi="Times New Roman" w:cs="Times New Roman"/>
          <w:sz w:val="20"/>
          <w:szCs w:val="20"/>
        </w:rPr>
        <w:t>, cit., pp. 176-179.</w:t>
      </w:r>
    </w:p>
  </w:footnote>
  <w:footnote w:id="135">
    <w:p w14:paraId="0BBE1CEB" w14:textId="77777777" w:rsidR="00657C4E" w:rsidRDefault="00657C4E" w:rsidP="00657C4E">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192.</w:t>
      </w:r>
    </w:p>
  </w:footnote>
  <w:footnote w:id="136">
    <w:p w14:paraId="17680FE2" w14:textId="77777777" w:rsidR="00657C4E" w:rsidRDefault="00657C4E" w:rsidP="00657C4E">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193.</w:t>
      </w:r>
    </w:p>
  </w:footnote>
  <w:footnote w:id="137">
    <w:p w14:paraId="0E360089" w14:textId="77777777" w:rsidR="00657C4E" w:rsidRDefault="00657C4E" w:rsidP="00657C4E">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Constitución Política de los Estados Unidos Mexicanos, artículo 16, párrafo primero, texto consultado con últimas reformas publicadas en el </w:t>
      </w:r>
      <w:r>
        <w:rPr>
          <w:rFonts w:ascii="Times New Roman" w:eastAsia="Times New Roman" w:hAnsi="Times New Roman" w:cs="Times New Roman"/>
          <w:i/>
          <w:sz w:val="20"/>
          <w:szCs w:val="20"/>
        </w:rPr>
        <w:t>Diario Oficial de la Federación</w:t>
      </w:r>
      <w:r>
        <w:rPr>
          <w:rFonts w:ascii="Times New Roman" w:eastAsia="Times New Roman" w:hAnsi="Times New Roman" w:cs="Times New Roman"/>
          <w:sz w:val="20"/>
          <w:szCs w:val="20"/>
        </w:rPr>
        <w:t xml:space="preserve"> el 2 de junio de 2026.</w:t>
      </w:r>
    </w:p>
  </w:footnote>
  <w:footnote w:id="138">
    <w:p w14:paraId="48BF3A6C" w14:textId="77777777" w:rsidR="00657C4E" w:rsidRDefault="00657C4E" w:rsidP="00657C4E">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Laudan, </w:t>
      </w:r>
      <w:r>
        <w:rPr>
          <w:rFonts w:ascii="Times New Roman" w:eastAsia="Times New Roman" w:hAnsi="Times New Roman" w:cs="Times New Roman"/>
          <w:i/>
          <w:sz w:val="20"/>
          <w:szCs w:val="20"/>
        </w:rPr>
        <w:t>Truth, Error, and Criminal Law</w:t>
      </w:r>
      <w:r>
        <w:rPr>
          <w:rFonts w:ascii="Times New Roman" w:eastAsia="Times New Roman" w:hAnsi="Times New Roman" w:cs="Times New Roman"/>
          <w:sz w:val="20"/>
          <w:szCs w:val="20"/>
        </w:rPr>
        <w:t>, cit., p. 51.</w:t>
      </w:r>
    </w:p>
  </w:footnote>
  <w:footnote w:id="139">
    <w:p w14:paraId="6B3112FB" w14:textId="77777777" w:rsidR="00657C4E" w:rsidRDefault="00657C4E" w:rsidP="00657C4E">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52.</w:t>
      </w:r>
    </w:p>
  </w:footnote>
  <w:footnote w:id="140">
    <w:p w14:paraId="54B2078A" w14:textId="77777777" w:rsidR="00657C4E" w:rsidRDefault="00657C4E" w:rsidP="00657C4E">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53.</w:t>
      </w:r>
    </w:p>
  </w:footnote>
  <w:footnote w:id="141">
    <w:p w14:paraId="4CD829C0" w14:textId="77777777" w:rsidR="00657C4E" w:rsidRDefault="00657C4E" w:rsidP="00657C4E">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80.</w:t>
      </w:r>
    </w:p>
  </w:footnote>
  <w:footnote w:id="142">
    <w:p w14:paraId="1BC684D1" w14:textId="77777777" w:rsidR="00657C4E" w:rsidRDefault="00657C4E" w:rsidP="00657C4E">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81.</w:t>
      </w:r>
    </w:p>
  </w:footnote>
  <w:footnote w:id="143">
    <w:p w14:paraId="29E20624" w14:textId="77777777" w:rsidR="00657C4E" w:rsidRDefault="00657C4E" w:rsidP="00657C4E">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82.</w:t>
      </w:r>
    </w:p>
  </w:footnote>
  <w:footnote w:id="144">
    <w:p w14:paraId="5F12601A" w14:textId="77777777" w:rsidR="00657C4E" w:rsidRDefault="00657C4E" w:rsidP="00657C4E">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González Lagier, </w:t>
      </w:r>
      <w:r>
        <w:rPr>
          <w:rFonts w:ascii="Times New Roman" w:eastAsia="Times New Roman" w:hAnsi="Times New Roman" w:cs="Times New Roman"/>
          <w:i/>
          <w:sz w:val="20"/>
          <w:szCs w:val="20"/>
        </w:rPr>
        <w:t>Quaestio facti</w:t>
      </w:r>
      <w:r>
        <w:rPr>
          <w:rFonts w:ascii="Times New Roman" w:eastAsia="Times New Roman" w:hAnsi="Times New Roman" w:cs="Times New Roman"/>
          <w:sz w:val="20"/>
          <w:szCs w:val="20"/>
        </w:rPr>
        <w:t>, cit., pp. 76-78.</w:t>
      </w:r>
    </w:p>
  </w:footnote>
  <w:footnote w:id="145">
    <w:p w14:paraId="5EFDBB28" w14:textId="77777777" w:rsidR="00657C4E" w:rsidRDefault="00657C4E" w:rsidP="00657C4E">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Ferrer Beltrán, </w:t>
      </w:r>
      <w:r>
        <w:rPr>
          <w:rFonts w:ascii="Times New Roman" w:eastAsia="Times New Roman" w:hAnsi="Times New Roman" w:cs="Times New Roman"/>
          <w:i/>
          <w:sz w:val="20"/>
          <w:szCs w:val="20"/>
        </w:rPr>
        <w:t>Prueba sin convicción</w:t>
      </w:r>
      <w:r>
        <w:rPr>
          <w:rFonts w:ascii="Times New Roman" w:eastAsia="Times New Roman" w:hAnsi="Times New Roman" w:cs="Times New Roman"/>
          <w:sz w:val="20"/>
          <w:szCs w:val="20"/>
        </w:rPr>
        <w:t>, cit., p. 177, nota 18.</w:t>
      </w:r>
    </w:p>
  </w:footnote>
  <w:footnote w:id="146">
    <w:p w14:paraId="4701D515" w14:textId="77777777" w:rsidR="00657C4E" w:rsidRDefault="00657C4E" w:rsidP="00657C4E">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Constitución Política de los Estados Unidos Mexicanos, artículo 20, apartado A, fracción VIII, y apartado B, fracción I.</w:t>
      </w:r>
    </w:p>
  </w:footnote>
  <w:footnote w:id="147">
    <w:p w14:paraId="2C586185" w14:textId="77777777" w:rsidR="00657C4E" w:rsidRDefault="00657C4E" w:rsidP="00657C4E">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Código Nacional de Procedimientos Penales, artículos 359 y 402.</w:t>
      </w:r>
    </w:p>
  </w:footnote>
  <w:footnote w:id="148">
    <w:p w14:paraId="55A1EB74" w14:textId="77777777" w:rsidR="00657C4E" w:rsidRDefault="00657C4E" w:rsidP="00657C4E">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Ferrer Beltrán, </w:t>
      </w:r>
      <w:r>
        <w:rPr>
          <w:rFonts w:ascii="Times New Roman" w:eastAsia="Times New Roman" w:hAnsi="Times New Roman" w:cs="Times New Roman"/>
          <w:i/>
          <w:sz w:val="20"/>
          <w:szCs w:val="20"/>
        </w:rPr>
        <w:t>Prueba sin convicción</w:t>
      </w:r>
      <w:r>
        <w:rPr>
          <w:rFonts w:ascii="Times New Roman" w:eastAsia="Times New Roman" w:hAnsi="Times New Roman" w:cs="Times New Roman"/>
          <w:sz w:val="20"/>
          <w:szCs w:val="20"/>
        </w:rPr>
        <w:t>, cit., p. 30.</w:t>
      </w:r>
    </w:p>
  </w:footnote>
  <w:footnote w:id="149">
    <w:p w14:paraId="3FD2AD90" w14:textId="77777777" w:rsidR="00657C4E" w:rsidRDefault="00657C4E" w:rsidP="00657C4E">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Nieva-</w:t>
      </w:r>
      <w:proofErr w:type="spellStart"/>
      <w:r>
        <w:rPr>
          <w:rFonts w:ascii="Times New Roman" w:eastAsia="Times New Roman" w:hAnsi="Times New Roman" w:cs="Times New Roman"/>
          <w:sz w:val="20"/>
          <w:szCs w:val="20"/>
        </w:rPr>
        <w:t>Fenoll</w:t>
      </w:r>
      <w:proofErr w:type="spellEnd"/>
      <w:r>
        <w:rPr>
          <w:rFonts w:ascii="Times New Roman" w:eastAsia="Times New Roman" w:hAnsi="Times New Roman" w:cs="Times New Roman"/>
          <w:sz w:val="20"/>
          <w:szCs w:val="20"/>
        </w:rPr>
        <w:t>, Carga de la prueba y estándares de prueba, cit., p. 131, nota 54.</w:t>
      </w:r>
    </w:p>
  </w:footnote>
  <w:footnote w:id="150">
    <w:p w14:paraId="105940C9" w14:textId="77777777" w:rsidR="00657C4E" w:rsidRDefault="00657C4E" w:rsidP="00657C4E">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Martínez-Garza, Julio César, La duda razonable como estándar de prueba en el proceso penal. Fundamentos, alcances y límites, </w:t>
      </w:r>
      <w:r>
        <w:rPr>
          <w:rFonts w:ascii="Times New Roman" w:eastAsia="Times New Roman" w:hAnsi="Times New Roman" w:cs="Times New Roman"/>
          <w:i/>
          <w:sz w:val="20"/>
          <w:szCs w:val="20"/>
        </w:rPr>
        <w:t>Revista Penal México</w:t>
      </w:r>
      <w:r>
        <w:rPr>
          <w:rFonts w:ascii="Times New Roman" w:eastAsia="Times New Roman" w:hAnsi="Times New Roman" w:cs="Times New Roman"/>
          <w:sz w:val="20"/>
          <w:szCs w:val="20"/>
        </w:rPr>
        <w:t>, núm. 27, julio-diciembre de 2025, p. 97, donde cita la tesis P./J. 8/2023 (11a.), registro digital 2027822.</w:t>
      </w:r>
    </w:p>
  </w:footnote>
  <w:footnote w:id="151">
    <w:p w14:paraId="4B171FD5" w14:textId="77777777" w:rsidR="00657C4E" w:rsidRDefault="00657C4E" w:rsidP="00657C4E">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98.</w:t>
      </w:r>
    </w:p>
  </w:footnote>
  <w:footnote w:id="152">
    <w:p w14:paraId="512D0CCA" w14:textId="77777777" w:rsidR="00657C4E" w:rsidRDefault="00657C4E" w:rsidP="00657C4E">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xml:space="preserve">, p. </w:t>
      </w:r>
      <w:r>
        <w:rPr>
          <w:rFonts w:ascii="Times New Roman" w:eastAsia="Times New Roman" w:hAnsi="Times New Roman" w:cs="Times New Roman"/>
          <w:sz w:val="20"/>
          <w:szCs w:val="20"/>
        </w:rPr>
        <w:t xml:space="preserve">98</w:t>
      </w:r>
      <w:r>
        <w:rPr>
          <w:rFonts w:ascii="Times New Roman" w:eastAsia="Times New Roman" w:hAnsi="Times New Roman" w:cs="Times New Roman"/>
          <w:sz w:val="20"/>
          <w:szCs w:val="20"/>
        </w:rPr>
        <w:t xml:space="preserve">.</w:t>
      </w:r>
    </w:p>
  </w:footnote>
  <w:footnote w:id="153">
    <w:p w14:paraId="48507620" w14:textId="77777777" w:rsidR="00657C4E" w:rsidRDefault="00657C4E" w:rsidP="00657C4E">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Constitución Política de los Estados Unidos Mexicanos, artículo 41, base VI.</w:t>
      </w:r>
    </w:p>
  </w:footnote>
  <w:footnote w:id="154">
    <w:p w14:paraId="51D0942C" w14:textId="77777777" w:rsidR="00657C4E" w:rsidRDefault="00657C4E" w:rsidP="00657C4E">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Ley General del Sistema de Medios de Impugnación en Materia Electoral, artículos 75, párrafo 1, inciso k), 77 Ter, párrafo 2, 78, párrafo 1, y 78 bis, párrafo 2.</w:t>
      </w:r>
    </w:p>
  </w:footnote>
  <w:footnote w:id="155">
    <w:p w14:paraId="49D14110" w14:textId="77777777" w:rsidR="00657C4E" w:rsidRDefault="00657C4E" w:rsidP="00657C4E">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Jurisprudencia 44/2024, NULIDAD DE LA ELECCIÓN. ELEMENTOS O CONDICIONES QUE SE DEBEN ACREDITAR CUANDO SE SOLICITA POR VIOLACIÓN A PRINCIPIOS O PRECEPTOS CONSTITUCIONALES, </w:t>
      </w:r>
      <w:r>
        <w:rPr>
          <w:rFonts w:ascii="Times New Roman" w:eastAsia="Times New Roman" w:hAnsi="Times New Roman" w:cs="Times New Roman"/>
          <w:i/>
          <w:sz w:val="20"/>
          <w:szCs w:val="20"/>
        </w:rPr>
        <w:t>Gaceta Jurisprudencia y Tesis en materia electoral</w:t>
      </w:r>
      <w:r>
        <w:rPr>
          <w:rFonts w:ascii="Times New Roman" w:eastAsia="Times New Roman" w:hAnsi="Times New Roman" w:cs="Times New Roman"/>
          <w:sz w:val="20"/>
          <w:szCs w:val="20"/>
        </w:rPr>
        <w:t>, Tribunal Electoral del Poder Judicial de la Federación, año 17, núm. 29, 2024, pp. 149-151.</w:t>
      </w:r>
    </w:p>
  </w:footnote>
  <w:footnote w:id="156">
    <w:p w14:paraId="7BB9DDEC" w14:textId="77777777" w:rsidR="00657C4E" w:rsidRDefault="00657C4E" w:rsidP="00657C4E">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Sala Superior del Tribunal Electoral del Poder Judicial de la Federación, SUP-JIN-194/2025 y acumulados, sentencia de 20 de agosto de 2025, párrafo 39, p. </w:t>
      </w:r>
      <w:r>
        <w:rPr>
          <w:rFonts w:ascii="Times New Roman" w:eastAsia="Times New Roman" w:hAnsi="Times New Roman" w:cs="Times New Roman"/>
          <w:sz w:val="20"/>
          <w:szCs w:val="20"/>
        </w:rPr>
        <w:t xml:space="preserve">8</w:t>
      </w:r>
      <w:r>
        <w:rPr>
          <w:rFonts w:ascii="Times New Roman" w:eastAsia="Times New Roman" w:hAnsi="Times New Roman" w:cs="Times New Roman"/>
          <w:sz w:val="20"/>
          <w:szCs w:val="20"/>
        </w:rPr>
        <w:t xml:space="preserve">.</w:t>
      </w:r>
    </w:p>
  </w:footnote>
  <w:footnote w:id="157">
    <w:p w14:paraId="2483A225" w14:textId="77777777" w:rsidR="00657C4E" w:rsidRDefault="00657C4E" w:rsidP="00657C4E">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xml:space="preserve">, párrafo 45, p. </w:t>
      </w:r>
      <w:r>
        <w:rPr>
          <w:rFonts w:ascii="Times New Roman" w:eastAsia="Times New Roman" w:hAnsi="Times New Roman" w:cs="Times New Roman"/>
          <w:sz w:val="20"/>
          <w:szCs w:val="20"/>
        </w:rPr>
        <w:t xml:space="preserve">9</w:t>
      </w:r>
      <w:r>
        <w:rPr>
          <w:rFonts w:ascii="Times New Roman" w:eastAsia="Times New Roman" w:hAnsi="Times New Roman" w:cs="Times New Roman"/>
          <w:sz w:val="20"/>
          <w:szCs w:val="20"/>
        </w:rPr>
        <w:t xml:space="preserve">.</w:t>
      </w:r>
    </w:p>
  </w:footnote>
  <w:footnote w:id="158">
    <w:p w14:paraId="68F01F35" w14:textId="77777777" w:rsidR="00657C4E" w:rsidRDefault="00657C4E" w:rsidP="00657C4E">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xml:space="preserve">, párrafo 50, p. </w:t>
      </w:r>
      <w:r>
        <w:rPr>
          <w:rFonts w:ascii="Times New Roman" w:eastAsia="Times New Roman" w:hAnsi="Times New Roman" w:cs="Times New Roman"/>
          <w:sz w:val="20"/>
          <w:szCs w:val="20"/>
        </w:rPr>
        <w:t xml:space="preserve">11</w:t>
      </w:r>
      <w:r>
        <w:rPr>
          <w:rFonts w:ascii="Times New Roman" w:eastAsia="Times New Roman" w:hAnsi="Times New Roman" w:cs="Times New Roman"/>
          <w:sz w:val="20"/>
          <w:szCs w:val="20"/>
        </w:rPr>
        <w:t xml:space="preserve">.</w:t>
      </w:r>
    </w:p>
  </w:footnote>
  <w:footnote w:id="159">
    <w:p w14:paraId="5EEA362E" w14:textId="77777777" w:rsidR="00657C4E" w:rsidRDefault="00657C4E" w:rsidP="00657C4E">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Sala Superior del Tribunal Electoral del Poder Judicial de la Federación, SUP-REC-1388/2018, cit., p. 46.</w:t>
      </w:r>
    </w:p>
  </w:footnote>
  <w:footnote w:id="160">
    <w:p w14:paraId="5A2D5B33" w14:textId="77777777" w:rsidR="00657C4E" w:rsidRDefault="00657C4E" w:rsidP="00657C4E">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Ferrer Beltrán, </w:t>
      </w:r>
      <w:r>
        <w:rPr>
          <w:rFonts w:ascii="Times New Roman" w:eastAsia="Times New Roman" w:hAnsi="Times New Roman" w:cs="Times New Roman"/>
          <w:i/>
          <w:sz w:val="20"/>
          <w:szCs w:val="20"/>
        </w:rPr>
        <w:t>Prueba sin convicción</w:t>
      </w:r>
      <w:r>
        <w:rPr>
          <w:rFonts w:ascii="Times New Roman" w:eastAsia="Times New Roman" w:hAnsi="Times New Roman" w:cs="Times New Roman"/>
          <w:sz w:val="20"/>
          <w:szCs w:val="20"/>
        </w:rPr>
        <w:t>, cit., p. 28.</w:t>
      </w:r>
    </w:p>
  </w:footnote>
  <w:footnote w:id="161">
    <w:p w14:paraId="1910A13A" w14:textId="77777777" w:rsidR="00657C4E" w:rsidRDefault="00657C4E" w:rsidP="00657C4E">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Ferrer Beltrán, </w:t>
      </w:r>
      <w:r>
        <w:rPr>
          <w:rFonts w:ascii="Times New Roman" w:eastAsia="Times New Roman" w:hAnsi="Times New Roman" w:cs="Times New Roman"/>
          <w:i/>
          <w:sz w:val="20"/>
          <w:szCs w:val="20"/>
        </w:rPr>
        <w:t>Prueba sin convicción</w:t>
      </w:r>
      <w:r>
        <w:rPr>
          <w:rFonts w:ascii="Times New Roman" w:eastAsia="Times New Roman" w:hAnsi="Times New Roman" w:cs="Times New Roman"/>
          <w:sz w:val="20"/>
          <w:szCs w:val="20"/>
        </w:rPr>
        <w:t>, cit., p. 28.</w:t>
      </w:r>
    </w:p>
  </w:footnote>
  <w:footnote w:id="162">
    <w:p w14:paraId="2E05DE8D" w14:textId="77777777" w:rsidR="00657C4E" w:rsidRDefault="00657C4E" w:rsidP="00657C4E">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114.</w:t>
      </w:r>
    </w:p>
  </w:footnote>
  <w:footnote w:id="163">
    <w:p w14:paraId="32378EB5" w14:textId="77777777" w:rsidR="00657C4E" w:rsidRDefault="00657C4E" w:rsidP="00657C4E">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192, nota 66.</w:t>
      </w:r>
    </w:p>
  </w:footnote>
  <w:footnote w:id="164">
    <w:p w14:paraId="186A742C" w14:textId="77777777" w:rsidR="00657C4E" w:rsidRDefault="00657C4E" w:rsidP="00657C4E">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Jurisprudencia 9/98, PRINCIPIO DE CONSERVACIÓN DE LOS ACTOS PÚBLICOS VÁLIDAMENTE CELEBRADOS. SU APLICACIÓN EN LA DETERMINACIÓN DE LA NULIDAD DE CIERTA VOTACIÓN, CÓMPUTO O ELECCIÓN, </w:t>
      </w:r>
      <w:r>
        <w:rPr>
          <w:rFonts w:ascii="Times New Roman" w:eastAsia="Times New Roman" w:hAnsi="Times New Roman" w:cs="Times New Roman"/>
          <w:i/>
          <w:sz w:val="20"/>
          <w:szCs w:val="20"/>
        </w:rPr>
        <w:t>Justicia Electoral. Revista del Tribunal Electoral del Poder Judicial de la Federación</w:t>
      </w:r>
      <w:r>
        <w:rPr>
          <w:rFonts w:ascii="Times New Roman" w:eastAsia="Times New Roman" w:hAnsi="Times New Roman" w:cs="Times New Roman"/>
          <w:sz w:val="20"/>
          <w:szCs w:val="20"/>
        </w:rPr>
        <w:t>, suplemento 2, 1998, pp. 19 y 20.</w:t>
      </w:r>
    </w:p>
  </w:footnote>
  <w:footnote w:id="165">
    <w:p w14:paraId="46F77B39" w14:textId="77777777" w:rsidR="00657C4E" w:rsidRDefault="00657C4E" w:rsidP="00657C4E">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Ferrer Beltrán, </w:t>
      </w:r>
      <w:r>
        <w:rPr>
          <w:rFonts w:ascii="Times New Roman" w:eastAsia="Times New Roman" w:hAnsi="Times New Roman" w:cs="Times New Roman"/>
          <w:i/>
          <w:sz w:val="20"/>
          <w:szCs w:val="20"/>
        </w:rPr>
        <w:t>Prueba sin convicción</w:t>
      </w:r>
      <w:r>
        <w:rPr>
          <w:rFonts w:ascii="Times New Roman" w:eastAsia="Times New Roman" w:hAnsi="Times New Roman" w:cs="Times New Roman"/>
          <w:sz w:val="20"/>
          <w:szCs w:val="20"/>
        </w:rPr>
        <w:t>, cit., p. 114.</w:t>
      </w:r>
    </w:p>
  </w:footnote>
  <w:footnote w:id="166">
    <w:p w14:paraId="1F3F1F3D" w14:textId="77777777" w:rsidR="00657C4E" w:rsidRDefault="00657C4E" w:rsidP="00657C4E">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Ferrer Beltrán, </w:t>
      </w:r>
      <w:r>
        <w:rPr>
          <w:rFonts w:ascii="Times New Roman" w:eastAsia="Times New Roman" w:hAnsi="Times New Roman" w:cs="Times New Roman"/>
          <w:i/>
          <w:sz w:val="20"/>
          <w:szCs w:val="20"/>
        </w:rPr>
        <w:t>Prueba sin convicción</w:t>
      </w:r>
      <w:r>
        <w:rPr>
          <w:rFonts w:ascii="Times New Roman" w:eastAsia="Times New Roman" w:hAnsi="Times New Roman" w:cs="Times New Roman"/>
          <w:sz w:val="20"/>
          <w:szCs w:val="20"/>
        </w:rPr>
        <w:t>, cit., p. 29.</w:t>
      </w:r>
    </w:p>
  </w:footnote>
  <w:footnote w:id="167">
    <w:p w14:paraId="539E1F5B" w14:textId="77777777" w:rsidR="00657C4E" w:rsidRDefault="00657C4E" w:rsidP="00657C4E">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pp. 29 y 30.</w:t>
      </w:r>
    </w:p>
  </w:footnote>
  <w:footnote w:id="168">
    <w:p w14:paraId="0F11BF93" w14:textId="77777777" w:rsidR="00E22D4B" w:rsidRDefault="00E22D4B" w:rsidP="00E22D4B">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Ferrer Beltrán, Jordi, </w:t>
      </w:r>
      <w:r>
        <w:rPr>
          <w:rFonts w:ascii="Times New Roman" w:eastAsia="Times New Roman" w:hAnsi="Times New Roman" w:cs="Times New Roman"/>
          <w:i/>
          <w:sz w:val="20"/>
          <w:szCs w:val="20"/>
        </w:rPr>
        <w:t>Prueba sin convicción. Estándares de prueba y debido proceso</w:t>
      </w:r>
      <w:r>
        <w:rPr>
          <w:rFonts w:ascii="Times New Roman" w:eastAsia="Times New Roman" w:hAnsi="Times New Roman" w:cs="Times New Roman"/>
          <w:sz w:val="20"/>
          <w:szCs w:val="20"/>
        </w:rPr>
        <w:t>, Madrid, Marcial Pons, 2021, p. 29.</w:t>
      </w:r>
    </w:p>
  </w:footnote>
  <w:footnote w:id="169">
    <w:p w14:paraId="36EF2034" w14:textId="77777777" w:rsidR="00E22D4B" w:rsidRDefault="00E22D4B" w:rsidP="00E22D4B">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29.</w:t>
      </w:r>
    </w:p>
  </w:footnote>
  <w:footnote w:id="170">
    <w:p w14:paraId="0EB32E68" w14:textId="77777777" w:rsidR="00E22D4B" w:rsidRDefault="00E22D4B" w:rsidP="00E22D4B">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29, nota 1.</w:t>
      </w:r>
    </w:p>
  </w:footnote>
  <w:footnote w:id="171">
    <w:p w14:paraId="0B07F226" w14:textId="77777777" w:rsidR="00E22D4B" w:rsidRDefault="00E22D4B" w:rsidP="00E22D4B">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29.</w:t>
      </w:r>
    </w:p>
  </w:footnote>
  <w:footnote w:id="172">
    <w:p w14:paraId="4AE14F48" w14:textId="77777777" w:rsidR="00E22D4B" w:rsidRDefault="00E22D4B" w:rsidP="00E22D4B">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pp. 29 y 30.</w:t>
      </w:r>
    </w:p>
  </w:footnote>
  <w:footnote w:id="173">
    <w:p w14:paraId="40AB4ED4" w14:textId="77777777" w:rsidR="00E22D4B" w:rsidRDefault="00E22D4B" w:rsidP="00E22D4B">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Constitución Política de los Estados Unidos Mexicanos, artículo 20, apartado A, fracción VIII, texto consultado con últimas reformas publicadas en el </w:t>
      </w:r>
      <w:r>
        <w:rPr>
          <w:rFonts w:ascii="Times New Roman" w:eastAsia="Times New Roman" w:hAnsi="Times New Roman" w:cs="Times New Roman"/>
          <w:i/>
          <w:sz w:val="20"/>
          <w:szCs w:val="20"/>
        </w:rPr>
        <w:t>Diario Oficial de la Federación</w:t>
      </w:r>
      <w:r>
        <w:rPr>
          <w:rFonts w:ascii="Times New Roman" w:eastAsia="Times New Roman" w:hAnsi="Times New Roman" w:cs="Times New Roman"/>
          <w:sz w:val="20"/>
          <w:szCs w:val="20"/>
        </w:rPr>
        <w:t xml:space="preserve"> el 2 de junio de 2026.</w:t>
      </w:r>
    </w:p>
  </w:footnote>
  <w:footnote w:id="174">
    <w:p w14:paraId="06FBF469" w14:textId="77777777" w:rsidR="00E22D4B" w:rsidRDefault="00E22D4B" w:rsidP="00E22D4B">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Código Nacional de Procedimientos Penales, artículo 402, texto consultado con última reforma publicada en el </w:t>
      </w:r>
      <w:r>
        <w:rPr>
          <w:rFonts w:ascii="Times New Roman" w:eastAsia="Times New Roman" w:hAnsi="Times New Roman" w:cs="Times New Roman"/>
          <w:i/>
          <w:sz w:val="20"/>
          <w:szCs w:val="20"/>
        </w:rPr>
        <w:t>Diario Oficial de la Federación</w:t>
      </w:r>
      <w:r>
        <w:rPr>
          <w:rFonts w:ascii="Times New Roman" w:eastAsia="Times New Roman" w:hAnsi="Times New Roman" w:cs="Times New Roman"/>
          <w:sz w:val="20"/>
          <w:szCs w:val="20"/>
        </w:rPr>
        <w:t xml:space="preserve"> el 28 de noviembre de 2025.</w:t>
      </w:r>
    </w:p>
  </w:footnote>
  <w:footnote w:id="175">
    <w:p w14:paraId="0ADC0803" w14:textId="77777777" w:rsidR="00E22D4B" w:rsidRDefault="00E22D4B" w:rsidP="00E22D4B">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Ferrer Beltrán, </w:t>
      </w:r>
      <w:r>
        <w:rPr>
          <w:rFonts w:ascii="Times New Roman" w:eastAsia="Times New Roman" w:hAnsi="Times New Roman" w:cs="Times New Roman"/>
          <w:i/>
          <w:sz w:val="20"/>
          <w:szCs w:val="20"/>
        </w:rPr>
        <w:t>Prueba sin convicción</w:t>
      </w:r>
      <w:r>
        <w:rPr>
          <w:rFonts w:ascii="Times New Roman" w:eastAsia="Times New Roman" w:hAnsi="Times New Roman" w:cs="Times New Roman"/>
          <w:sz w:val="20"/>
          <w:szCs w:val="20"/>
        </w:rPr>
        <w:t>, cit., p. 32.</w:t>
      </w:r>
    </w:p>
  </w:footnote>
  <w:footnote w:id="176">
    <w:p w14:paraId="362C007B" w14:textId="77777777" w:rsidR="00E22D4B" w:rsidRDefault="00E22D4B" w:rsidP="00E22D4B">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33.</w:t>
      </w:r>
    </w:p>
  </w:footnote>
  <w:footnote w:id="177">
    <w:p w14:paraId="511B3AA9" w14:textId="77777777" w:rsidR="00E22D4B" w:rsidRDefault="00E22D4B" w:rsidP="00E22D4B">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Laudan, Larry, </w:t>
      </w:r>
      <w:r>
        <w:rPr>
          <w:rFonts w:ascii="Times New Roman" w:eastAsia="Times New Roman" w:hAnsi="Times New Roman" w:cs="Times New Roman"/>
          <w:i/>
          <w:sz w:val="20"/>
          <w:szCs w:val="20"/>
        </w:rPr>
        <w:t xml:space="preserve">Truth, Error, and Criminal Law. </w:t>
      </w:r>
      <w:proofErr w:type="spellStart"/>
      <w:r>
        <w:rPr>
          <w:rFonts w:ascii="Times New Roman" w:eastAsia="Times New Roman" w:hAnsi="Times New Roman" w:cs="Times New Roman"/>
          <w:i/>
          <w:sz w:val="20"/>
          <w:szCs w:val="20"/>
        </w:rPr>
        <w:t>An</w:t>
      </w:r>
      <w:proofErr w:type="spellEnd"/>
      <w:r>
        <w:rPr>
          <w:rFonts w:ascii="Times New Roman" w:eastAsia="Times New Roman" w:hAnsi="Times New Roman" w:cs="Times New Roman"/>
          <w:i/>
          <w:sz w:val="20"/>
          <w:szCs w:val="20"/>
        </w:rPr>
        <w:t xml:space="preserve"> Essay in Legal </w:t>
      </w:r>
      <w:proofErr w:type="spellStart"/>
      <w:r>
        <w:rPr>
          <w:rFonts w:ascii="Times New Roman" w:eastAsia="Times New Roman" w:hAnsi="Times New Roman" w:cs="Times New Roman"/>
          <w:i/>
          <w:sz w:val="20"/>
          <w:szCs w:val="20"/>
        </w:rPr>
        <w:t>Epistemology</w:t>
      </w:r>
      <w:proofErr w:type="spellEnd"/>
      <w:r>
        <w:rPr>
          <w:rFonts w:ascii="Times New Roman" w:eastAsia="Times New Roman" w:hAnsi="Times New Roman" w:cs="Times New Roman"/>
          <w:sz w:val="20"/>
          <w:szCs w:val="20"/>
        </w:rPr>
        <w:t xml:space="preserve">, Cambridge, Cambridge </w:t>
      </w:r>
      <w:proofErr w:type="spellStart"/>
      <w:r>
        <w:rPr>
          <w:rFonts w:ascii="Times New Roman" w:eastAsia="Times New Roman" w:hAnsi="Times New Roman" w:cs="Times New Roman"/>
          <w:sz w:val="20"/>
          <w:szCs w:val="20"/>
        </w:rPr>
        <w:t>University</w:t>
      </w:r>
      <w:proofErr w:type="spellEnd"/>
      <w:r>
        <w:rPr>
          <w:rFonts w:ascii="Times New Roman" w:eastAsia="Times New Roman" w:hAnsi="Times New Roman" w:cs="Times New Roman"/>
          <w:sz w:val="20"/>
          <w:szCs w:val="20"/>
        </w:rPr>
        <w:t xml:space="preserve"> Press, 2006, pp. 51-53.</w:t>
      </w:r>
    </w:p>
  </w:footnote>
  <w:footnote w:id="178">
    <w:p w14:paraId="1CA64647" w14:textId="77777777" w:rsidR="00E22D4B" w:rsidRDefault="00E22D4B" w:rsidP="00E22D4B">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Ferrer Beltrán, </w:t>
      </w:r>
      <w:r>
        <w:rPr>
          <w:rFonts w:ascii="Times New Roman" w:eastAsia="Times New Roman" w:hAnsi="Times New Roman" w:cs="Times New Roman"/>
          <w:i/>
          <w:sz w:val="20"/>
          <w:szCs w:val="20"/>
        </w:rPr>
        <w:t>Prueba sin convicción</w:t>
      </w:r>
      <w:r>
        <w:rPr>
          <w:rFonts w:ascii="Times New Roman" w:eastAsia="Times New Roman" w:hAnsi="Times New Roman" w:cs="Times New Roman"/>
          <w:sz w:val="20"/>
          <w:szCs w:val="20"/>
        </w:rPr>
        <w:t>, cit., p. 31, nota 4, donde cita la sentencia de 26 de noviembre de 2014 dictada en el amparo directo en revisión 3457/2013 y la tesis 1a. CCXVIII/2015, registro digital 2009462.</w:t>
      </w:r>
    </w:p>
  </w:footnote>
  <w:footnote w:id="179">
    <w:p w14:paraId="31E2E650" w14:textId="77777777" w:rsidR="00E22D4B" w:rsidRDefault="00E22D4B" w:rsidP="00E22D4B">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Ley General del Sistema de Medios de Impugnación en Materia Electoral, artículo 16, párrafo 3, texto consultado con última reforma publicada en el </w:t>
      </w:r>
      <w:r>
        <w:rPr>
          <w:rFonts w:ascii="Times New Roman" w:eastAsia="Times New Roman" w:hAnsi="Times New Roman" w:cs="Times New Roman"/>
          <w:i/>
          <w:sz w:val="20"/>
          <w:szCs w:val="20"/>
        </w:rPr>
        <w:t>Diario Oficial de la Federación</w:t>
      </w:r>
      <w:r>
        <w:rPr>
          <w:rFonts w:ascii="Times New Roman" w:eastAsia="Times New Roman" w:hAnsi="Times New Roman" w:cs="Times New Roman"/>
          <w:sz w:val="20"/>
          <w:szCs w:val="20"/>
        </w:rPr>
        <w:t xml:space="preserve"> el 14 de noviembre de 2025.</w:t>
      </w:r>
    </w:p>
  </w:footnote>
  <w:footnote w:id="180">
    <w:p w14:paraId="68AA60B4" w14:textId="77777777" w:rsidR="00E22D4B" w:rsidRDefault="00E22D4B" w:rsidP="00E22D4B">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Ferrer Beltrán, </w:t>
      </w:r>
      <w:r>
        <w:rPr>
          <w:rFonts w:ascii="Times New Roman" w:eastAsia="Times New Roman" w:hAnsi="Times New Roman" w:cs="Times New Roman"/>
          <w:i/>
          <w:sz w:val="20"/>
          <w:szCs w:val="20"/>
        </w:rPr>
        <w:t>Prueba sin convicción</w:t>
      </w:r>
      <w:r>
        <w:rPr>
          <w:rFonts w:ascii="Times New Roman" w:eastAsia="Times New Roman" w:hAnsi="Times New Roman" w:cs="Times New Roman"/>
          <w:sz w:val="20"/>
          <w:szCs w:val="20"/>
        </w:rPr>
        <w:t>, cit., pp. 33 y 34.</w:t>
      </w:r>
    </w:p>
  </w:footnote>
  <w:footnote w:id="181">
    <w:p w14:paraId="6B4CCAD4" w14:textId="77777777" w:rsidR="00E22D4B" w:rsidRDefault="00E22D4B" w:rsidP="00E22D4B">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34.</w:t>
      </w:r>
    </w:p>
  </w:footnote>
  <w:footnote w:id="182">
    <w:p w14:paraId="7C0E275D" w14:textId="77777777" w:rsidR="00E22D4B" w:rsidRDefault="00E22D4B" w:rsidP="00E22D4B">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35.</w:t>
      </w:r>
    </w:p>
  </w:footnote>
  <w:footnote w:id="183">
    <w:p w14:paraId="460920D5" w14:textId="77777777" w:rsidR="00E22D4B" w:rsidRDefault="00E22D4B" w:rsidP="00E22D4B">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xml:space="preserve">, p. 35, donde cita </w:t>
      </w:r>
      <w:r>
        <w:rPr>
          <w:rFonts w:ascii="Times New Roman" w:eastAsia="Times New Roman" w:hAnsi="Times New Roman" w:cs="Times New Roman"/>
          <w:i/>
          <w:sz w:val="20"/>
          <w:szCs w:val="20"/>
        </w:rPr>
        <w:t xml:space="preserve">Khawaja v. </w:t>
      </w:r>
      <w:proofErr w:type="spellStart"/>
      <w:r>
        <w:rPr>
          <w:rFonts w:ascii="Times New Roman" w:eastAsia="Times New Roman" w:hAnsi="Times New Roman" w:cs="Times New Roman"/>
          <w:i/>
          <w:sz w:val="20"/>
          <w:szCs w:val="20"/>
        </w:rPr>
        <w:t>Secretary</w:t>
      </w:r>
      <w:proofErr w:type="spellEnd"/>
      <w:r>
        <w:rPr>
          <w:rFonts w:ascii="Times New Roman" w:eastAsia="Times New Roman" w:hAnsi="Times New Roman" w:cs="Times New Roman"/>
          <w:i/>
          <w:sz w:val="20"/>
          <w:szCs w:val="20"/>
        </w:rPr>
        <w:t xml:space="preserve"> of State </w:t>
      </w:r>
      <w:proofErr w:type="spellStart"/>
      <w:r>
        <w:rPr>
          <w:rFonts w:ascii="Times New Roman" w:eastAsia="Times New Roman" w:hAnsi="Times New Roman" w:cs="Times New Roman"/>
          <w:i/>
          <w:sz w:val="20"/>
          <w:szCs w:val="20"/>
        </w:rPr>
        <w:t>for</w:t>
      </w:r>
      <w:proofErr w:type="spellEnd"/>
      <w:r>
        <w:rPr>
          <w:rFonts w:ascii="Times New Roman" w:eastAsia="Times New Roman" w:hAnsi="Times New Roman" w:cs="Times New Roman"/>
          <w:i/>
          <w:sz w:val="20"/>
          <w:szCs w:val="20"/>
        </w:rPr>
        <w:t xml:space="preserve"> </w:t>
      </w:r>
      <w:proofErr w:type="spellStart"/>
      <w:r>
        <w:rPr>
          <w:rFonts w:ascii="Times New Roman" w:eastAsia="Times New Roman" w:hAnsi="Times New Roman" w:cs="Times New Roman"/>
          <w:i/>
          <w:sz w:val="20"/>
          <w:szCs w:val="20"/>
        </w:rPr>
        <w:t>the</w:t>
      </w:r>
      <w:proofErr w:type="spellEnd"/>
      <w:r>
        <w:rPr>
          <w:rFonts w:ascii="Times New Roman" w:eastAsia="Times New Roman" w:hAnsi="Times New Roman" w:cs="Times New Roman"/>
          <w:i/>
          <w:sz w:val="20"/>
          <w:szCs w:val="20"/>
        </w:rPr>
        <w:t xml:space="preserve"> Home Office</w:t>
      </w:r>
      <w:r>
        <w:rPr>
          <w:rFonts w:ascii="Times New Roman" w:eastAsia="Times New Roman" w:hAnsi="Times New Roman" w:cs="Times New Roman"/>
          <w:sz w:val="20"/>
          <w:szCs w:val="20"/>
        </w:rPr>
        <w:t xml:space="preserve"> [1984] AC 74, HL, a través de Roberts y Zuckerman.</w:t>
      </w:r>
    </w:p>
  </w:footnote>
  <w:footnote w:id="184">
    <w:p w14:paraId="673D6391" w14:textId="77777777" w:rsidR="00E22D4B" w:rsidRDefault="00E22D4B" w:rsidP="00E22D4B">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34, nota 15, donde remite a Posner.</w:t>
      </w:r>
    </w:p>
  </w:footnote>
  <w:footnote w:id="185">
    <w:p w14:paraId="3921A9DD" w14:textId="77777777" w:rsidR="00E22D4B" w:rsidRDefault="00E22D4B" w:rsidP="00E22D4B">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35.</w:t>
      </w:r>
    </w:p>
  </w:footnote>
  <w:footnote w:id="186">
    <w:p w14:paraId="5B7E443F" w14:textId="77777777" w:rsidR="00E22D4B" w:rsidRDefault="00E22D4B" w:rsidP="00E22D4B">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pp. 35-43.</w:t>
      </w:r>
    </w:p>
  </w:footnote>
  <w:footnote w:id="187">
    <w:p w14:paraId="160D113C" w14:textId="77777777" w:rsidR="00E22D4B" w:rsidRDefault="00E22D4B" w:rsidP="00E22D4B">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pp. 38 y 39.</w:t>
      </w:r>
    </w:p>
  </w:footnote>
  <w:footnote w:id="188">
    <w:p w14:paraId="0E5AF74D" w14:textId="77777777" w:rsidR="00E22D4B" w:rsidRDefault="00E22D4B" w:rsidP="00E22D4B">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40.</w:t>
      </w:r>
    </w:p>
  </w:footnote>
  <w:footnote w:id="189">
    <w:p w14:paraId="52CE09E8" w14:textId="77777777" w:rsidR="00E22D4B" w:rsidRDefault="00E22D4B" w:rsidP="00E22D4B">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pp. 40-43.</w:t>
      </w:r>
    </w:p>
  </w:footnote>
  <w:footnote w:id="190">
    <w:p w14:paraId="455EE751" w14:textId="77777777" w:rsidR="00E22D4B" w:rsidRDefault="00E22D4B" w:rsidP="00E22D4B">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43.</w:t>
      </w:r>
    </w:p>
  </w:footnote>
  <w:footnote w:id="191">
    <w:p w14:paraId="64DCE6B0" w14:textId="77777777" w:rsidR="00E22D4B" w:rsidRDefault="00E22D4B" w:rsidP="00E22D4B">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44.</w:t>
      </w:r>
    </w:p>
  </w:footnote>
  <w:footnote w:id="192">
    <w:p w14:paraId="098AED18" w14:textId="77777777" w:rsidR="00E22D4B" w:rsidRDefault="00E22D4B" w:rsidP="00E22D4B">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pp. 44-53.</w:t>
      </w:r>
    </w:p>
  </w:footnote>
  <w:footnote w:id="193">
    <w:p w14:paraId="31B66E90" w14:textId="77777777" w:rsidR="00E22D4B" w:rsidRDefault="00E22D4B" w:rsidP="00E22D4B">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53.</w:t>
      </w:r>
    </w:p>
  </w:footnote>
  <w:footnote w:id="194">
    <w:p w14:paraId="3EBC50AC" w14:textId="77777777" w:rsidR="00E22D4B" w:rsidRDefault="00E22D4B" w:rsidP="00E22D4B">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65.</w:t>
      </w:r>
    </w:p>
  </w:footnote>
  <w:footnote w:id="195">
    <w:p w14:paraId="596F9F77" w14:textId="77777777" w:rsidR="00E22D4B" w:rsidRDefault="00E22D4B" w:rsidP="00E22D4B">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xml:space="preserve">, p. 65, nota 113, donde cita </w:t>
      </w:r>
      <w:proofErr w:type="spellStart"/>
      <w:r>
        <w:rPr>
          <w:rFonts w:ascii="Times New Roman" w:eastAsia="Times New Roman" w:hAnsi="Times New Roman" w:cs="Times New Roman"/>
          <w:i/>
          <w:sz w:val="20"/>
          <w:szCs w:val="20"/>
        </w:rPr>
        <w:t>Santosky</w:t>
      </w:r>
      <w:proofErr w:type="spellEnd"/>
      <w:r>
        <w:rPr>
          <w:rFonts w:ascii="Times New Roman" w:eastAsia="Times New Roman" w:hAnsi="Times New Roman" w:cs="Times New Roman"/>
          <w:i/>
          <w:sz w:val="20"/>
          <w:szCs w:val="20"/>
        </w:rPr>
        <w:t xml:space="preserve"> v. Kramer</w:t>
      </w:r>
      <w:r>
        <w:rPr>
          <w:rFonts w:ascii="Times New Roman" w:eastAsia="Times New Roman" w:hAnsi="Times New Roman" w:cs="Times New Roman"/>
          <w:sz w:val="20"/>
          <w:szCs w:val="20"/>
        </w:rPr>
        <w:t>, 455 U.S., p. 757 (1982).</w:t>
      </w:r>
    </w:p>
  </w:footnote>
  <w:footnote w:id="196">
    <w:p w14:paraId="2A456EED" w14:textId="77777777" w:rsidR="00E22D4B" w:rsidRDefault="00E22D4B" w:rsidP="00E22D4B">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Ferrer Beltrán, </w:t>
      </w:r>
      <w:r>
        <w:rPr>
          <w:rFonts w:ascii="Times New Roman" w:eastAsia="Times New Roman" w:hAnsi="Times New Roman" w:cs="Times New Roman"/>
          <w:i/>
          <w:sz w:val="20"/>
          <w:szCs w:val="20"/>
        </w:rPr>
        <w:t>Prueba sin convicción</w:t>
      </w:r>
      <w:r>
        <w:rPr>
          <w:rFonts w:ascii="Times New Roman" w:eastAsia="Times New Roman" w:hAnsi="Times New Roman" w:cs="Times New Roman"/>
          <w:sz w:val="20"/>
          <w:szCs w:val="20"/>
        </w:rPr>
        <w:t>, cit., p. 29.</w:t>
      </w:r>
    </w:p>
  </w:footnote>
  <w:footnote w:id="197">
    <w:p w14:paraId="44BD33A5" w14:textId="77777777" w:rsidR="00E22D4B" w:rsidRDefault="00E22D4B" w:rsidP="00E22D4B">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65.</w:t>
      </w:r>
    </w:p>
  </w:footnote>
  <w:footnote w:id="198">
    <w:p w14:paraId="2973079A" w14:textId="77777777" w:rsidR="00E22D4B" w:rsidRDefault="00E22D4B" w:rsidP="00E22D4B">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pp. 71-73.</w:t>
      </w:r>
    </w:p>
  </w:footnote>
  <w:footnote w:id="199">
    <w:p w14:paraId="3CF75D70" w14:textId="77777777" w:rsidR="00E22D4B" w:rsidRDefault="00E22D4B" w:rsidP="00E22D4B">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73.</w:t>
      </w:r>
    </w:p>
  </w:footnote>
  <w:footnote w:id="200">
    <w:p w14:paraId="78C857E4" w14:textId="77777777" w:rsidR="00E22D4B" w:rsidRDefault="00E22D4B" w:rsidP="00E22D4B">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pp. 74 y 75.</w:t>
      </w:r>
    </w:p>
  </w:footnote>
  <w:footnote w:id="201">
    <w:p w14:paraId="38E0CD99" w14:textId="77777777" w:rsidR="00E22D4B" w:rsidRDefault="00E22D4B" w:rsidP="00E22D4B">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Haack, Susan, El probabilismo jurídico. Una disensión epistemológica, en Vázquez, Carmen (ed.), </w:t>
      </w:r>
      <w:r>
        <w:rPr>
          <w:rFonts w:ascii="Times New Roman" w:eastAsia="Times New Roman" w:hAnsi="Times New Roman" w:cs="Times New Roman"/>
          <w:i/>
          <w:sz w:val="20"/>
          <w:szCs w:val="20"/>
        </w:rPr>
        <w:t>Estándares de prueba y prueba científica. Ensayos de epistemología jurídica</w:t>
      </w:r>
      <w:r>
        <w:rPr>
          <w:rFonts w:ascii="Times New Roman" w:eastAsia="Times New Roman" w:hAnsi="Times New Roman" w:cs="Times New Roman"/>
          <w:sz w:val="20"/>
          <w:szCs w:val="20"/>
        </w:rPr>
        <w:t>, Madrid, Marcial Pons, 2013, p. 66.</w:t>
      </w:r>
    </w:p>
  </w:footnote>
  <w:footnote w:id="202">
    <w:p w14:paraId="233C4585" w14:textId="77777777" w:rsidR="00E22D4B" w:rsidRDefault="00E22D4B" w:rsidP="00E22D4B">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78.</w:t>
      </w:r>
    </w:p>
  </w:footnote>
  <w:footnote w:id="203">
    <w:p w14:paraId="5A43B81C" w14:textId="77777777" w:rsidR="00E22D4B" w:rsidRDefault="00E22D4B" w:rsidP="00E22D4B">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Ferrer Beltrán, </w:t>
      </w:r>
      <w:r>
        <w:rPr>
          <w:rFonts w:ascii="Times New Roman" w:eastAsia="Times New Roman" w:hAnsi="Times New Roman" w:cs="Times New Roman"/>
          <w:i/>
          <w:sz w:val="20"/>
          <w:szCs w:val="20"/>
        </w:rPr>
        <w:t>Prueba sin convicción</w:t>
      </w:r>
      <w:r>
        <w:rPr>
          <w:rFonts w:ascii="Times New Roman" w:eastAsia="Times New Roman" w:hAnsi="Times New Roman" w:cs="Times New Roman"/>
          <w:sz w:val="20"/>
          <w:szCs w:val="20"/>
        </w:rPr>
        <w:t>, cit., pp. 89 y 90.</w:t>
      </w:r>
    </w:p>
  </w:footnote>
  <w:footnote w:id="204">
    <w:p w14:paraId="72FAFE3C" w14:textId="77777777" w:rsidR="00E22D4B" w:rsidRDefault="00E22D4B" w:rsidP="00E22D4B">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91.</w:t>
      </w:r>
    </w:p>
  </w:footnote>
  <w:footnote w:id="205">
    <w:p w14:paraId="21F82B80" w14:textId="77777777" w:rsidR="00E22D4B" w:rsidRDefault="00E22D4B" w:rsidP="00E22D4B">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Haack, El probabilismo jurídico, cit., pp. 81 y 82.</w:t>
      </w:r>
    </w:p>
  </w:footnote>
  <w:footnote w:id="206">
    <w:p w14:paraId="48A98FF6" w14:textId="77777777" w:rsidR="00E22D4B" w:rsidRDefault="00E22D4B" w:rsidP="00E22D4B">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xml:space="preserve">, pp. 78 y </w:t>
      </w:r>
      <w:r>
        <w:rPr>
          <w:rFonts w:ascii="Times New Roman" w:eastAsia="Times New Roman" w:hAnsi="Times New Roman" w:cs="Times New Roman"/>
          <w:sz w:val="20"/>
          <w:szCs w:val="20"/>
        </w:rPr>
        <w:t xml:space="preserve">82</w:t>
      </w:r>
      <w:r>
        <w:rPr>
          <w:rFonts w:ascii="Times New Roman" w:eastAsia="Times New Roman" w:hAnsi="Times New Roman" w:cs="Times New Roman"/>
          <w:sz w:val="20"/>
          <w:szCs w:val="20"/>
        </w:rPr>
        <w:t xml:space="preserve">.</w:t>
      </w:r>
    </w:p>
  </w:footnote>
  <w:footnote w:id="207">
    <w:p w14:paraId="2C04AEA1" w14:textId="77777777" w:rsidR="00E22D4B" w:rsidRDefault="00E22D4B" w:rsidP="00E22D4B">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82.</w:t>
      </w:r>
    </w:p>
  </w:footnote>
  <w:footnote w:id="208">
    <w:p w14:paraId="4AAC1D4C" w14:textId="77777777" w:rsidR="00E22D4B" w:rsidRDefault="00E22D4B" w:rsidP="00E22D4B">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Ferrer Beltrán, </w:t>
      </w:r>
      <w:r>
        <w:rPr>
          <w:rFonts w:ascii="Times New Roman" w:eastAsia="Times New Roman" w:hAnsi="Times New Roman" w:cs="Times New Roman"/>
          <w:i/>
          <w:sz w:val="20"/>
          <w:szCs w:val="20"/>
        </w:rPr>
        <w:t>Prueba sin convicción</w:t>
      </w:r>
      <w:r>
        <w:rPr>
          <w:rFonts w:ascii="Times New Roman" w:eastAsia="Times New Roman" w:hAnsi="Times New Roman" w:cs="Times New Roman"/>
          <w:sz w:val="20"/>
          <w:szCs w:val="20"/>
        </w:rPr>
        <w:t>, cit., pp. 92-99.</w:t>
      </w:r>
    </w:p>
  </w:footnote>
  <w:footnote w:id="209">
    <w:p w14:paraId="47ECB909" w14:textId="77777777" w:rsidR="00E22D4B" w:rsidRDefault="00E22D4B" w:rsidP="00E22D4B">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100.</w:t>
      </w:r>
    </w:p>
  </w:footnote>
  <w:footnote w:id="210">
    <w:p w14:paraId="5F837299" w14:textId="77777777" w:rsidR="00E22D4B" w:rsidRDefault="00E22D4B" w:rsidP="00E22D4B">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Igartua Salaverría, Juan, </w:t>
      </w:r>
      <w:r>
        <w:rPr>
          <w:rFonts w:ascii="Times New Roman" w:eastAsia="Times New Roman" w:hAnsi="Times New Roman" w:cs="Times New Roman"/>
          <w:i/>
          <w:sz w:val="20"/>
          <w:szCs w:val="20"/>
        </w:rPr>
        <w:t>Indicios, duda razonable, prueba científica. Perspectivas sobre la prueba en el proceso penal</w:t>
      </w:r>
      <w:r>
        <w:rPr>
          <w:rFonts w:ascii="Times New Roman" w:eastAsia="Times New Roman" w:hAnsi="Times New Roman" w:cs="Times New Roman"/>
          <w:sz w:val="20"/>
          <w:szCs w:val="20"/>
        </w:rPr>
        <w:t>, Valencia, Tirant lo Blanch, 2021, p. 48, nota 77.</w:t>
      </w:r>
    </w:p>
  </w:footnote>
  <w:footnote w:id="211">
    <w:p w14:paraId="50D039BD" w14:textId="77777777" w:rsidR="00E22D4B" w:rsidRDefault="00E22D4B" w:rsidP="00E22D4B">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Ferrer Beltrán, </w:t>
      </w:r>
      <w:r>
        <w:rPr>
          <w:rFonts w:ascii="Times New Roman" w:eastAsia="Times New Roman" w:hAnsi="Times New Roman" w:cs="Times New Roman"/>
          <w:i/>
          <w:sz w:val="20"/>
          <w:szCs w:val="20"/>
        </w:rPr>
        <w:t>Prueba sin convicción</w:t>
      </w:r>
      <w:r>
        <w:rPr>
          <w:rFonts w:ascii="Times New Roman" w:eastAsia="Times New Roman" w:hAnsi="Times New Roman" w:cs="Times New Roman"/>
          <w:sz w:val="20"/>
          <w:szCs w:val="20"/>
        </w:rPr>
        <w:t>, cit., pp. 100-102.</w:t>
      </w:r>
    </w:p>
  </w:footnote>
  <w:footnote w:id="212">
    <w:p w14:paraId="5F43DF8D" w14:textId="77777777" w:rsidR="00E22D4B" w:rsidRDefault="00E22D4B" w:rsidP="00E22D4B">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102.</w:t>
      </w:r>
    </w:p>
  </w:footnote>
  <w:footnote w:id="213">
    <w:p w14:paraId="49E40089" w14:textId="77777777" w:rsidR="00E22D4B" w:rsidRDefault="00E22D4B" w:rsidP="00E22D4B">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103.</w:t>
      </w:r>
    </w:p>
  </w:footnote>
  <w:footnote w:id="214">
    <w:p w14:paraId="4AF55937" w14:textId="77777777" w:rsidR="00E22D4B" w:rsidRDefault="00E22D4B" w:rsidP="00E22D4B">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102, nota 233.</w:t>
      </w:r>
    </w:p>
  </w:footnote>
  <w:footnote w:id="215">
    <w:p w14:paraId="416C7DD4" w14:textId="77777777" w:rsidR="00E22D4B" w:rsidRDefault="00E22D4B" w:rsidP="00E22D4B">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Ley General del Sistema de Medios de Impugnación en Materia Electoral, artículo 16, párrafo 4.</w:t>
      </w:r>
    </w:p>
  </w:footnote>
  <w:footnote w:id="216">
    <w:p w14:paraId="7A24089A" w14:textId="77777777" w:rsidR="00E22D4B" w:rsidRDefault="00E22D4B" w:rsidP="00E22D4B">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Ferrer Beltrán, </w:t>
      </w:r>
      <w:r>
        <w:rPr>
          <w:rFonts w:ascii="Times New Roman" w:eastAsia="Times New Roman" w:hAnsi="Times New Roman" w:cs="Times New Roman"/>
          <w:i/>
          <w:sz w:val="20"/>
          <w:szCs w:val="20"/>
        </w:rPr>
        <w:t>Prueba sin convicción</w:t>
      </w:r>
      <w:r>
        <w:rPr>
          <w:rFonts w:ascii="Times New Roman" w:eastAsia="Times New Roman" w:hAnsi="Times New Roman" w:cs="Times New Roman"/>
          <w:sz w:val="20"/>
          <w:szCs w:val="20"/>
        </w:rPr>
        <w:t>, cit., pp. 103-105.</w:t>
      </w:r>
    </w:p>
  </w:footnote>
  <w:footnote w:id="217">
    <w:p w14:paraId="536AECF0" w14:textId="77777777" w:rsidR="00E22D4B" w:rsidRDefault="00E22D4B" w:rsidP="00E22D4B">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Ferrer Beltrán, </w:t>
      </w:r>
      <w:r>
        <w:rPr>
          <w:rFonts w:ascii="Times New Roman" w:eastAsia="Times New Roman" w:hAnsi="Times New Roman" w:cs="Times New Roman"/>
          <w:i/>
          <w:sz w:val="20"/>
          <w:szCs w:val="20"/>
        </w:rPr>
        <w:t>Prueba sin convicción</w:t>
      </w:r>
      <w:r>
        <w:rPr>
          <w:rFonts w:ascii="Times New Roman" w:eastAsia="Times New Roman" w:hAnsi="Times New Roman" w:cs="Times New Roman"/>
          <w:sz w:val="20"/>
          <w:szCs w:val="20"/>
        </w:rPr>
        <w:t>, cit., p. 115.</w:t>
      </w:r>
    </w:p>
  </w:footnote>
  <w:footnote w:id="218">
    <w:p w14:paraId="481089BB" w14:textId="77777777" w:rsidR="00E22D4B" w:rsidRDefault="00E22D4B" w:rsidP="00E22D4B">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pp. 153 y 154.</w:t>
      </w:r>
    </w:p>
  </w:footnote>
  <w:footnote w:id="219">
    <w:p w14:paraId="3D809CE8" w14:textId="77777777" w:rsidR="00E22D4B" w:rsidRDefault="00E22D4B" w:rsidP="00E22D4B">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Laudan, Larry, La elemental aritmética epistémica del derecho II. Los inapropiados recursos de la teoría moral para abordar el derecho penal, en Vázquez (ed.), </w:t>
      </w:r>
      <w:r>
        <w:rPr>
          <w:rFonts w:ascii="Times New Roman" w:eastAsia="Times New Roman" w:hAnsi="Times New Roman" w:cs="Times New Roman"/>
          <w:i/>
          <w:sz w:val="20"/>
          <w:szCs w:val="20"/>
        </w:rPr>
        <w:t>Estándares de prueba y prueba científica</w:t>
      </w:r>
      <w:r>
        <w:rPr>
          <w:rFonts w:ascii="Times New Roman" w:eastAsia="Times New Roman" w:hAnsi="Times New Roman" w:cs="Times New Roman"/>
          <w:sz w:val="20"/>
          <w:szCs w:val="20"/>
        </w:rPr>
        <w:t>, cit., pp. 121-123.</w:t>
      </w:r>
    </w:p>
  </w:footnote>
  <w:footnote w:id="220">
    <w:p w14:paraId="0A103F2F" w14:textId="77777777" w:rsidR="00E22D4B" w:rsidRDefault="00E22D4B" w:rsidP="00E22D4B">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Ferrer Beltrán, </w:t>
      </w:r>
      <w:r>
        <w:rPr>
          <w:rFonts w:ascii="Times New Roman" w:eastAsia="Times New Roman" w:hAnsi="Times New Roman" w:cs="Times New Roman"/>
          <w:i/>
          <w:sz w:val="20"/>
          <w:szCs w:val="20"/>
        </w:rPr>
        <w:t>Prueba sin convicción</w:t>
      </w:r>
      <w:r>
        <w:rPr>
          <w:rFonts w:ascii="Times New Roman" w:eastAsia="Times New Roman" w:hAnsi="Times New Roman" w:cs="Times New Roman"/>
          <w:sz w:val="20"/>
          <w:szCs w:val="20"/>
        </w:rPr>
        <w:t>, cit., p. 115, nota 15, donde cita como ejemplo a Laudan.</w:t>
      </w:r>
    </w:p>
  </w:footnote>
  <w:footnote w:id="221">
    <w:p w14:paraId="2C54ABD1" w14:textId="77777777" w:rsidR="00E22D4B" w:rsidRDefault="00E22D4B" w:rsidP="00E22D4B">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138.</w:t>
      </w:r>
    </w:p>
  </w:footnote>
  <w:footnote w:id="222">
    <w:p w14:paraId="47503E2D" w14:textId="77777777" w:rsidR="00E22D4B" w:rsidRDefault="00E22D4B" w:rsidP="00E22D4B">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Ferrer Beltrán, </w:t>
      </w:r>
      <w:r>
        <w:rPr>
          <w:rFonts w:ascii="Times New Roman" w:eastAsia="Times New Roman" w:hAnsi="Times New Roman" w:cs="Times New Roman"/>
          <w:i/>
          <w:sz w:val="20"/>
          <w:szCs w:val="20"/>
        </w:rPr>
        <w:t>Prueba sin convicción</w:t>
      </w:r>
      <w:r>
        <w:rPr>
          <w:rFonts w:ascii="Times New Roman" w:eastAsia="Times New Roman" w:hAnsi="Times New Roman" w:cs="Times New Roman"/>
          <w:sz w:val="20"/>
          <w:szCs w:val="20"/>
        </w:rPr>
        <w:t>, cit., p. 150.</w:t>
      </w:r>
    </w:p>
  </w:footnote>
  <w:footnote w:id="223">
    <w:p w14:paraId="6C6E2899" w14:textId="77777777" w:rsidR="00E22D4B" w:rsidRDefault="00E22D4B" w:rsidP="00E22D4B">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151.</w:t>
      </w:r>
    </w:p>
  </w:footnote>
  <w:footnote w:id="224">
    <w:p w14:paraId="59187722" w14:textId="77777777" w:rsidR="00E22D4B" w:rsidRDefault="00E22D4B" w:rsidP="00E22D4B">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152.</w:t>
      </w:r>
    </w:p>
  </w:footnote>
  <w:footnote w:id="225">
    <w:p w14:paraId="1A9F2F71" w14:textId="77777777" w:rsidR="00E22D4B" w:rsidRDefault="00E22D4B" w:rsidP="00E22D4B">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pp. 154-170.</w:t>
      </w:r>
    </w:p>
  </w:footnote>
  <w:footnote w:id="226">
    <w:p w14:paraId="67EBBE97" w14:textId="77777777" w:rsidR="00E22D4B" w:rsidRDefault="00E22D4B" w:rsidP="00E22D4B">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pp. 154-156.</w:t>
      </w:r>
    </w:p>
  </w:footnote>
  <w:footnote w:id="227">
    <w:p w14:paraId="59FB9E11" w14:textId="77777777" w:rsidR="00E22D4B" w:rsidRDefault="00E22D4B" w:rsidP="00E22D4B">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164.</w:t>
      </w:r>
    </w:p>
  </w:footnote>
  <w:footnote w:id="228">
    <w:p w14:paraId="24EBCBA4" w14:textId="77777777" w:rsidR="00E22D4B" w:rsidRDefault="00E22D4B" w:rsidP="00E22D4B">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166.</w:t>
      </w:r>
    </w:p>
  </w:footnote>
  <w:footnote w:id="229">
    <w:p w14:paraId="04F027C7" w14:textId="77777777" w:rsidR="00E22D4B" w:rsidRDefault="00E22D4B" w:rsidP="00E22D4B">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pp. 168 y 169.</w:t>
      </w:r>
    </w:p>
  </w:footnote>
  <w:footnote w:id="230">
    <w:p w14:paraId="0C329E91" w14:textId="77777777" w:rsidR="00E22D4B" w:rsidRDefault="00E22D4B" w:rsidP="00E22D4B">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Constitución Política de los Estados Unidos Mexicanos, artículo 41, base VI, incisos a) a d), el último adicionado mediante reforma publicada en el </w:t>
      </w:r>
      <w:r>
        <w:rPr>
          <w:rFonts w:ascii="Times New Roman" w:eastAsia="Times New Roman" w:hAnsi="Times New Roman" w:cs="Times New Roman"/>
          <w:i/>
          <w:sz w:val="20"/>
          <w:szCs w:val="20"/>
        </w:rPr>
        <w:t>Diario Oficial de la Federación</w:t>
      </w:r>
      <w:r>
        <w:rPr>
          <w:rFonts w:ascii="Times New Roman" w:eastAsia="Times New Roman" w:hAnsi="Times New Roman" w:cs="Times New Roman"/>
          <w:sz w:val="20"/>
          <w:szCs w:val="20"/>
        </w:rPr>
        <w:t xml:space="preserve"> el 2 de junio de 2026, y Ley General del Sistema de Medios de Impugnación en Materia Electoral, artículo 78 bis, párrafo 2.</w:t>
      </w:r>
    </w:p>
  </w:footnote>
  <w:footnote w:id="231">
    <w:p w14:paraId="0CF9C6AB" w14:textId="77777777" w:rsidR="00E22D4B" w:rsidRDefault="00E22D4B" w:rsidP="00E22D4B">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Sala Superior del Tribunal Electoral del Poder Judicial de la Federación, SUP-REC-1388/2018, sentencia de 30 de septiembre de 2018, p. 46.</w:t>
      </w:r>
    </w:p>
  </w:footnote>
  <w:footnote w:id="232">
    <w:p w14:paraId="6547451E" w14:textId="77777777" w:rsidR="00E22D4B" w:rsidRDefault="00E22D4B" w:rsidP="00E22D4B">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Ferrer Beltrán, </w:t>
      </w:r>
      <w:r>
        <w:rPr>
          <w:rFonts w:ascii="Times New Roman" w:eastAsia="Times New Roman" w:hAnsi="Times New Roman" w:cs="Times New Roman"/>
          <w:i/>
          <w:sz w:val="20"/>
          <w:szCs w:val="20"/>
        </w:rPr>
        <w:t>Prueba sin convicción</w:t>
      </w:r>
      <w:r>
        <w:rPr>
          <w:rFonts w:ascii="Times New Roman" w:eastAsia="Times New Roman" w:hAnsi="Times New Roman" w:cs="Times New Roman"/>
          <w:sz w:val="20"/>
          <w:szCs w:val="20"/>
        </w:rPr>
        <w:t>, cit., pp. 209 y 210.</w:t>
      </w:r>
    </w:p>
  </w:footnote>
  <w:footnote w:id="233">
    <w:p w14:paraId="7A33762C" w14:textId="77777777" w:rsidR="00E22D4B" w:rsidRDefault="00E22D4B" w:rsidP="00E22D4B">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210.</w:t>
      </w:r>
    </w:p>
  </w:footnote>
  <w:footnote w:id="234">
    <w:p w14:paraId="234973DE" w14:textId="77777777" w:rsidR="00E22D4B" w:rsidRDefault="00E22D4B" w:rsidP="00E22D4B">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215.</w:t>
      </w:r>
    </w:p>
  </w:footnote>
  <w:footnote w:id="235">
    <w:p w14:paraId="53EEC51E" w14:textId="77777777" w:rsidR="00E22D4B" w:rsidRDefault="00E22D4B" w:rsidP="00E22D4B">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211.</w:t>
      </w:r>
    </w:p>
  </w:footnote>
  <w:footnote w:id="236">
    <w:p w14:paraId="0A0CF5F4" w14:textId="77777777" w:rsidR="00E22D4B" w:rsidRDefault="00E22D4B" w:rsidP="00E22D4B">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pp. 214 y 215, donde transcribe la sentencia del amparo directo en revisión 3457/2013 y menciona como precedentes el amparo directo en revisión 715/2010, los amparos en revisión 466/2011 y 349/2012 y los amparos directos 78/2012 y 21/2012.</w:t>
      </w:r>
    </w:p>
  </w:footnote>
  <w:footnote w:id="237">
    <w:p w14:paraId="2E445441" w14:textId="77777777" w:rsidR="00E22D4B" w:rsidRDefault="00E22D4B" w:rsidP="00E22D4B">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Allen, Ronald J., Los estándares de prueba y los límites del análisis jurídico, en Vázquez (ed.), </w:t>
      </w:r>
      <w:r>
        <w:rPr>
          <w:rFonts w:ascii="Times New Roman" w:eastAsia="Times New Roman" w:hAnsi="Times New Roman" w:cs="Times New Roman"/>
          <w:i/>
          <w:sz w:val="20"/>
          <w:szCs w:val="20"/>
        </w:rPr>
        <w:t>Estándares de prueba y prueba científica</w:t>
      </w:r>
      <w:r>
        <w:rPr>
          <w:rFonts w:ascii="Times New Roman" w:eastAsia="Times New Roman" w:hAnsi="Times New Roman" w:cs="Times New Roman"/>
          <w:sz w:val="20"/>
          <w:szCs w:val="20"/>
        </w:rPr>
        <w:t>, cit., pp. 55 y 56.</w:t>
      </w:r>
    </w:p>
  </w:footnote>
  <w:footnote w:id="238">
    <w:p w14:paraId="0E610773" w14:textId="77777777" w:rsidR="00E22D4B" w:rsidRDefault="00E22D4B" w:rsidP="00E22D4B">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pp. 56 y 57.</w:t>
      </w:r>
    </w:p>
  </w:footnote>
  <w:footnote w:id="239">
    <w:p w14:paraId="3B678558" w14:textId="77777777" w:rsidR="00E22D4B" w:rsidRDefault="00E22D4B" w:rsidP="00E22D4B">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Ferrer Beltrán, </w:t>
      </w:r>
      <w:r>
        <w:rPr>
          <w:rFonts w:ascii="Times New Roman" w:eastAsia="Times New Roman" w:hAnsi="Times New Roman" w:cs="Times New Roman"/>
          <w:i/>
          <w:sz w:val="20"/>
          <w:szCs w:val="20"/>
        </w:rPr>
        <w:t>Prueba sin convicción</w:t>
      </w:r>
      <w:r>
        <w:rPr>
          <w:rFonts w:ascii="Times New Roman" w:eastAsia="Times New Roman" w:hAnsi="Times New Roman" w:cs="Times New Roman"/>
          <w:sz w:val="20"/>
          <w:szCs w:val="20"/>
        </w:rPr>
        <w:t>, cit., p. 211.</w:t>
      </w:r>
    </w:p>
  </w:footnote>
  <w:footnote w:id="240">
    <w:p w14:paraId="0D734E26" w14:textId="77777777" w:rsidR="00E22D4B" w:rsidRDefault="00E22D4B" w:rsidP="00E22D4B">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Allen, Los estándares de prueba y los límites del análisis jurídico, cit., pp. 53 y 54.</w:t>
      </w:r>
    </w:p>
  </w:footnote>
  <w:footnote w:id="241">
    <w:p w14:paraId="1B89BEBB" w14:textId="77777777" w:rsidR="00E22D4B" w:rsidRDefault="00E22D4B" w:rsidP="00E22D4B">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Ferrer Beltrán, </w:t>
      </w:r>
      <w:r>
        <w:rPr>
          <w:rFonts w:ascii="Times New Roman" w:eastAsia="Times New Roman" w:hAnsi="Times New Roman" w:cs="Times New Roman"/>
          <w:i/>
          <w:sz w:val="20"/>
          <w:szCs w:val="20"/>
        </w:rPr>
        <w:t>Prueba sin convicción</w:t>
      </w:r>
      <w:r>
        <w:rPr>
          <w:rFonts w:ascii="Times New Roman" w:eastAsia="Times New Roman" w:hAnsi="Times New Roman" w:cs="Times New Roman"/>
          <w:sz w:val="20"/>
          <w:szCs w:val="20"/>
        </w:rPr>
        <w:t>, cit., p. 44.</w:t>
      </w:r>
    </w:p>
  </w:footnote>
  <w:footnote w:id="242">
    <w:p w14:paraId="0E66C4E2" w14:textId="77777777" w:rsidR="00E22D4B" w:rsidRDefault="00E22D4B" w:rsidP="00E22D4B">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Nieva-</w:t>
      </w:r>
      <w:proofErr w:type="spellStart"/>
      <w:r>
        <w:rPr>
          <w:rFonts w:ascii="Times New Roman" w:eastAsia="Times New Roman" w:hAnsi="Times New Roman" w:cs="Times New Roman"/>
          <w:sz w:val="20"/>
          <w:szCs w:val="20"/>
        </w:rPr>
        <w:t>Fenoll</w:t>
      </w:r>
      <w:proofErr w:type="spellEnd"/>
      <w:r>
        <w:rPr>
          <w:rFonts w:ascii="Times New Roman" w:eastAsia="Times New Roman" w:hAnsi="Times New Roman" w:cs="Times New Roman"/>
          <w:sz w:val="20"/>
          <w:szCs w:val="20"/>
        </w:rPr>
        <w:t xml:space="preserve">, Jordi, Carga de la prueba y estándares de prueba. Dos reminiscencias del pasado, </w:t>
      </w:r>
      <w:r>
        <w:rPr>
          <w:rFonts w:ascii="Times New Roman" w:eastAsia="Times New Roman" w:hAnsi="Times New Roman" w:cs="Times New Roman"/>
          <w:i/>
          <w:sz w:val="20"/>
          <w:szCs w:val="20"/>
        </w:rPr>
        <w:t>Estudios de Derecho</w:t>
      </w:r>
      <w:r>
        <w:rPr>
          <w:rFonts w:ascii="Times New Roman" w:eastAsia="Times New Roman" w:hAnsi="Times New Roman" w:cs="Times New Roman"/>
          <w:sz w:val="20"/>
          <w:szCs w:val="20"/>
        </w:rPr>
        <w:t>, Medellín, vol. 77, núm. 170, 2020, p. 135.</w:t>
      </w:r>
    </w:p>
  </w:footnote>
  <w:footnote w:id="243">
    <w:p w14:paraId="179BC761" w14:textId="77777777" w:rsidR="00E22D4B" w:rsidRDefault="00E22D4B" w:rsidP="00E22D4B">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136.</w:t>
      </w:r>
    </w:p>
  </w:footnote>
  <w:footnote w:id="244">
    <w:p w14:paraId="4E3C8D55" w14:textId="77777777" w:rsidR="00E22D4B" w:rsidRDefault="00E22D4B" w:rsidP="00E22D4B">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Haack, El probabilismo jurídico, cit., pp. 69 y 70.</w:t>
      </w:r>
    </w:p>
  </w:footnote>
  <w:footnote w:id="245">
    <w:p w14:paraId="0406DF75" w14:textId="77777777" w:rsidR="00E22D4B" w:rsidRDefault="00E22D4B" w:rsidP="00E22D4B">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Ley General del Sistema de Medios de Impugnación en Materia Electoral, artículo 16, párrafos 2 y 3.</w:t>
      </w:r>
    </w:p>
  </w:footnote>
  <w:footnote w:id="246">
    <w:p w14:paraId="16B73C5C" w14:textId="77777777" w:rsidR="00E22D4B" w:rsidRDefault="00E22D4B" w:rsidP="00E22D4B">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Ley General del Sistema de Medios de Impugnación en Materia Electoral, artículos 75, párrafo 1, inciso k), 77 Ter, párrafo 2, y 78, párrafo 1.</w:t>
      </w:r>
    </w:p>
  </w:footnote>
  <w:footnote w:id="247">
    <w:p w14:paraId="0E935963" w14:textId="77777777" w:rsidR="00E22D4B" w:rsidRDefault="00E22D4B" w:rsidP="00E22D4B">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Jurisprudencia 44/2024, NULIDAD DE LA ELECCIÓN. ELEMENTOS O CONDICIONES QUE SE DEBEN ACREDITAR CUANDO SE SOLICITA POR VIOLACIÓN A PRINCIPIOS O PRECEPTOS CONSTITUCIONALES, </w:t>
      </w:r>
      <w:r>
        <w:rPr>
          <w:rFonts w:ascii="Times New Roman" w:eastAsia="Times New Roman" w:hAnsi="Times New Roman" w:cs="Times New Roman"/>
          <w:i/>
          <w:sz w:val="20"/>
          <w:szCs w:val="20"/>
        </w:rPr>
        <w:t>Gaceta Jurisprudencia y Tesis en materia electoral</w:t>
      </w:r>
      <w:r>
        <w:rPr>
          <w:rFonts w:ascii="Times New Roman" w:eastAsia="Times New Roman" w:hAnsi="Times New Roman" w:cs="Times New Roman"/>
          <w:sz w:val="20"/>
          <w:szCs w:val="20"/>
        </w:rPr>
        <w:t>, Tribunal Electoral del Poder Judicial de la Federación, año 17, núm. 29, 2024, pp. 149-151.</w:t>
      </w:r>
    </w:p>
  </w:footnote>
  <w:footnote w:id="248">
    <w:p w14:paraId="45D8D4C6" w14:textId="77777777" w:rsidR="00E22D4B" w:rsidRDefault="00E22D4B" w:rsidP="00E22D4B">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Nieva-</w:t>
      </w:r>
      <w:proofErr w:type="spellStart"/>
      <w:r>
        <w:rPr>
          <w:rFonts w:ascii="Times New Roman" w:eastAsia="Times New Roman" w:hAnsi="Times New Roman" w:cs="Times New Roman"/>
          <w:sz w:val="20"/>
          <w:szCs w:val="20"/>
        </w:rPr>
        <w:t>Fenoll</w:t>
      </w:r>
      <w:proofErr w:type="spellEnd"/>
      <w:r>
        <w:rPr>
          <w:rFonts w:ascii="Times New Roman" w:eastAsia="Times New Roman" w:hAnsi="Times New Roman" w:cs="Times New Roman"/>
          <w:sz w:val="20"/>
          <w:szCs w:val="20"/>
        </w:rPr>
        <w:t>, Carga de la prueba y estándares de prueba, cit., p. 130.</w:t>
      </w:r>
    </w:p>
  </w:footnote>
  <w:footnote w:id="249">
    <w:p w14:paraId="2A679768" w14:textId="77777777" w:rsidR="00E22D4B" w:rsidRDefault="00E22D4B" w:rsidP="00E22D4B">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Rodríguez Mondragón, Reyes, voto razonado en el SUP-REC-1388/2018, p. 75.</w:t>
      </w:r>
    </w:p>
  </w:footnote>
  <w:footnote w:id="250">
    <w:p w14:paraId="1CE7FBE0" w14:textId="77777777" w:rsidR="00BA1C97" w:rsidRDefault="00BA1C97" w:rsidP="00BA1C97">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Jurisprudencia 9/98, PRINCIPIO DE CONSERVACIÓN DE LOS ACTOS PÚBLICOS VÁLIDAMENTE CELEBRADOS. SU APLICACIÓN EN LA DETERMINACIÓN DE LA NULIDAD DE CIERTA VOTACIÓN, CÓMPUTO O ELECCIÓN, </w:t>
      </w:r>
      <w:r>
        <w:rPr>
          <w:rFonts w:ascii="Times New Roman" w:eastAsia="Times New Roman" w:hAnsi="Times New Roman" w:cs="Times New Roman"/>
          <w:i/>
          <w:sz w:val="20"/>
          <w:szCs w:val="20"/>
        </w:rPr>
        <w:t>Justicia Electoral. Revista del Tribunal Electoral del Poder Judicial de la Federación</w:t>
      </w:r>
      <w:r>
        <w:rPr>
          <w:rFonts w:ascii="Times New Roman" w:eastAsia="Times New Roman" w:hAnsi="Times New Roman" w:cs="Times New Roman"/>
          <w:sz w:val="20"/>
          <w:szCs w:val="20"/>
        </w:rPr>
        <w:t>, suplemento 2, 1998, pp. 19 y 20.</w:t>
      </w:r>
    </w:p>
  </w:footnote>
  <w:footnote w:id="251">
    <w:p w14:paraId="0AB66FCF" w14:textId="77777777" w:rsidR="00BA1C97" w:rsidRDefault="00BA1C97" w:rsidP="00BA1C97">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Ley General del Sistema de Medios de Impugnación en Materia Electoral, artículo 75, párrafo 1, incisos f), g), i), j) y k), texto consultado con última reforma publicada en el </w:t>
      </w:r>
      <w:r>
        <w:rPr>
          <w:rFonts w:ascii="Times New Roman" w:eastAsia="Times New Roman" w:hAnsi="Times New Roman" w:cs="Times New Roman"/>
          <w:i/>
          <w:sz w:val="20"/>
          <w:szCs w:val="20"/>
        </w:rPr>
        <w:t>Diario Oficial de la Federación</w:t>
      </w:r>
      <w:r>
        <w:rPr>
          <w:rFonts w:ascii="Times New Roman" w:eastAsia="Times New Roman" w:hAnsi="Times New Roman" w:cs="Times New Roman"/>
          <w:sz w:val="20"/>
          <w:szCs w:val="20"/>
        </w:rPr>
        <w:t xml:space="preserve"> el 14 de noviembre de 2025.</w:t>
      </w:r>
    </w:p>
  </w:footnote>
  <w:footnote w:id="252">
    <w:p w14:paraId="13EC21DB" w14:textId="77777777" w:rsidR="00BA1C97" w:rsidRDefault="00BA1C97" w:rsidP="00BA1C97">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Rodarte Nava, Silvia </w:t>
      </w:r>
      <w:r>
        <w:rPr>
          <w:rFonts w:ascii="Times New Roman" w:eastAsia="Times New Roman" w:hAnsi="Times New Roman" w:cs="Times New Roman"/>
          <w:i/>
          <w:sz w:val="20"/>
          <w:szCs w:val="20"/>
        </w:rPr>
        <w:t>et al.</w:t>
      </w:r>
      <w:r>
        <w:rPr>
          <w:rFonts w:ascii="Times New Roman" w:eastAsia="Times New Roman" w:hAnsi="Times New Roman" w:cs="Times New Roman"/>
          <w:sz w:val="20"/>
          <w:szCs w:val="20"/>
        </w:rPr>
        <w:t xml:space="preserve">, El problema de la determinancia cuantitativa y una propuesta de solución parcial, </w:t>
      </w:r>
      <w:r>
        <w:rPr>
          <w:rFonts w:ascii="Times New Roman" w:eastAsia="Times New Roman" w:hAnsi="Times New Roman" w:cs="Times New Roman"/>
          <w:i/>
          <w:sz w:val="20"/>
          <w:szCs w:val="20"/>
        </w:rPr>
        <w:t xml:space="preserve">Justicia Electoral. Revista del Tribunal Electoral del Poder Judicial de la Federación</w:t>
      </w:r>
      <w:r>
        <w:rPr>
          <w:rFonts w:ascii="Times New Roman" w:eastAsia="Times New Roman" w:hAnsi="Times New Roman" w:cs="Times New Roman"/>
          <w:sz w:val="20"/>
          <w:szCs w:val="20"/>
        </w:rPr>
        <w:t xml:space="preserve">, México, vol. 1, núm. 7, 2011</w:t>
      </w:r>
      <w:r>
        <w:rPr>
          <w:rFonts w:ascii="Times New Roman" w:eastAsia="Times New Roman" w:hAnsi="Times New Roman" w:cs="Times New Roman"/>
          <w:sz w:val="20"/>
          <w:szCs w:val="20"/>
        </w:rPr>
        <w:t xml:space="preserve">, pp. 311-332, en particular p. 317, donde citan a Galván Rivera, Flavio, </w:t>
      </w:r>
      <w:r>
        <w:rPr>
          <w:rFonts w:ascii="Times New Roman" w:eastAsia="Times New Roman" w:hAnsi="Times New Roman" w:cs="Times New Roman"/>
          <w:i/>
          <w:sz w:val="20"/>
          <w:szCs w:val="20"/>
        </w:rPr>
        <w:t>Derecho procesal electoral mexicano</w:t>
      </w:r>
      <w:r>
        <w:rPr>
          <w:rFonts w:ascii="Times New Roman" w:eastAsia="Times New Roman" w:hAnsi="Times New Roman" w:cs="Times New Roman"/>
          <w:sz w:val="20"/>
          <w:szCs w:val="20"/>
        </w:rPr>
        <w:t>, México, Porrúa, 2002, pp. 400 y 401.</w:t>
      </w:r>
    </w:p>
  </w:footnote>
  <w:footnote w:id="253">
    <w:p w14:paraId="64DB973D" w14:textId="77777777" w:rsidR="00BA1C97" w:rsidRDefault="00BA1C97" w:rsidP="00BA1C97">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318.</w:t>
      </w:r>
    </w:p>
  </w:footnote>
  <w:footnote w:id="254">
    <w:p w14:paraId="5745E057" w14:textId="77777777" w:rsidR="00BA1C97" w:rsidRDefault="00BA1C97" w:rsidP="00BA1C97">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Constitución Política de los Estados Unidos Mexicanos, artículo 41, base VI, texto consultado con últimas reformas publicadas en el </w:t>
      </w:r>
      <w:r>
        <w:rPr>
          <w:rFonts w:ascii="Times New Roman" w:eastAsia="Times New Roman" w:hAnsi="Times New Roman" w:cs="Times New Roman"/>
          <w:i/>
          <w:sz w:val="20"/>
          <w:szCs w:val="20"/>
        </w:rPr>
        <w:t>Diario Oficial de la Federación</w:t>
      </w:r>
      <w:r>
        <w:rPr>
          <w:rFonts w:ascii="Times New Roman" w:eastAsia="Times New Roman" w:hAnsi="Times New Roman" w:cs="Times New Roman"/>
          <w:sz w:val="20"/>
          <w:szCs w:val="20"/>
        </w:rPr>
        <w:t xml:space="preserve"> el 2 de junio de 2026.</w:t>
      </w:r>
    </w:p>
  </w:footnote>
  <w:footnote w:id="255">
    <w:p w14:paraId="2EBC5A00" w14:textId="77777777" w:rsidR="00BA1C97" w:rsidRDefault="00BA1C97" w:rsidP="00BA1C97">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Ley General del Sistema de Medios de Impugnación en Materia Electoral, artículo 78 bis, párrafos 1 y 2.</w:t>
      </w:r>
    </w:p>
  </w:footnote>
  <w:footnote w:id="256">
    <w:p w14:paraId="0AD5772A" w14:textId="77777777" w:rsidR="00BA1C97" w:rsidRDefault="00BA1C97" w:rsidP="00BA1C97">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Jurisprudencia 39/2002, NULIDAD DE ELECCIÓN O DE LA VOTACIÓN RECIBIDA EN UNA CASILLA. CRITERIOS PARA ESTABLECER CUÁNDO UNA IRREGULARIDAD ES DETERMINANTE PARA SU RESULTADO, </w:t>
      </w:r>
      <w:r>
        <w:rPr>
          <w:rFonts w:ascii="Times New Roman" w:eastAsia="Times New Roman" w:hAnsi="Times New Roman" w:cs="Times New Roman"/>
          <w:i/>
          <w:sz w:val="20"/>
          <w:szCs w:val="20"/>
        </w:rPr>
        <w:t>Justicia Electoral. Revista del Tribunal Electoral del Poder Judicial de la Federación</w:t>
      </w:r>
      <w:r>
        <w:rPr>
          <w:rFonts w:ascii="Times New Roman" w:eastAsia="Times New Roman" w:hAnsi="Times New Roman" w:cs="Times New Roman"/>
          <w:sz w:val="20"/>
          <w:szCs w:val="20"/>
        </w:rPr>
        <w:t>, suplemento 6, 2003, p. 45.</w:t>
      </w:r>
    </w:p>
  </w:footnote>
  <w:footnote w:id="257">
    <w:p w14:paraId="3A492C79" w14:textId="77777777" w:rsidR="00BA1C97" w:rsidRDefault="00BA1C97" w:rsidP="00BA1C97">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Sala Superior del Tribunal Electoral del Poder Judicial de la Federación, SUP-JRC-221/2003 y acumulados, sentencia de 29 de octubre de 2003, p. 524.</w:t>
      </w:r>
    </w:p>
  </w:footnote>
  <w:footnote w:id="258">
    <w:p w14:paraId="243BE9DD" w14:textId="77777777" w:rsidR="00BA1C97" w:rsidRDefault="00BA1C97" w:rsidP="00BA1C97">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Tesis XXXI/2004, NULIDAD DE ELECCIÓN. FACTORES CUALITATIVO Y CUANTITATIVO DEL CARÁCTER DETERMINANTE DE LA VIOLACIÓN O IRREGULARIDAD, </w:t>
      </w:r>
      <w:r>
        <w:rPr>
          <w:rFonts w:ascii="Times New Roman" w:eastAsia="Times New Roman" w:hAnsi="Times New Roman" w:cs="Times New Roman"/>
          <w:i/>
          <w:sz w:val="20"/>
          <w:szCs w:val="20"/>
        </w:rPr>
        <w:t>Jurisprudencia y Tesis Relevantes 1997-2005. Compilación Oficial</w:t>
      </w:r>
      <w:r>
        <w:rPr>
          <w:rFonts w:ascii="Times New Roman" w:eastAsia="Times New Roman" w:hAnsi="Times New Roman" w:cs="Times New Roman"/>
          <w:sz w:val="20"/>
          <w:szCs w:val="20"/>
        </w:rPr>
        <w:t>, Tribunal Electoral del Poder Judicial de la Federación, pp. 725 y 726.</w:t>
      </w:r>
    </w:p>
  </w:footnote>
  <w:footnote w:id="259">
    <w:p w14:paraId="298776D6" w14:textId="77777777" w:rsidR="00BA1C97" w:rsidRDefault="00BA1C97" w:rsidP="00BA1C97">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Olaiz González, Jaime, Estudio de la sentencia SUP-JIN-359/2012. Sobre la necesidad de una doctrina sobre invalidez por determinancia en el sistema electoral, </w:t>
      </w:r>
      <w:r>
        <w:rPr>
          <w:rFonts w:ascii="Times New Roman" w:eastAsia="Times New Roman" w:hAnsi="Times New Roman" w:cs="Times New Roman"/>
          <w:i/>
          <w:sz w:val="20"/>
          <w:szCs w:val="20"/>
        </w:rPr>
        <w:t>Revista Mexicana de Derecho Electoral</w:t>
      </w:r>
      <w:r>
        <w:rPr>
          <w:rFonts w:ascii="Times New Roman" w:eastAsia="Times New Roman" w:hAnsi="Times New Roman" w:cs="Times New Roman"/>
          <w:sz w:val="20"/>
          <w:szCs w:val="20"/>
        </w:rPr>
        <w:t>, núm. 13-14, 2018, pp. 58-61.</w:t>
      </w:r>
    </w:p>
  </w:footnote>
  <w:footnote w:id="260">
    <w:p w14:paraId="4CE6C862" w14:textId="77777777" w:rsidR="00BA1C97" w:rsidRDefault="00BA1C97" w:rsidP="00BA1C97">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Olaiz González, Estudio de la sentencia SUP-JIN-359/2012, cit., pp. 72 y 73.</w:t>
      </w:r>
    </w:p>
  </w:footnote>
  <w:footnote w:id="261">
    <w:p w14:paraId="4CA22CDF" w14:textId="77777777" w:rsidR="00BA1C97" w:rsidRDefault="00BA1C97" w:rsidP="00BA1C97">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Sala Superior del Tribunal Electoral del Poder Judicial de la Federación, SUP-CDC-2/2017, sentencia de 7 de febrero de 2018, p. 40.</w:t>
      </w:r>
    </w:p>
  </w:footnote>
  <w:footnote w:id="262">
    <w:p w14:paraId="04A0359E" w14:textId="77777777" w:rsidR="00BA1C97" w:rsidRDefault="00BA1C97" w:rsidP="00BA1C97">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Jurisprudencia 44/2024, NULIDAD DE LA ELECCIÓN. ELEMENTOS O CONDICIONES QUE SE DEBEN ACREDITAR CUANDO SE SOLICITA POR VIOLACIÓN A PRINCIPIOS O PRECEPTOS CONSTITUCIONALES, </w:t>
      </w:r>
      <w:r>
        <w:rPr>
          <w:rFonts w:ascii="Times New Roman" w:eastAsia="Times New Roman" w:hAnsi="Times New Roman" w:cs="Times New Roman"/>
          <w:i/>
          <w:sz w:val="20"/>
          <w:szCs w:val="20"/>
        </w:rPr>
        <w:t>Gaceta Jurisprudencia y Tesis en materia electoral</w:t>
      </w:r>
      <w:r>
        <w:rPr>
          <w:rFonts w:ascii="Times New Roman" w:eastAsia="Times New Roman" w:hAnsi="Times New Roman" w:cs="Times New Roman"/>
          <w:sz w:val="20"/>
          <w:szCs w:val="20"/>
        </w:rPr>
        <w:t>, Tribunal Electoral del Poder Judicial de la Federación, año 17, núm. 29, 2024, pp. 149-151.</w:t>
      </w:r>
    </w:p>
  </w:footnote>
  <w:footnote w:id="263">
    <w:p w14:paraId="11359045" w14:textId="77777777" w:rsidR="00BA1C97" w:rsidRDefault="00BA1C97" w:rsidP="00BA1C97">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Tesis XXXI/2004, cit.</w:t>
      </w:r>
    </w:p>
  </w:footnote>
  <w:footnote w:id="264">
    <w:p w14:paraId="4EEC5E70" w14:textId="77777777" w:rsidR="00BA1C97" w:rsidRDefault="00BA1C97" w:rsidP="00BA1C97">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Sala Superior del Tribunal Electoral del Poder Judicial de la Federación, SUP-JIN-212/2006, sentencia de 28 de agosto de 2006, pp. 61-66.</w:t>
      </w:r>
    </w:p>
  </w:footnote>
  <w:footnote w:id="265">
    <w:p w14:paraId="5CEFD171" w14:textId="77777777" w:rsidR="00BA1C97" w:rsidRDefault="00BA1C97" w:rsidP="00BA1C97">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66.</w:t>
      </w:r>
    </w:p>
  </w:footnote>
  <w:footnote w:id="266">
    <w:p w14:paraId="7742C552" w14:textId="77777777" w:rsidR="00BA1C97" w:rsidRDefault="00BA1C97" w:rsidP="00BA1C97">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pp. 62 y 65.</w:t>
      </w:r>
    </w:p>
  </w:footnote>
  <w:footnote w:id="267">
    <w:p w14:paraId="5798E2DC" w14:textId="77777777" w:rsidR="00BA1C97" w:rsidRDefault="00BA1C97" w:rsidP="00BA1C97">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Rodarte Nava </w:t>
      </w:r>
      <w:r>
        <w:rPr>
          <w:rFonts w:ascii="Times New Roman" w:eastAsia="Times New Roman" w:hAnsi="Times New Roman" w:cs="Times New Roman"/>
          <w:i/>
          <w:sz w:val="20"/>
          <w:szCs w:val="20"/>
        </w:rPr>
        <w:t>et al.</w:t>
      </w:r>
      <w:r>
        <w:rPr>
          <w:rFonts w:ascii="Times New Roman" w:eastAsia="Times New Roman" w:hAnsi="Times New Roman" w:cs="Times New Roman"/>
          <w:sz w:val="20"/>
          <w:szCs w:val="20"/>
        </w:rPr>
        <w:t>, El problema de la determinancia cuantitativa, cit., p. 313.</w:t>
      </w:r>
    </w:p>
  </w:footnote>
  <w:footnote w:id="268">
    <w:p w14:paraId="1F43E65E" w14:textId="77777777" w:rsidR="00BA1C97" w:rsidRDefault="00BA1C97" w:rsidP="00BA1C97">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pp. 313, 320 y 321.</w:t>
      </w:r>
    </w:p>
  </w:footnote>
  <w:footnote w:id="269">
    <w:p w14:paraId="0AE972D4" w14:textId="77777777" w:rsidR="00BA1C97" w:rsidRDefault="00BA1C97" w:rsidP="00BA1C97">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322.</w:t>
      </w:r>
    </w:p>
  </w:footnote>
  <w:footnote w:id="270">
    <w:p w14:paraId="38E6D7DA" w14:textId="77777777" w:rsidR="00BA1C97" w:rsidRDefault="00BA1C97" w:rsidP="00BA1C97">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Tesis XXXI/2004, cit.</w:t>
      </w:r>
    </w:p>
  </w:footnote>
  <w:footnote w:id="271">
    <w:p w14:paraId="0AF39FD0" w14:textId="77777777" w:rsidR="00BA1C97" w:rsidRDefault="00BA1C97" w:rsidP="00BA1C97">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SUP-JRC-221/2003, cit., p. 525.</w:t>
      </w:r>
    </w:p>
  </w:footnote>
  <w:footnote w:id="272">
    <w:p w14:paraId="3F46AB54" w14:textId="77777777" w:rsidR="00BA1C97" w:rsidRDefault="00BA1C97" w:rsidP="00BA1C97">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pp. 525-529.</w:t>
      </w:r>
    </w:p>
  </w:footnote>
  <w:footnote w:id="273">
    <w:p w14:paraId="15279B45" w14:textId="77777777" w:rsidR="00BA1C97" w:rsidRDefault="00BA1C97" w:rsidP="00BA1C97">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523.</w:t>
      </w:r>
    </w:p>
  </w:footnote>
  <w:footnote w:id="274">
    <w:p w14:paraId="2B7C732B" w14:textId="77777777" w:rsidR="00BA1C97" w:rsidRDefault="00BA1C97" w:rsidP="00BA1C97">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528.</w:t>
      </w:r>
    </w:p>
  </w:footnote>
  <w:footnote w:id="275">
    <w:p w14:paraId="605B0EF0" w14:textId="77777777" w:rsidR="00BA1C97" w:rsidRDefault="00BA1C97" w:rsidP="00BA1C97">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Rodarte Nava </w:t>
      </w:r>
      <w:r>
        <w:rPr>
          <w:rFonts w:ascii="Times New Roman" w:eastAsia="Times New Roman" w:hAnsi="Times New Roman" w:cs="Times New Roman"/>
          <w:i/>
          <w:sz w:val="20"/>
          <w:szCs w:val="20"/>
        </w:rPr>
        <w:t>et al.</w:t>
      </w:r>
      <w:r>
        <w:rPr>
          <w:rFonts w:ascii="Times New Roman" w:eastAsia="Times New Roman" w:hAnsi="Times New Roman" w:cs="Times New Roman"/>
          <w:sz w:val="20"/>
          <w:szCs w:val="20"/>
        </w:rPr>
        <w:t>, El problema de la determinancia cuantitativa, cit., p. 313.</w:t>
      </w:r>
    </w:p>
  </w:footnote>
  <w:footnote w:id="276">
    <w:p w14:paraId="2058F09F" w14:textId="77777777" w:rsidR="00BA1C97" w:rsidRDefault="00BA1C97" w:rsidP="00BA1C97">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SUP-CDC-2/2017, cit., p. 40.</w:t>
      </w:r>
    </w:p>
  </w:footnote>
  <w:footnote w:id="277">
    <w:p w14:paraId="0F13B8AA" w14:textId="77777777" w:rsidR="00BA1C97" w:rsidRDefault="00BA1C97" w:rsidP="00BA1C97">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43.</w:t>
      </w:r>
    </w:p>
  </w:footnote>
  <w:footnote w:id="278">
    <w:p w14:paraId="02A00E61" w14:textId="77777777" w:rsidR="00BA1C97" w:rsidRDefault="00BA1C97" w:rsidP="00BA1C97">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44.</w:t>
      </w:r>
    </w:p>
  </w:footnote>
  <w:footnote w:id="279">
    <w:p w14:paraId="515450B1" w14:textId="77777777" w:rsidR="00BA1C97" w:rsidRDefault="00BA1C97" w:rsidP="00BA1C97">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47.</w:t>
      </w:r>
    </w:p>
  </w:footnote>
  <w:footnote w:id="280">
    <w:p w14:paraId="2AA86BA6" w14:textId="77777777" w:rsidR="00BA1C97" w:rsidRDefault="00BA1C97" w:rsidP="00BA1C97">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pp. 44 y 47.</w:t>
      </w:r>
    </w:p>
  </w:footnote>
  <w:footnote w:id="281">
    <w:p w14:paraId="1A368584" w14:textId="77777777" w:rsidR="00BA1C97" w:rsidRDefault="00BA1C97" w:rsidP="00BA1C97">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Sala Superior del Tribunal Electoral del Poder Judicial de la Federación, SUP-REC-1388/2018, sentencia de 30 de septiembre de 2018, p. 1.</w:t>
      </w:r>
    </w:p>
  </w:footnote>
  <w:footnote w:id="282">
    <w:p w14:paraId="38ACD3FF" w14:textId="77777777" w:rsidR="00BA1C97" w:rsidRDefault="00BA1C97" w:rsidP="00BA1C97">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46.</w:t>
      </w:r>
    </w:p>
  </w:footnote>
  <w:footnote w:id="283">
    <w:p w14:paraId="594DBC92" w14:textId="77777777" w:rsidR="00BA1C97" w:rsidRDefault="00BA1C97" w:rsidP="00BA1C97">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47.</w:t>
      </w:r>
    </w:p>
  </w:footnote>
  <w:footnote w:id="284">
    <w:p w14:paraId="16480C33" w14:textId="77777777" w:rsidR="00BA1C97" w:rsidRDefault="00BA1C97" w:rsidP="00BA1C97">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48.</w:t>
      </w:r>
    </w:p>
  </w:footnote>
  <w:footnote w:id="285">
    <w:p w14:paraId="6508CE3A" w14:textId="77777777" w:rsidR="00BA1C97" w:rsidRDefault="00BA1C97" w:rsidP="00BA1C97">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Rodríguez Mondragón, Reyes, voto razonado en el SUP-REC-1388/2018, p. 75.</w:t>
      </w:r>
    </w:p>
  </w:footnote>
  <w:footnote w:id="286">
    <w:p w14:paraId="1DDC6EC6" w14:textId="77777777" w:rsidR="00BA1C97" w:rsidRDefault="00BA1C97" w:rsidP="00BA1C97">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Ferrer Beltrán, Jordi, </w:t>
      </w:r>
      <w:r>
        <w:rPr>
          <w:rFonts w:ascii="Times New Roman" w:eastAsia="Times New Roman" w:hAnsi="Times New Roman" w:cs="Times New Roman"/>
          <w:i/>
          <w:sz w:val="20"/>
          <w:szCs w:val="20"/>
        </w:rPr>
        <w:t>Prueba sin convicción. Estándares de prueba y debido proceso</w:t>
      </w:r>
      <w:r>
        <w:rPr>
          <w:rFonts w:ascii="Times New Roman" w:eastAsia="Times New Roman" w:hAnsi="Times New Roman" w:cs="Times New Roman"/>
          <w:sz w:val="20"/>
          <w:szCs w:val="20"/>
        </w:rPr>
        <w:t>, Madrid, Marcial Pons, 2021, p. 29.</w:t>
      </w:r>
    </w:p>
  </w:footnote>
  <w:footnote w:id="287">
    <w:p w14:paraId="2C926465" w14:textId="77777777" w:rsidR="00BA1C97" w:rsidRDefault="00BA1C97" w:rsidP="00BA1C97">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SUP-JRC-221/2003, cit., p. 530.</w:t>
      </w:r>
    </w:p>
  </w:footnote>
  <w:footnote w:id="288">
    <w:p w14:paraId="07222E97" w14:textId="77777777" w:rsidR="00BA1C97" w:rsidRDefault="00BA1C97" w:rsidP="00BA1C97">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pp. 580 y 581.</w:t>
      </w:r>
    </w:p>
  </w:footnote>
  <w:footnote w:id="289">
    <w:p w14:paraId="45621DAA" w14:textId="77777777" w:rsidR="00BA1C97" w:rsidRDefault="00BA1C97" w:rsidP="00BA1C97">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581.</w:t>
      </w:r>
    </w:p>
  </w:footnote>
  <w:footnote w:id="290">
    <w:p w14:paraId="6018CF2F" w14:textId="77777777" w:rsidR="00BA1C97" w:rsidRDefault="00BA1C97" w:rsidP="00BA1C97">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pp. 589 y 590.</w:t>
      </w:r>
    </w:p>
  </w:footnote>
  <w:footnote w:id="291">
    <w:p w14:paraId="32D12268" w14:textId="77777777" w:rsidR="00BA1C97" w:rsidRDefault="00BA1C97" w:rsidP="00BA1C97">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Voto particular de los magistrados Alfonsina Berta Navarro Hidalgo, José Luis de la Peza y Eloy Fuentes Cerda en el SUP-JRC-221/2003, pp. 596 y 597.</w:t>
      </w:r>
    </w:p>
  </w:footnote>
  <w:footnote w:id="292">
    <w:p w14:paraId="1C21AB94" w14:textId="77777777" w:rsidR="00BA1C97" w:rsidRDefault="00BA1C97" w:rsidP="00BA1C97">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Sala Superior del Tribunal Electoral del Poder Judicial de la Federación, SUP-JRC-604/2007, sentencia de 23 de diciembre de 2007, pp. 118 y 135.</w:t>
      </w:r>
    </w:p>
  </w:footnote>
  <w:footnote w:id="293">
    <w:p w14:paraId="52BFFE4B" w14:textId="77777777" w:rsidR="00BA1C97" w:rsidRDefault="00BA1C97" w:rsidP="00BA1C97">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96.</w:t>
      </w:r>
    </w:p>
  </w:footnote>
  <w:footnote w:id="294">
    <w:p w14:paraId="2A8B5F8F" w14:textId="77777777" w:rsidR="00BA1C97" w:rsidRDefault="00BA1C97" w:rsidP="00BA1C97">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pp. 133 y 134.</w:t>
      </w:r>
    </w:p>
  </w:footnote>
  <w:footnote w:id="295">
    <w:p w14:paraId="3FDDC266" w14:textId="77777777" w:rsidR="00BA1C97" w:rsidRDefault="00BA1C97" w:rsidP="00BA1C97">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Olaiz González, Estudio de la sentencia SUP-JIN-359/2012, cit., pp. 65 y 66.</w:t>
      </w:r>
    </w:p>
  </w:footnote>
  <w:footnote w:id="296">
    <w:p w14:paraId="3977878A" w14:textId="77777777" w:rsidR="00BA1C97" w:rsidRDefault="00BA1C97" w:rsidP="00BA1C97">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pp. 69 y 70.</w:t>
      </w:r>
    </w:p>
  </w:footnote>
  <w:footnote w:id="297">
    <w:p w14:paraId="399793B9" w14:textId="77777777" w:rsidR="00BA1C97" w:rsidRDefault="00BA1C97" w:rsidP="00BA1C97">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pp. 56 y 73.</w:t>
      </w:r>
    </w:p>
  </w:footnote>
  <w:footnote w:id="298">
    <w:p w14:paraId="070AEAD7" w14:textId="77777777" w:rsidR="00BA1C97" w:rsidRDefault="00BA1C97" w:rsidP="00BA1C97">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Ley General del Sistema de Medios de Impugnación en Materia Electoral, artículo 16, párrafos 1 y 3.</w:t>
      </w:r>
    </w:p>
  </w:footnote>
  <w:footnote w:id="299">
    <w:p w14:paraId="48DFEA49" w14:textId="77777777" w:rsidR="00BA1C97" w:rsidRDefault="00BA1C97" w:rsidP="00BA1C97">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Ferrer Beltrán, </w:t>
      </w:r>
      <w:r>
        <w:rPr>
          <w:rFonts w:ascii="Times New Roman" w:eastAsia="Times New Roman" w:hAnsi="Times New Roman" w:cs="Times New Roman"/>
          <w:i/>
          <w:sz w:val="20"/>
          <w:szCs w:val="20"/>
        </w:rPr>
        <w:t>Prueba sin convicción</w:t>
      </w:r>
      <w:r>
        <w:rPr>
          <w:rFonts w:ascii="Times New Roman" w:eastAsia="Times New Roman" w:hAnsi="Times New Roman" w:cs="Times New Roman"/>
          <w:sz w:val="20"/>
          <w:szCs w:val="20"/>
        </w:rPr>
        <w:t>, cit., p. 65.</w:t>
      </w:r>
    </w:p>
  </w:footnote>
  <w:footnote w:id="300">
    <w:p w14:paraId="6158777A" w14:textId="77777777" w:rsidR="000A1322" w:rsidRDefault="000A1322" w:rsidP="000A132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Ley General del Sistema de Medios de Impugnación en Materia Electoral, artículo 16, párrafos 1 a 3, texto consultado con última reforma publicada en el </w:t>
      </w:r>
      <w:r>
        <w:rPr>
          <w:rFonts w:ascii="Times New Roman" w:eastAsia="Times New Roman" w:hAnsi="Times New Roman" w:cs="Times New Roman"/>
          <w:i/>
          <w:sz w:val="20"/>
          <w:szCs w:val="20"/>
        </w:rPr>
        <w:t>Diario Oficial de la Federación</w:t>
      </w:r>
      <w:r>
        <w:rPr>
          <w:rFonts w:ascii="Times New Roman" w:eastAsia="Times New Roman" w:hAnsi="Times New Roman" w:cs="Times New Roman"/>
          <w:sz w:val="20"/>
          <w:szCs w:val="20"/>
        </w:rPr>
        <w:t xml:space="preserve"> el 14 de noviembre de 2025.</w:t>
      </w:r>
    </w:p>
  </w:footnote>
  <w:footnote w:id="301">
    <w:p w14:paraId="19EC7BF5" w14:textId="77777777" w:rsidR="000A1322" w:rsidRDefault="000A1322" w:rsidP="000A132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Ley General del Sistema de Medios de Impugnación en Materia Electoral, nota de publicación en la compilación de la Cámara de Diputados, texto vigente con última reforma publicada en el </w:t>
      </w:r>
      <w:r>
        <w:rPr>
          <w:rFonts w:ascii="Times New Roman" w:eastAsia="Times New Roman" w:hAnsi="Times New Roman" w:cs="Times New Roman"/>
          <w:i/>
          <w:sz w:val="20"/>
          <w:szCs w:val="20"/>
        </w:rPr>
        <w:t>Diario Oficial de la Federación</w:t>
      </w:r>
      <w:r>
        <w:rPr>
          <w:rFonts w:ascii="Times New Roman" w:eastAsia="Times New Roman" w:hAnsi="Times New Roman" w:cs="Times New Roman"/>
          <w:sz w:val="20"/>
          <w:szCs w:val="20"/>
        </w:rPr>
        <w:t xml:space="preserve"> el 14 de noviembre de 2025.</w:t>
      </w:r>
    </w:p>
  </w:footnote>
  <w:footnote w:id="302">
    <w:p w14:paraId="205C2A6A" w14:textId="77777777" w:rsidR="000A1322" w:rsidRDefault="000A1322" w:rsidP="000A132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Woldenberg, José, </w:t>
      </w:r>
      <w:r>
        <w:rPr>
          <w:rFonts w:ascii="Times New Roman" w:eastAsia="Times New Roman" w:hAnsi="Times New Roman" w:cs="Times New Roman"/>
          <w:i/>
          <w:sz w:val="20"/>
          <w:szCs w:val="20"/>
        </w:rPr>
        <w:t>Historia mínima de la transición democrática en México</w:t>
      </w:r>
      <w:r>
        <w:rPr>
          <w:rFonts w:ascii="Times New Roman" w:eastAsia="Times New Roman" w:hAnsi="Times New Roman" w:cs="Times New Roman"/>
          <w:sz w:val="20"/>
          <w:szCs w:val="20"/>
        </w:rPr>
        <w:t xml:space="preserve">, México, El Colegio de México, 2012, </w:t>
      </w:r>
      <w:r>
        <w:rPr>
          <w:rFonts w:ascii="Times New Roman" w:eastAsia="Times New Roman" w:hAnsi="Times New Roman" w:cs="Times New Roman"/>
          <w:sz w:val="20"/>
          <w:szCs w:val="20"/>
        </w:rPr>
        <w:t xml:space="preserve">capítulo «Construyendo la equidad», apartado «La reforma más ambiciosa», punto 2, «El contencioso electoral»</w:t>
      </w:r>
      <w:r>
        <w:rPr>
          <w:rFonts w:ascii="Times New Roman" w:eastAsia="Times New Roman" w:hAnsi="Times New Roman" w:cs="Times New Roman"/>
          <w:sz w:val="20"/>
          <w:szCs w:val="20"/>
        </w:rPr>
        <w:t xml:space="preserve">.</w:t>
      </w:r>
    </w:p>
  </w:footnote>
  <w:footnote w:id="303">
    <w:p w14:paraId="0AD3F822" w14:textId="77777777" w:rsidR="000A1322" w:rsidRDefault="000A1322" w:rsidP="000A132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Constitución Política de los Estados Unidos Mexicanos, artículo 99, párrafo primero, texto consultado con últimas reformas publicadas en el </w:t>
      </w:r>
      <w:r>
        <w:rPr>
          <w:rFonts w:ascii="Times New Roman" w:eastAsia="Times New Roman" w:hAnsi="Times New Roman" w:cs="Times New Roman"/>
          <w:i/>
          <w:sz w:val="20"/>
          <w:szCs w:val="20"/>
        </w:rPr>
        <w:t>Diario Oficial de la Federación</w:t>
      </w:r>
      <w:r>
        <w:rPr>
          <w:rFonts w:ascii="Times New Roman" w:eastAsia="Times New Roman" w:hAnsi="Times New Roman" w:cs="Times New Roman"/>
          <w:sz w:val="20"/>
          <w:szCs w:val="20"/>
        </w:rPr>
        <w:t xml:space="preserve"> el 2 de junio de 2026.</w:t>
      </w:r>
    </w:p>
  </w:footnote>
  <w:footnote w:id="304">
    <w:p w14:paraId="00E2D8BE" w14:textId="77777777" w:rsidR="000A1322" w:rsidRDefault="000A1322" w:rsidP="000A132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Ley General del Sistema de Medios de Impugnación en Materia Electoral, nota sobre el texto que recupera vigencia, en la compilación citada.</w:t>
      </w:r>
    </w:p>
  </w:footnote>
  <w:footnote w:id="305">
    <w:p w14:paraId="19A1A0D5" w14:textId="77777777" w:rsidR="000A1322" w:rsidRDefault="000A1322" w:rsidP="000A132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Benfeld, Johann, Los orígenes del concepto de sana crítica, </w:t>
      </w:r>
      <w:r>
        <w:rPr>
          <w:rFonts w:ascii="Times New Roman" w:eastAsia="Times New Roman" w:hAnsi="Times New Roman" w:cs="Times New Roman"/>
          <w:i/>
          <w:sz w:val="20"/>
          <w:szCs w:val="20"/>
        </w:rPr>
        <w:t>Revista de Estudios Histórico-Jurídicos</w:t>
      </w:r>
      <w:r>
        <w:rPr>
          <w:rFonts w:ascii="Times New Roman" w:eastAsia="Times New Roman" w:hAnsi="Times New Roman" w:cs="Times New Roman"/>
          <w:sz w:val="20"/>
          <w:szCs w:val="20"/>
        </w:rPr>
        <w:t>, Valparaíso, núm. XXXV, 2013, pp. 569-585.</w:t>
      </w:r>
    </w:p>
  </w:footnote>
  <w:footnote w:id="306">
    <w:p w14:paraId="68A3BA82" w14:textId="77777777" w:rsidR="000A1322" w:rsidRDefault="000A1322" w:rsidP="000A132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571.</w:t>
      </w:r>
    </w:p>
  </w:footnote>
  <w:footnote w:id="307">
    <w:p w14:paraId="6C36FC3B" w14:textId="77777777" w:rsidR="000A1322" w:rsidRDefault="000A1322" w:rsidP="000A132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572.</w:t>
      </w:r>
    </w:p>
  </w:footnote>
  <w:footnote w:id="308">
    <w:p w14:paraId="14775447" w14:textId="77777777" w:rsidR="000A1322" w:rsidRDefault="000A1322" w:rsidP="000A132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pp. 575-577.</w:t>
      </w:r>
    </w:p>
  </w:footnote>
  <w:footnote w:id="309">
    <w:p w14:paraId="40E8F08C" w14:textId="77777777" w:rsidR="000A1322" w:rsidRDefault="000A1322" w:rsidP="000A132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 xml:space="preserve">pp. 575 y 576</w:t>
      </w:r>
      <w:r>
        <w:rPr>
          <w:rFonts w:ascii="Times New Roman" w:eastAsia="Times New Roman" w:hAnsi="Times New Roman" w:cs="Times New Roman"/>
          <w:sz w:val="20"/>
          <w:szCs w:val="20"/>
        </w:rPr>
        <w:t xml:space="preserve">.</w:t>
      </w:r>
    </w:p>
  </w:footnote>
  <w:footnote w:id="310">
    <w:p w14:paraId="43611303" w14:textId="77777777" w:rsidR="000A1322" w:rsidRDefault="000A1322" w:rsidP="000A132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579.</w:t>
      </w:r>
    </w:p>
  </w:footnote>
  <w:footnote w:id="311">
    <w:p w14:paraId="7E231FFF" w14:textId="77777777" w:rsidR="000A1322" w:rsidRDefault="000A1322" w:rsidP="000A132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Tribunal Electoral del Poder Judicial de la Federación, </w:t>
      </w:r>
      <w:r>
        <w:rPr>
          <w:rFonts w:ascii="Times New Roman" w:eastAsia="Times New Roman" w:hAnsi="Times New Roman" w:cs="Times New Roman"/>
          <w:i/>
          <w:sz w:val="20"/>
          <w:szCs w:val="20"/>
        </w:rPr>
        <w:t>Ejecución de sentencias en los juicios de revisión constitucional electoral. Caso Tabasco</w:t>
      </w:r>
      <w:r>
        <w:rPr>
          <w:rFonts w:ascii="Times New Roman" w:eastAsia="Times New Roman" w:hAnsi="Times New Roman" w:cs="Times New Roman"/>
          <w:sz w:val="20"/>
          <w:szCs w:val="20"/>
        </w:rPr>
        <w:t>, México, TEPJF, 2001, Colección Sentencias Relevantes, núm. 2, t. I, sentencia SUP-JRC-487/2000 y acumulado SUP-JRC-489/2000, pp. 1 y 2.</w:t>
      </w:r>
    </w:p>
  </w:footnote>
  <w:footnote w:id="312">
    <w:p w14:paraId="248F6589" w14:textId="77777777" w:rsidR="000A1322" w:rsidRDefault="000A1322" w:rsidP="000A132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483.</w:t>
      </w:r>
    </w:p>
  </w:footnote>
  <w:footnote w:id="313">
    <w:p w14:paraId="2C3701D3" w14:textId="77777777" w:rsidR="000A1322" w:rsidRDefault="000A1322" w:rsidP="000A132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1.</w:t>
      </w:r>
    </w:p>
  </w:footnote>
  <w:footnote w:id="314">
    <w:p w14:paraId="554DD950" w14:textId="77777777" w:rsidR="000A1322" w:rsidRDefault="000A1322" w:rsidP="000A132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506.</w:t>
      </w:r>
    </w:p>
  </w:footnote>
  <w:footnote w:id="315">
    <w:p w14:paraId="2696ADDA" w14:textId="77777777" w:rsidR="000A1322" w:rsidRDefault="000A1322" w:rsidP="000A132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Zamacona Madrigal, Jorge Alberto y García Rodríguez, Martha Margarita, Vigencia de la causal abstracta de nulidad de elección en México a través del nacimiento de la causal de nulidad de elecciones por violación a principios constitucionales. Caso Yurécuaro, Michoacán, </w:t>
      </w:r>
      <w:r>
        <w:rPr>
          <w:rFonts w:ascii="Times New Roman" w:eastAsia="Times New Roman" w:hAnsi="Times New Roman" w:cs="Times New Roman"/>
          <w:i/>
          <w:sz w:val="20"/>
          <w:szCs w:val="20"/>
        </w:rPr>
        <w:t xml:space="preserve">Justicia Electoral. Revista del Tribunal Electoral del Poder Judicial de la Federación</w:t>
      </w:r>
      <w:r>
        <w:rPr>
          <w:rFonts w:ascii="Times New Roman" w:eastAsia="Times New Roman" w:hAnsi="Times New Roman" w:cs="Times New Roman"/>
          <w:sz w:val="20"/>
          <w:szCs w:val="20"/>
        </w:rPr>
        <w:t xml:space="preserve">, México, vol. 1, núm. 8, 2011, pp. 257-285</w:t>
      </w:r>
      <w:r>
        <w:rPr>
          <w:rFonts w:ascii="Times New Roman" w:eastAsia="Times New Roman" w:hAnsi="Times New Roman" w:cs="Times New Roman"/>
          <w:sz w:val="20"/>
          <w:szCs w:val="20"/>
        </w:rPr>
        <w:t xml:space="preserve">, en particular pp. 268-271.</w:t>
      </w:r>
    </w:p>
  </w:footnote>
  <w:footnote w:id="316">
    <w:p w14:paraId="7D984B39" w14:textId="77777777" w:rsidR="000A1322" w:rsidRDefault="000A1322" w:rsidP="000A132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272.</w:t>
      </w:r>
    </w:p>
  </w:footnote>
  <w:footnote w:id="317">
    <w:p w14:paraId="568AD167" w14:textId="77777777" w:rsidR="000A1322" w:rsidRDefault="000A1322" w:rsidP="000A132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 xml:space="preserve">Tribunal Electoral del Poder Judicial de la Federación, </w:t>
      </w:r>
      <w:r>
        <w:rPr>
          <w:rFonts w:ascii="Times New Roman" w:eastAsia="Times New Roman" w:hAnsi="Times New Roman" w:cs="Times New Roman"/>
          <w:i/>
          <w:sz w:val="20"/>
          <w:szCs w:val="20"/>
        </w:rPr>
        <w:t xml:space="preserve">Ejecución de sentencias en los juicios de revisión constitucional electoral. Caso Tabasco</w:t>
      </w:r>
      <w:r>
        <w:rPr>
          <w:rFonts w:ascii="Times New Roman" w:eastAsia="Times New Roman" w:hAnsi="Times New Roman" w:cs="Times New Roman"/>
          <w:sz w:val="20"/>
          <w:szCs w:val="20"/>
        </w:rPr>
        <w:t xml:space="preserve">, cit., t. I</w:t>
      </w:r>
      <w:r>
        <w:rPr>
          <w:rFonts w:ascii="Times New Roman" w:eastAsia="Times New Roman" w:hAnsi="Times New Roman" w:cs="Times New Roman"/>
          <w:sz w:val="20"/>
          <w:szCs w:val="20"/>
        </w:rPr>
        <w:t xml:space="preserve">, p. 451.</w:t>
      </w:r>
    </w:p>
  </w:footnote>
  <w:footnote w:id="318">
    <w:p w14:paraId="26903476" w14:textId="77777777" w:rsidR="000A1322" w:rsidRDefault="000A1322" w:rsidP="000A132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431.</w:t>
      </w:r>
    </w:p>
  </w:footnote>
  <w:footnote w:id="319">
    <w:p w14:paraId="053956C2" w14:textId="77777777" w:rsidR="000A1322" w:rsidRDefault="000A1322" w:rsidP="000A132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424.</w:t>
      </w:r>
    </w:p>
  </w:footnote>
  <w:footnote w:id="320">
    <w:p w14:paraId="03C1F352" w14:textId="77777777" w:rsidR="000A1322" w:rsidRDefault="000A1322" w:rsidP="000A132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pp. 429 y 430.</w:t>
      </w:r>
    </w:p>
  </w:footnote>
  <w:footnote w:id="321">
    <w:p w14:paraId="42A05606" w14:textId="77777777" w:rsidR="000A1322" w:rsidRDefault="000A1322" w:rsidP="000A132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430.</w:t>
      </w:r>
    </w:p>
  </w:footnote>
  <w:footnote w:id="322">
    <w:p w14:paraId="1C10F7BA" w14:textId="77777777" w:rsidR="000A1322" w:rsidRDefault="000A1322" w:rsidP="000A132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432.</w:t>
      </w:r>
    </w:p>
  </w:footnote>
  <w:footnote w:id="323">
    <w:p w14:paraId="51FC625A" w14:textId="77777777" w:rsidR="000A1322" w:rsidRDefault="000A1322" w:rsidP="000A132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433.</w:t>
      </w:r>
    </w:p>
  </w:footnote>
  <w:footnote w:id="324">
    <w:p w14:paraId="5A55F0FC" w14:textId="77777777" w:rsidR="000A1322" w:rsidRDefault="000A1322" w:rsidP="000A132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451.</w:t>
      </w:r>
    </w:p>
  </w:footnote>
  <w:footnote w:id="325">
    <w:p w14:paraId="2E0AC8AB" w14:textId="77777777" w:rsidR="000A1322" w:rsidRDefault="000A1322" w:rsidP="000A132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431.</w:t>
      </w:r>
    </w:p>
  </w:footnote>
  <w:footnote w:id="326">
    <w:p w14:paraId="6EC108C8" w14:textId="77777777" w:rsidR="000A1322" w:rsidRDefault="000A1322" w:rsidP="000A132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430.</w:t>
      </w:r>
    </w:p>
  </w:footnote>
  <w:footnote w:id="327">
    <w:p w14:paraId="7E7AD77D" w14:textId="77777777" w:rsidR="000A1322" w:rsidRDefault="000A1322" w:rsidP="000A132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480.</w:t>
      </w:r>
    </w:p>
  </w:footnote>
  <w:footnote w:id="328">
    <w:p w14:paraId="49A9D9E9" w14:textId="77777777" w:rsidR="000A1322" w:rsidRDefault="000A1322" w:rsidP="000A132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499.</w:t>
      </w:r>
    </w:p>
  </w:footnote>
  <w:footnote w:id="329">
    <w:p w14:paraId="14199118" w14:textId="77777777" w:rsidR="000A1322" w:rsidRDefault="000A1322" w:rsidP="000A132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500.</w:t>
      </w:r>
    </w:p>
  </w:footnote>
  <w:footnote w:id="330">
    <w:p w14:paraId="33E00A34" w14:textId="77777777" w:rsidR="000A1322" w:rsidRDefault="000A1322" w:rsidP="000A132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501.</w:t>
      </w:r>
    </w:p>
  </w:footnote>
  <w:footnote w:id="331">
    <w:p w14:paraId="34F4477B" w14:textId="77777777" w:rsidR="000A1322" w:rsidRDefault="000A1322" w:rsidP="000A132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pp. 502 y 503.</w:t>
      </w:r>
    </w:p>
  </w:footnote>
  <w:footnote w:id="332">
    <w:p w14:paraId="1A670451" w14:textId="77777777" w:rsidR="000A1322" w:rsidRDefault="000A1322" w:rsidP="000A132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504.</w:t>
      </w:r>
    </w:p>
  </w:footnote>
  <w:footnote w:id="333">
    <w:p w14:paraId="7D1D479A" w14:textId="77777777" w:rsidR="000A1322" w:rsidRDefault="000A1322" w:rsidP="000A132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505.</w:t>
      </w:r>
    </w:p>
  </w:footnote>
  <w:footnote w:id="334">
    <w:p w14:paraId="6750D747" w14:textId="77777777" w:rsidR="000A1322" w:rsidRDefault="000A1322" w:rsidP="000A132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Voto particular de los magistrados Eloy Fuentes Cerda y Alfonsina Berta Navarro Hidalgo, en </w:t>
      </w:r>
      <w:r>
        <w:rPr>
          <w:rFonts w:ascii="Times New Roman" w:eastAsia="Times New Roman" w:hAnsi="Times New Roman" w:cs="Times New Roman"/>
          <w:i/>
          <w:sz w:val="20"/>
          <w:szCs w:val="20"/>
        </w:rPr>
        <w:t>Ejecución de sentencias en los juicios de revisión constitucional electoral. Caso Tabasco</w:t>
      </w:r>
      <w:r>
        <w:rPr>
          <w:rFonts w:ascii="Times New Roman" w:eastAsia="Times New Roman" w:hAnsi="Times New Roman" w:cs="Times New Roman"/>
          <w:sz w:val="20"/>
          <w:szCs w:val="20"/>
        </w:rPr>
        <w:t>, cit., t. II, p. 1.</w:t>
      </w:r>
    </w:p>
  </w:footnote>
  <w:footnote w:id="335">
    <w:p w14:paraId="235FB435" w14:textId="77777777" w:rsidR="000A1322" w:rsidRDefault="000A1322" w:rsidP="000A132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Jurisprudencia 38/2002, NOTAS PERIODÍSTICAS. ELEMENTOS PARA DETERMINAR SU FUERZA INDICIARIA, </w:t>
      </w:r>
      <w:r>
        <w:rPr>
          <w:rFonts w:ascii="Times New Roman" w:eastAsia="Times New Roman" w:hAnsi="Times New Roman" w:cs="Times New Roman"/>
          <w:i/>
          <w:sz w:val="20"/>
          <w:szCs w:val="20"/>
        </w:rPr>
        <w:t>Justicia Electoral. Revista del Tribunal Electoral del Poder Judicial de la Federación</w:t>
      </w:r>
      <w:r>
        <w:rPr>
          <w:rFonts w:ascii="Times New Roman" w:eastAsia="Times New Roman" w:hAnsi="Times New Roman" w:cs="Times New Roman"/>
          <w:sz w:val="20"/>
          <w:szCs w:val="20"/>
        </w:rPr>
        <w:t>, suplemento 6, 2003, p. 44.</w:t>
      </w:r>
    </w:p>
  </w:footnote>
  <w:footnote w:id="336">
    <w:p w14:paraId="299120EF" w14:textId="77777777" w:rsidR="000A1322" w:rsidRDefault="000A1322" w:rsidP="000A132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Sala Superior del Tribunal Electoral del Poder Judicial de la Federación, SUP-JRC-170/2001, sentencia de 6 de septiembre de 2001, pp. 1, 58 y 63.</w:t>
      </w:r>
    </w:p>
  </w:footnote>
  <w:footnote w:id="337">
    <w:p w14:paraId="3FA935D5" w14:textId="77777777" w:rsidR="000A1322" w:rsidRDefault="000A1322" w:rsidP="000A132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Sala Superior del Tribunal Electoral del Poder Judicial de la Federación, SUP-JRC-349/2001 y acumulado, sentencia de 30 de diciembre de 2001, pp. 318-320.</w:t>
      </w:r>
    </w:p>
  </w:footnote>
  <w:footnote w:id="338">
    <w:p w14:paraId="59831162" w14:textId="77777777" w:rsidR="000A1322" w:rsidRDefault="000A1322" w:rsidP="000A132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Sala Superior del Tribunal Electoral del Poder Judicial de la Federación, SUP-JRC-024/2002, sentencia de 30 de enero de 2002, pp. 22-24.</w:t>
      </w:r>
    </w:p>
  </w:footnote>
  <w:footnote w:id="339">
    <w:p w14:paraId="143EB0C0" w14:textId="77777777" w:rsidR="000A1322" w:rsidRDefault="000A1322" w:rsidP="000A132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SUP-JRC-170/2001, cit., p. 58; SUP-JRC-349/2001, cit., p. 320, y SUP-JRC-024/2002, cit., pp. 22 y 29.</w:t>
      </w:r>
    </w:p>
  </w:footnote>
  <w:footnote w:id="340">
    <w:p w14:paraId="440F688D" w14:textId="77777777" w:rsidR="000A1322" w:rsidRDefault="000A1322" w:rsidP="000A132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Sala Superior del Tribunal Electoral del Poder Judicial de la Federación, SUP-JIN-194/2025 y acumulados, sentencia de 20 de agosto de 2025, párrafo 50, p. 11.</w:t>
      </w:r>
    </w:p>
  </w:footnote>
  <w:footnote w:id="341">
    <w:p w14:paraId="1E2AC8E9" w14:textId="77777777" w:rsidR="000A1322" w:rsidRDefault="000A1322" w:rsidP="000A132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Rodríguez Mondragón, Reyes, voto particular en el SUP-JIN-194/2025 y acumulados, p. 18 del voto.</w:t>
      </w:r>
    </w:p>
  </w:footnote>
  <w:footnote w:id="342">
    <w:p w14:paraId="6A6A4465" w14:textId="77777777" w:rsidR="000A1322" w:rsidRDefault="000A1322" w:rsidP="000A132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xml:space="preserve">, p. </w:t>
      </w:r>
      <w:r>
        <w:rPr>
          <w:rFonts w:ascii="Times New Roman" w:eastAsia="Times New Roman" w:hAnsi="Times New Roman" w:cs="Times New Roman"/>
          <w:sz w:val="20"/>
          <w:szCs w:val="20"/>
        </w:rPr>
        <w:t xml:space="preserve">20</w:t>
      </w:r>
      <w:r>
        <w:rPr>
          <w:rFonts w:ascii="Times New Roman" w:eastAsia="Times New Roman" w:hAnsi="Times New Roman" w:cs="Times New Roman"/>
          <w:sz w:val="20"/>
          <w:szCs w:val="20"/>
        </w:rPr>
        <w:t xml:space="preserve"> del voto.</w:t>
      </w:r>
    </w:p>
  </w:footnote>
  <w:footnote w:id="343">
    <w:p w14:paraId="1453D544" w14:textId="77777777" w:rsidR="0062405A" w:rsidRDefault="0062405A" w:rsidP="00207574">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Voto particular de los magistrados Eloy Fuentes Cerda y Alfonsina Berta Navarro Hidalgo, en Tribunal Electoral del Poder Judicial de la Federación, </w:t>
      </w:r>
      <w:r>
        <w:rPr>
          <w:rFonts w:ascii="Times New Roman" w:eastAsia="Times New Roman" w:hAnsi="Times New Roman" w:cs="Times New Roman"/>
          <w:i/>
          <w:sz w:val="20"/>
          <w:szCs w:val="20"/>
        </w:rPr>
        <w:t>Ejecución de sentencias en los juicios de revisión constitucional electoral. Caso Tabasco</w:t>
      </w:r>
      <w:r>
        <w:rPr>
          <w:rFonts w:ascii="Times New Roman" w:eastAsia="Times New Roman" w:hAnsi="Times New Roman" w:cs="Times New Roman"/>
          <w:sz w:val="20"/>
          <w:szCs w:val="20"/>
        </w:rPr>
        <w:t>, México, TEPJF, 2001, Colección Sentencias Relevantes, núm. 2, t. II, p. 1.</w:t>
      </w:r>
    </w:p>
  </w:footnote>
  <w:footnote w:id="344">
    <w:p w14:paraId="6F293BA9" w14:textId="77777777" w:rsidR="0062405A" w:rsidRDefault="0062405A" w:rsidP="0062405A">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1.</w:t>
      </w:r>
    </w:p>
  </w:footnote>
  <w:footnote w:id="345">
    <w:p w14:paraId="1BE2B7CF" w14:textId="77777777" w:rsidR="0062405A" w:rsidRDefault="0062405A" w:rsidP="0062405A">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pp. 1-7.</w:t>
      </w:r>
    </w:p>
  </w:footnote>
  <w:footnote w:id="346">
    <w:p w14:paraId="63B24BF3" w14:textId="77777777" w:rsidR="0062405A" w:rsidRDefault="0062405A" w:rsidP="0062405A">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7.</w:t>
      </w:r>
    </w:p>
  </w:footnote>
  <w:footnote w:id="347">
    <w:p w14:paraId="4A189B9E" w14:textId="77777777" w:rsidR="0062405A" w:rsidRDefault="0062405A" w:rsidP="0062405A">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1.</w:t>
      </w:r>
    </w:p>
  </w:footnote>
  <w:footnote w:id="348">
    <w:p w14:paraId="2D16DD48" w14:textId="77777777" w:rsidR="0062405A" w:rsidRDefault="0062405A" w:rsidP="0062405A">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pp. 1 y 2.</w:t>
      </w:r>
    </w:p>
  </w:footnote>
  <w:footnote w:id="349">
    <w:p w14:paraId="6133E7AC" w14:textId="77777777" w:rsidR="0062405A" w:rsidRDefault="0062405A" w:rsidP="0062405A">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4.</w:t>
      </w:r>
    </w:p>
  </w:footnote>
  <w:footnote w:id="350">
    <w:p w14:paraId="1F4BAD7E" w14:textId="77777777" w:rsidR="0062405A" w:rsidRDefault="0062405A" w:rsidP="0062405A">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pp. 4 y 5.</w:t>
      </w:r>
    </w:p>
  </w:footnote>
  <w:footnote w:id="351">
    <w:p w14:paraId="354B85DA" w14:textId="77777777" w:rsidR="0062405A" w:rsidRDefault="0062405A" w:rsidP="0062405A">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5.</w:t>
      </w:r>
    </w:p>
  </w:footnote>
  <w:footnote w:id="352">
    <w:p w14:paraId="2D5AD630" w14:textId="77777777" w:rsidR="0062405A" w:rsidRDefault="0062405A" w:rsidP="0062405A">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 xml:space="preserve">pp. 5 y 6</w:t>
      </w:r>
      <w:r>
        <w:rPr>
          <w:rFonts w:ascii="Times New Roman" w:eastAsia="Times New Roman" w:hAnsi="Times New Roman" w:cs="Times New Roman"/>
          <w:sz w:val="20"/>
          <w:szCs w:val="20"/>
        </w:rPr>
        <w:t xml:space="preserve">.</w:t>
      </w:r>
    </w:p>
  </w:footnote>
  <w:footnote w:id="353">
    <w:p w14:paraId="10D7A8B0" w14:textId="77777777" w:rsidR="0062405A" w:rsidRDefault="0062405A" w:rsidP="0062405A">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pp. 6 y 7.</w:t>
      </w:r>
    </w:p>
  </w:footnote>
  <w:footnote w:id="354">
    <w:p w14:paraId="3C6F12B9" w14:textId="77777777" w:rsidR="0062405A" w:rsidRDefault="0062405A" w:rsidP="0062405A">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7.</w:t>
      </w:r>
    </w:p>
  </w:footnote>
  <w:footnote w:id="355">
    <w:p w14:paraId="0C2E122F" w14:textId="77777777" w:rsidR="0062405A" w:rsidRDefault="0062405A" w:rsidP="0062405A">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pp. 4 y 7.</w:t>
      </w:r>
    </w:p>
  </w:footnote>
  <w:footnote w:id="356">
    <w:p w14:paraId="5E7C59C8" w14:textId="77777777" w:rsidR="0062405A" w:rsidRDefault="0062405A" w:rsidP="0062405A">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Voto particular, cit., p. 3.</w:t>
      </w:r>
    </w:p>
  </w:footnote>
  <w:footnote w:id="357">
    <w:p w14:paraId="638D3D26" w14:textId="77777777" w:rsidR="0062405A" w:rsidRDefault="0062405A" w:rsidP="0062405A">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269.</w:t>
      </w:r>
    </w:p>
  </w:footnote>
  <w:footnote w:id="358">
    <w:p w14:paraId="3C6FBF6F" w14:textId="77777777" w:rsidR="0062405A" w:rsidRDefault="0062405A" w:rsidP="0062405A">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xml:space="preserve">, p. 238, donde se transcribe la tesis relevante publicada en </w:t>
      </w:r>
      <w:r>
        <w:rPr>
          <w:rFonts w:ascii="Times New Roman" w:eastAsia="Times New Roman" w:hAnsi="Times New Roman" w:cs="Times New Roman"/>
          <w:i/>
          <w:sz w:val="20"/>
          <w:szCs w:val="20"/>
        </w:rPr>
        <w:t>Justicia Electoral. Revista del Tribunal Electoral del Poder Judicial de la Federación</w:t>
      </w:r>
      <w:r>
        <w:rPr>
          <w:rFonts w:ascii="Times New Roman" w:eastAsia="Times New Roman" w:hAnsi="Times New Roman" w:cs="Times New Roman"/>
          <w:sz w:val="20"/>
          <w:szCs w:val="20"/>
        </w:rPr>
        <w:t>, suplemento 3, p. 56, cuyo texto coincide sustancialmente con el de la posterior jurisprudencia 39/2002.</w:t>
      </w:r>
    </w:p>
  </w:footnote>
  <w:footnote w:id="359">
    <w:p w14:paraId="260FDCFE" w14:textId="77777777" w:rsidR="0062405A" w:rsidRDefault="0062405A" w:rsidP="0062405A">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Tribunal Electoral del Poder Judicial de la Federación, </w:t>
      </w:r>
      <w:r>
        <w:rPr>
          <w:rFonts w:ascii="Times New Roman" w:eastAsia="Times New Roman" w:hAnsi="Times New Roman" w:cs="Times New Roman"/>
          <w:i/>
          <w:sz w:val="20"/>
          <w:szCs w:val="20"/>
        </w:rPr>
        <w:t>Ejecución de sentencias en los juicios de revisión constitucional electoral. Caso Tabasco</w:t>
      </w:r>
      <w:r>
        <w:rPr>
          <w:rFonts w:ascii="Times New Roman" w:eastAsia="Times New Roman" w:hAnsi="Times New Roman" w:cs="Times New Roman"/>
          <w:sz w:val="20"/>
          <w:szCs w:val="20"/>
        </w:rPr>
        <w:t>, cit., t. I, p. 487.</w:t>
      </w:r>
    </w:p>
  </w:footnote>
  <w:footnote w:id="360">
    <w:p w14:paraId="499DC3AE" w14:textId="77777777" w:rsidR="0062405A" w:rsidRDefault="0062405A" w:rsidP="0062405A">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Tesis XXXI/2004, NULIDAD DE ELECCIÓN. FACTORES CUALITATIVO Y CUANTITATIVO DEL CARÁCTER DETERMINANTE DE LA VIOLACIÓN O IRREGULARIDAD, </w:t>
      </w:r>
      <w:r>
        <w:rPr>
          <w:rFonts w:ascii="Times New Roman" w:eastAsia="Times New Roman" w:hAnsi="Times New Roman" w:cs="Times New Roman"/>
          <w:i/>
          <w:sz w:val="20"/>
          <w:szCs w:val="20"/>
        </w:rPr>
        <w:t>Jurisprudencia y Tesis Relevantes 1997-2005. Compilación Oficial</w:t>
      </w:r>
      <w:r>
        <w:rPr>
          <w:rFonts w:ascii="Times New Roman" w:eastAsia="Times New Roman" w:hAnsi="Times New Roman" w:cs="Times New Roman"/>
          <w:sz w:val="20"/>
          <w:szCs w:val="20"/>
        </w:rPr>
        <w:t>, Tribunal Electoral del Poder Judicial de la Federación, pp. 725 y 726.</w:t>
      </w:r>
    </w:p>
  </w:footnote>
  <w:footnote w:id="361">
    <w:p w14:paraId="4468C805" w14:textId="77777777" w:rsidR="0062405A" w:rsidRDefault="0062405A" w:rsidP="0062405A">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Sala Superior del Tribunal Electoral del Poder Judicial de la Federación, SUP-JRC-221/2003 y acumulados, sentencia de 29 de octubre de 2003, p. 590.</w:t>
      </w:r>
    </w:p>
  </w:footnote>
  <w:footnote w:id="362">
    <w:p w14:paraId="02CE518B" w14:textId="77777777" w:rsidR="0062405A" w:rsidRDefault="0062405A" w:rsidP="0062405A">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Caso Tabasco</w:t>
      </w:r>
      <w:r>
        <w:rPr>
          <w:rFonts w:ascii="Times New Roman" w:eastAsia="Times New Roman" w:hAnsi="Times New Roman" w:cs="Times New Roman"/>
          <w:sz w:val="20"/>
          <w:szCs w:val="20"/>
        </w:rPr>
        <w:t>, cit., t. I, pp. 430 y 431.</w:t>
      </w:r>
    </w:p>
  </w:footnote>
  <w:footnote w:id="363">
    <w:p w14:paraId="401B0049" w14:textId="77777777" w:rsidR="0062405A" w:rsidRDefault="0062405A" w:rsidP="0062405A">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Voto particular, cit., p. 1.</w:t>
      </w:r>
    </w:p>
  </w:footnote>
  <w:footnote w:id="364">
    <w:p w14:paraId="66E6D29A" w14:textId="77777777" w:rsidR="0062405A" w:rsidRDefault="0062405A" w:rsidP="0062405A">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pp. 4 y 332.</w:t>
      </w:r>
    </w:p>
  </w:footnote>
  <w:footnote w:id="365">
    <w:p w14:paraId="402A45DF" w14:textId="77777777" w:rsidR="0062405A" w:rsidRDefault="0062405A" w:rsidP="0062405A">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Caso Tabasco</w:t>
      </w:r>
      <w:r>
        <w:rPr>
          <w:rFonts w:ascii="Times New Roman" w:eastAsia="Times New Roman" w:hAnsi="Times New Roman" w:cs="Times New Roman"/>
          <w:sz w:val="20"/>
          <w:szCs w:val="20"/>
        </w:rPr>
        <w:t>, cit., t. I, p. 499.</w:t>
      </w:r>
    </w:p>
  </w:footnote>
  <w:footnote w:id="366">
    <w:p w14:paraId="30C75361" w14:textId="77777777" w:rsidR="0062405A" w:rsidRDefault="0062405A" w:rsidP="0062405A">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Voto particular, cit., p. 4.</w:t>
      </w:r>
    </w:p>
  </w:footnote>
  <w:footnote w:id="367">
    <w:p w14:paraId="69D68222" w14:textId="77777777" w:rsidR="0062405A" w:rsidRDefault="0062405A" w:rsidP="0062405A">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SUP-JRC-221/2003, cit., pp. 591-593.</w:t>
      </w:r>
    </w:p>
  </w:footnote>
  <w:footnote w:id="368">
    <w:p w14:paraId="654B40A5" w14:textId="77777777" w:rsidR="0062405A" w:rsidRDefault="0062405A" w:rsidP="0062405A">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594.</w:t>
      </w:r>
    </w:p>
  </w:footnote>
  <w:footnote w:id="369">
    <w:p w14:paraId="12FBE22B" w14:textId="77777777" w:rsidR="0062405A" w:rsidRDefault="0062405A" w:rsidP="0062405A">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pp. 595-597.</w:t>
      </w:r>
    </w:p>
  </w:footnote>
  <w:footnote w:id="370">
    <w:p w14:paraId="6420587F" w14:textId="77777777" w:rsidR="0062405A" w:rsidRDefault="0062405A" w:rsidP="0062405A">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647.</w:t>
      </w:r>
    </w:p>
  </w:footnote>
  <w:footnote w:id="371">
    <w:p w14:paraId="663BC4D9" w14:textId="77777777" w:rsidR="00A019C7" w:rsidRDefault="00A019C7" w:rsidP="00A019C7">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Sala Superior del Tribunal Electoral del Poder Judicial de la Federación, SUP-JIN-194/2025 y acumulados, sentencia de 20 de agosto de 2025, p. 1.</w:t>
      </w:r>
    </w:p>
  </w:footnote>
  <w:footnote w:id="372">
    <w:p w14:paraId="1DFBA70E" w14:textId="77777777" w:rsidR="00A019C7" w:rsidRDefault="00A019C7" w:rsidP="00A019C7">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Constitución Política de los Estados Unidos Mexicanos, artículo 96, párrafo primero, reformado mediante decreto publicado en el </w:t>
      </w:r>
      <w:r>
        <w:rPr>
          <w:rFonts w:ascii="Times New Roman" w:eastAsia="Times New Roman" w:hAnsi="Times New Roman" w:cs="Times New Roman"/>
          <w:i/>
          <w:sz w:val="20"/>
          <w:szCs w:val="20"/>
        </w:rPr>
        <w:t>Diario Oficial de la Federación</w:t>
      </w:r>
      <w:r>
        <w:rPr>
          <w:rFonts w:ascii="Times New Roman" w:eastAsia="Times New Roman" w:hAnsi="Times New Roman" w:cs="Times New Roman"/>
          <w:sz w:val="20"/>
          <w:szCs w:val="20"/>
        </w:rPr>
        <w:t xml:space="preserve"> el 15 de septiembre de 2024, texto consultado con últimas reformas publicadas el 2 de junio de 2026.</w:t>
      </w:r>
    </w:p>
  </w:footnote>
  <w:footnote w:id="373">
    <w:p w14:paraId="5A447EFA" w14:textId="77777777" w:rsidR="00A019C7" w:rsidRDefault="00A019C7" w:rsidP="00A019C7">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Ley General del Sistema de Medios de Impugnación en Materia Electoral, artículo 77 Ter, adicionado mediante decreto publicado en el </w:t>
      </w:r>
      <w:r>
        <w:rPr>
          <w:rFonts w:ascii="Times New Roman" w:eastAsia="Times New Roman" w:hAnsi="Times New Roman" w:cs="Times New Roman"/>
          <w:i/>
          <w:sz w:val="20"/>
          <w:szCs w:val="20"/>
        </w:rPr>
        <w:t>Diario Oficial de la Federación</w:t>
      </w:r>
      <w:r>
        <w:rPr>
          <w:rFonts w:ascii="Times New Roman" w:eastAsia="Times New Roman" w:hAnsi="Times New Roman" w:cs="Times New Roman"/>
          <w:sz w:val="20"/>
          <w:szCs w:val="20"/>
        </w:rPr>
        <w:t xml:space="preserve"> el 15 de octubre de 2024.</w:t>
      </w:r>
    </w:p>
  </w:footnote>
  <w:footnote w:id="374">
    <w:p w14:paraId="10C8342F" w14:textId="77777777" w:rsidR="00A019C7" w:rsidRDefault="00A019C7" w:rsidP="00A019C7">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SUP-JIN-194/2025, cit., párrafos 1 y 2.</w:t>
      </w:r>
    </w:p>
  </w:footnote>
  <w:footnote w:id="375">
    <w:p w14:paraId="6B86B01C" w14:textId="77777777" w:rsidR="00A019C7" w:rsidRDefault="00A019C7" w:rsidP="00A019C7">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párrafos 3 y 37 a 40.</w:t>
      </w:r>
    </w:p>
  </w:footnote>
  <w:footnote w:id="376">
    <w:p w14:paraId="291F157D" w14:textId="77777777" w:rsidR="00A019C7" w:rsidRDefault="00A019C7" w:rsidP="00A019C7">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párrafo 39, p. 8.</w:t>
      </w:r>
    </w:p>
  </w:footnote>
  <w:footnote w:id="377">
    <w:p w14:paraId="288824DE" w14:textId="77777777" w:rsidR="00A019C7" w:rsidRDefault="00A019C7" w:rsidP="00A019C7">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Voto particular del magistrado Reyes Rodríguez Mondragón en el SUP-JIN-194/2025 y acumulados, p. 2 del voto.</w:t>
      </w:r>
    </w:p>
  </w:footnote>
  <w:footnote w:id="378">
    <w:p w14:paraId="09FB24EE" w14:textId="77777777" w:rsidR="00A019C7" w:rsidRDefault="00A019C7" w:rsidP="00A019C7">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2 del voto, y SUP-JIN-194/2025, cit., p. 1.</w:t>
      </w:r>
    </w:p>
  </w:footnote>
  <w:footnote w:id="379">
    <w:p w14:paraId="02C46E7E" w14:textId="77777777" w:rsidR="00A019C7" w:rsidRDefault="00A019C7" w:rsidP="00A019C7">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SUP-JIN-194/2025, cit., p. 1.</w:t>
      </w:r>
    </w:p>
  </w:footnote>
  <w:footnote w:id="380">
    <w:p w14:paraId="44CF9BCF" w14:textId="77777777" w:rsidR="00A019C7" w:rsidRDefault="00A019C7" w:rsidP="00A019C7">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34.</w:t>
      </w:r>
    </w:p>
  </w:footnote>
  <w:footnote w:id="381">
    <w:p w14:paraId="6B992B57" w14:textId="77777777" w:rsidR="00A019C7" w:rsidRDefault="00A019C7" w:rsidP="00A019C7">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Voto particular de la magistrada Janine M. Otálora Malassis en el SUP-JIN-194/2025 y acumulados, pp. 35 y 36.</w:t>
      </w:r>
    </w:p>
  </w:footnote>
  <w:footnote w:id="382">
    <w:p w14:paraId="6E20A2F6" w14:textId="77777777" w:rsidR="00A019C7" w:rsidRDefault="00A019C7" w:rsidP="00A019C7">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SUP-JIN-194/2025, cit., párrafo 45, p. 9.</w:t>
      </w:r>
    </w:p>
  </w:footnote>
  <w:footnote w:id="383">
    <w:p w14:paraId="7518A908" w14:textId="77777777" w:rsidR="00A019C7" w:rsidRDefault="00A019C7" w:rsidP="00A019C7">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párrafo 46, pp. 9 y 10.</w:t>
      </w:r>
    </w:p>
  </w:footnote>
  <w:footnote w:id="384">
    <w:p w14:paraId="4E1986E0" w14:textId="77777777" w:rsidR="00A019C7" w:rsidRDefault="00A019C7" w:rsidP="00A019C7">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SUP-JIN-194/2025, cit., párrafo 48, p. 10.</w:t>
      </w:r>
    </w:p>
  </w:footnote>
  <w:footnote w:id="385">
    <w:p w14:paraId="445819AA" w14:textId="77777777" w:rsidR="00A019C7" w:rsidRDefault="00A019C7" w:rsidP="00A019C7">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párrafo 49, p. 11.</w:t>
      </w:r>
    </w:p>
  </w:footnote>
  <w:footnote w:id="386">
    <w:p w14:paraId="02DD63E1" w14:textId="77777777" w:rsidR="00A019C7" w:rsidRDefault="00A019C7" w:rsidP="00A019C7">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párrafo 50, p. 11.</w:t>
      </w:r>
    </w:p>
  </w:footnote>
  <w:footnote w:id="387">
    <w:p w14:paraId="024D6F68" w14:textId="77777777" w:rsidR="00A019C7" w:rsidRDefault="00A019C7" w:rsidP="00A019C7">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párrafo 51, p. 11.</w:t>
      </w:r>
    </w:p>
  </w:footnote>
  <w:footnote w:id="388">
    <w:p w14:paraId="6FB792E4" w14:textId="77777777" w:rsidR="00A019C7" w:rsidRDefault="00A019C7" w:rsidP="00A019C7">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SUP-JIN-194/2025, cit., párrafo 52, p. 11.</w:t>
      </w:r>
    </w:p>
  </w:footnote>
  <w:footnote w:id="389">
    <w:p w14:paraId="708B28CF" w14:textId="77777777" w:rsidR="00A019C7" w:rsidRDefault="00A019C7" w:rsidP="00A019C7">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párrafo 55, pp. 11 y 12.</w:t>
      </w:r>
    </w:p>
  </w:footnote>
  <w:footnote w:id="390">
    <w:p w14:paraId="25A98CCE" w14:textId="77777777" w:rsidR="00A019C7" w:rsidRDefault="00A019C7" w:rsidP="00A019C7">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párrafo 56, pp. 12 y 13.</w:t>
      </w:r>
    </w:p>
  </w:footnote>
  <w:footnote w:id="391">
    <w:p w14:paraId="748B7B32" w14:textId="77777777" w:rsidR="00A019C7" w:rsidRDefault="00A019C7" w:rsidP="00A019C7">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párrafo 57, p. 13.</w:t>
      </w:r>
    </w:p>
  </w:footnote>
  <w:footnote w:id="392">
    <w:p w14:paraId="26022E7E" w14:textId="77777777" w:rsidR="00A019C7" w:rsidRDefault="00A019C7" w:rsidP="00A019C7">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párrafo 58, p. 13.</w:t>
      </w:r>
    </w:p>
  </w:footnote>
  <w:footnote w:id="393">
    <w:p w14:paraId="3CBE5F08" w14:textId="77777777" w:rsidR="00A019C7" w:rsidRDefault="00A019C7" w:rsidP="00A019C7">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párrafo 59, p. 13.</w:t>
      </w:r>
    </w:p>
  </w:footnote>
  <w:footnote w:id="394">
    <w:p w14:paraId="6E5085C7" w14:textId="77777777" w:rsidR="00A019C7" w:rsidRDefault="00A019C7" w:rsidP="00A019C7">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Ferrer Beltrán, Jordi, </w:t>
      </w:r>
      <w:r>
        <w:rPr>
          <w:rFonts w:ascii="Times New Roman" w:eastAsia="Times New Roman" w:hAnsi="Times New Roman" w:cs="Times New Roman"/>
          <w:i/>
          <w:sz w:val="20"/>
          <w:szCs w:val="20"/>
        </w:rPr>
        <w:t>Prueba sin convicción. Estándares de prueba y debido proceso</w:t>
      </w:r>
      <w:r>
        <w:rPr>
          <w:rFonts w:ascii="Times New Roman" w:eastAsia="Times New Roman" w:hAnsi="Times New Roman" w:cs="Times New Roman"/>
          <w:sz w:val="20"/>
          <w:szCs w:val="20"/>
        </w:rPr>
        <w:t>, Madrid, Marcial Pons, 2021, p. 210.</w:t>
      </w:r>
    </w:p>
  </w:footnote>
  <w:footnote w:id="395">
    <w:p w14:paraId="22291543" w14:textId="77777777" w:rsidR="00A019C7" w:rsidRDefault="00A019C7" w:rsidP="00A019C7">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Voto particular de Rodríguez Mondragón, cit., p. 18 del voto.</w:t>
      </w:r>
    </w:p>
  </w:footnote>
  <w:footnote w:id="396">
    <w:p w14:paraId="1D216975" w14:textId="77777777" w:rsidR="00A019C7" w:rsidRDefault="00A019C7" w:rsidP="00A019C7">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SUP-JIN-194/2025, cit., párrafo 61, pp. 13 y 14.</w:t>
      </w:r>
    </w:p>
  </w:footnote>
  <w:footnote w:id="397">
    <w:p w14:paraId="25D7773C" w14:textId="77777777" w:rsidR="00A019C7" w:rsidRDefault="00A019C7" w:rsidP="00A019C7">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párrafo 62, p. 14.</w:t>
      </w:r>
    </w:p>
  </w:footnote>
  <w:footnote w:id="398">
    <w:p w14:paraId="56060872" w14:textId="77777777" w:rsidR="00A019C7" w:rsidRDefault="00A019C7" w:rsidP="00A019C7">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párrafo 64, p. 14.</w:t>
      </w:r>
    </w:p>
  </w:footnote>
  <w:footnote w:id="399">
    <w:p w14:paraId="407EDA7A" w14:textId="77777777" w:rsidR="00A019C7" w:rsidRDefault="00A019C7" w:rsidP="00A019C7">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párrafo 66, pp. 14 y 15.</w:t>
      </w:r>
    </w:p>
  </w:footnote>
  <w:footnote w:id="400">
    <w:p w14:paraId="5D9044B9" w14:textId="77777777" w:rsidR="00A019C7" w:rsidRDefault="00A019C7" w:rsidP="00A019C7">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Tesis III/2010, NULIDAD DE ELECCIÓN. LAS CONDUCTAS SANCIONADAS A TRAVÉS DE PROCEDIMIENTOS ADMINISTRATIVOS SANCIONADORES SON INSUFICIENTES, POR SÍ MISMAS, PARA ACTUALIZARLA, transcrita en SUP-JIN-194/2025, cit., nota 20.</w:t>
      </w:r>
    </w:p>
  </w:footnote>
  <w:footnote w:id="401">
    <w:p w14:paraId="02A95536" w14:textId="77777777" w:rsidR="00A019C7" w:rsidRDefault="00A019C7" w:rsidP="00A019C7">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SUP-JIN-194/2025, cit., párrafo 74, p. 16.</w:t>
      </w:r>
    </w:p>
  </w:footnote>
  <w:footnote w:id="402">
    <w:p w14:paraId="3536B097" w14:textId="77777777" w:rsidR="00A019C7" w:rsidRDefault="00A019C7" w:rsidP="00A019C7">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párrafo 87, p. 19.</w:t>
      </w:r>
    </w:p>
  </w:footnote>
  <w:footnote w:id="403">
    <w:p w14:paraId="0E215EA3" w14:textId="77777777" w:rsidR="00A019C7" w:rsidRDefault="00A019C7" w:rsidP="00A019C7">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párrafos 88 y 89, pp. 19 y 20.</w:t>
      </w:r>
    </w:p>
  </w:footnote>
  <w:footnote w:id="404">
    <w:p w14:paraId="31384C29" w14:textId="77777777" w:rsidR="00A019C7" w:rsidRDefault="00A019C7" w:rsidP="00A019C7">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párrafo 90, p. 20.</w:t>
      </w:r>
    </w:p>
  </w:footnote>
  <w:footnote w:id="405">
    <w:p w14:paraId="57CE9C88" w14:textId="77777777" w:rsidR="00A019C7" w:rsidRDefault="00A019C7" w:rsidP="00A019C7">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párrafo 92, pp. 20 y 21.</w:t>
      </w:r>
    </w:p>
  </w:footnote>
  <w:footnote w:id="406">
    <w:p w14:paraId="2C57ECDE" w14:textId="77777777" w:rsidR="00A019C7" w:rsidRDefault="00A019C7" w:rsidP="00A019C7">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párrafo 93, p. 21.</w:t>
      </w:r>
    </w:p>
  </w:footnote>
  <w:footnote w:id="407">
    <w:p w14:paraId="4426C3DC" w14:textId="77777777" w:rsidR="00A019C7" w:rsidRDefault="00A019C7" w:rsidP="00A019C7">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Ferrer Beltrán, </w:t>
      </w:r>
      <w:r>
        <w:rPr>
          <w:rFonts w:ascii="Times New Roman" w:eastAsia="Times New Roman" w:hAnsi="Times New Roman" w:cs="Times New Roman"/>
          <w:i/>
          <w:sz w:val="20"/>
          <w:szCs w:val="20"/>
        </w:rPr>
        <w:t>Prueba sin convicción</w:t>
      </w:r>
      <w:r>
        <w:rPr>
          <w:rFonts w:ascii="Times New Roman" w:eastAsia="Times New Roman" w:hAnsi="Times New Roman" w:cs="Times New Roman"/>
          <w:sz w:val="20"/>
          <w:szCs w:val="20"/>
        </w:rPr>
        <w:t>, cit., p. 40.</w:t>
      </w:r>
    </w:p>
  </w:footnote>
  <w:footnote w:id="408">
    <w:p w14:paraId="1E34A624" w14:textId="77777777" w:rsidR="00A019C7" w:rsidRDefault="00A019C7" w:rsidP="00A019C7">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SUP-JIN-194/2025, cit., párrafos 94 y 95, p. 21.</w:t>
      </w:r>
    </w:p>
  </w:footnote>
  <w:footnote w:id="409">
    <w:p w14:paraId="64D67709" w14:textId="77777777" w:rsidR="00A019C7" w:rsidRDefault="00A019C7" w:rsidP="00A019C7">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párrafo 97, pp. 21 y 22.</w:t>
      </w:r>
    </w:p>
  </w:footnote>
  <w:footnote w:id="410">
    <w:p w14:paraId="12A18ACF" w14:textId="77777777" w:rsidR="00A019C7" w:rsidRDefault="00A019C7" w:rsidP="00A019C7">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párrafo 104, p. 23.</w:t>
      </w:r>
    </w:p>
  </w:footnote>
  <w:footnote w:id="411">
    <w:p w14:paraId="5A56E850" w14:textId="77777777" w:rsidR="00A019C7" w:rsidRDefault="00A019C7" w:rsidP="00A019C7">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párrafos 106 y 107, p. 23.</w:t>
      </w:r>
    </w:p>
  </w:footnote>
  <w:footnote w:id="412">
    <w:p w14:paraId="531B18FB" w14:textId="77777777" w:rsidR="00A019C7" w:rsidRDefault="00A019C7" w:rsidP="00A019C7">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párrafo 108, pp. 23 y 24, y nota 21, que remite a los SUP-JIN-319/2025, SUP-JIN-818/2025 y SUP-JIN-559/2025.</w:t>
      </w:r>
    </w:p>
  </w:footnote>
  <w:footnote w:id="413">
    <w:p w14:paraId="519A3FCE" w14:textId="77777777" w:rsidR="00A019C7" w:rsidRDefault="00A019C7" w:rsidP="00A019C7">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Voto particular de Rodríguez Mondragón, cit., p. 20 del voto.</w:t>
      </w:r>
    </w:p>
  </w:footnote>
  <w:footnote w:id="414">
    <w:p w14:paraId="258EADE2" w14:textId="77777777" w:rsidR="00A019C7" w:rsidRDefault="00A019C7" w:rsidP="00A019C7">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SUP-JIN-194/2025, cit., párrafo 109, pp. 24 y 25.</w:t>
      </w:r>
    </w:p>
  </w:footnote>
  <w:footnote w:id="415">
    <w:p w14:paraId="6DB18E17" w14:textId="77777777" w:rsidR="00A019C7" w:rsidRDefault="00A019C7" w:rsidP="00A019C7">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párrafos 110 a 112, p. 25.</w:t>
      </w:r>
    </w:p>
  </w:footnote>
  <w:footnote w:id="416">
    <w:p w14:paraId="4FA50423" w14:textId="77777777" w:rsidR="00A019C7" w:rsidRDefault="00A019C7" w:rsidP="00A019C7">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párrafo 113, p. 25.</w:t>
      </w:r>
    </w:p>
  </w:footnote>
  <w:footnote w:id="417">
    <w:p w14:paraId="089C8F41" w14:textId="77777777" w:rsidR="00A019C7" w:rsidRDefault="00A019C7" w:rsidP="00A019C7">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Ferrer Beltrán, </w:t>
      </w:r>
      <w:r>
        <w:rPr>
          <w:rFonts w:ascii="Times New Roman" w:eastAsia="Times New Roman" w:hAnsi="Times New Roman" w:cs="Times New Roman"/>
          <w:i/>
          <w:sz w:val="20"/>
          <w:szCs w:val="20"/>
        </w:rPr>
        <w:t>Prueba sin convicción</w:t>
      </w:r>
      <w:r>
        <w:rPr>
          <w:rFonts w:ascii="Times New Roman" w:eastAsia="Times New Roman" w:hAnsi="Times New Roman" w:cs="Times New Roman"/>
          <w:sz w:val="20"/>
          <w:szCs w:val="20"/>
        </w:rPr>
        <w:t>, cit., p. 215.</w:t>
      </w:r>
    </w:p>
  </w:footnote>
  <w:footnote w:id="418">
    <w:p w14:paraId="79307099" w14:textId="77777777" w:rsidR="00A019C7" w:rsidRDefault="00A019C7" w:rsidP="00A019C7">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Voto particular de Rodríguez Mondragón, cit., p. 18 del voto.</w:t>
      </w:r>
    </w:p>
  </w:footnote>
  <w:footnote w:id="419">
    <w:p w14:paraId="525CA26E" w14:textId="77777777" w:rsidR="00A019C7" w:rsidRDefault="00A019C7" w:rsidP="00A019C7">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xml:space="preserve">, p</w:t>
      </w:r>
      <w:r>
        <w:rPr>
          <w:rFonts w:ascii="Times New Roman" w:eastAsia="Times New Roman" w:hAnsi="Times New Roman" w:cs="Times New Roman"/>
          <w:sz w:val="20"/>
          <w:szCs w:val="20"/>
        </w:rPr>
        <w:t xml:space="preserve">p</w:t>
      </w:r>
      <w:r>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 xml:space="preserve">18 y </w:t>
      </w:r>
      <w:r>
        <w:rPr>
          <w:rFonts w:ascii="Times New Roman" w:eastAsia="Times New Roman" w:hAnsi="Times New Roman" w:cs="Times New Roman"/>
          <w:sz w:val="20"/>
          <w:szCs w:val="20"/>
        </w:rPr>
        <w:t xml:space="preserve">21 del voto.</w:t>
      </w:r>
    </w:p>
  </w:footnote>
  <w:footnote w:id="420">
    <w:p w14:paraId="46D031BF" w14:textId="77777777" w:rsidR="00A019C7" w:rsidRDefault="00A019C7" w:rsidP="00A019C7">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Tribunal Electoral del Poder Judicial de la Federación, </w:t>
      </w:r>
      <w:r>
        <w:rPr>
          <w:rFonts w:ascii="Times New Roman" w:eastAsia="Times New Roman" w:hAnsi="Times New Roman" w:cs="Times New Roman"/>
          <w:i/>
          <w:sz w:val="20"/>
          <w:szCs w:val="20"/>
        </w:rPr>
        <w:t>Ejecución de sentencias en los juicios de revisión constitucional electoral. Caso Tabasco</w:t>
      </w:r>
      <w:r>
        <w:rPr>
          <w:rFonts w:ascii="Times New Roman" w:eastAsia="Times New Roman" w:hAnsi="Times New Roman" w:cs="Times New Roman"/>
          <w:sz w:val="20"/>
          <w:szCs w:val="20"/>
        </w:rPr>
        <w:t>, México, TEPJF, 2001, Colección Sentencias Relevantes, núm. 2, t. I, p. 424.</w:t>
      </w:r>
    </w:p>
  </w:footnote>
  <w:footnote w:id="421">
    <w:p w14:paraId="3C1159C8" w14:textId="77777777" w:rsidR="00A019C7" w:rsidRDefault="00A019C7" w:rsidP="00A019C7">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pp. 430 y 431.</w:t>
      </w:r>
    </w:p>
  </w:footnote>
  <w:footnote w:id="422">
    <w:p w14:paraId="00AE2EFE" w14:textId="77777777" w:rsidR="00A019C7" w:rsidRDefault="00A019C7" w:rsidP="00A019C7">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SUP-JIN-194/2025, cit., párrafos 74 y 109, pp. 16 y 25.</w:t>
      </w:r>
    </w:p>
  </w:footnote>
  <w:footnote w:id="423">
    <w:p w14:paraId="354D77E0" w14:textId="77777777" w:rsidR="00A019C7" w:rsidRDefault="00A019C7" w:rsidP="00A019C7">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Caso Tabasco</w:t>
      </w:r>
      <w:r>
        <w:rPr>
          <w:rFonts w:ascii="Times New Roman" w:eastAsia="Times New Roman" w:hAnsi="Times New Roman" w:cs="Times New Roman"/>
          <w:sz w:val="20"/>
          <w:szCs w:val="20"/>
        </w:rPr>
        <w:t>, cit., t. I, p. 505, y SUP-JIN-194/2025, cit., párrafo 46, p. 10.</w:t>
      </w:r>
    </w:p>
  </w:footnote>
  <w:footnote w:id="424">
    <w:p w14:paraId="77FCAFA7" w14:textId="77777777" w:rsidR="00A019C7" w:rsidRDefault="00A019C7" w:rsidP="00A019C7">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Ley General del Sistema de Medios de Impugnación en Materia Electoral, notas de reforma de la compilación de la Cámara de Diputados, texto vigente con última reforma publicada en el </w:t>
      </w:r>
      <w:r>
        <w:rPr>
          <w:rFonts w:ascii="Times New Roman" w:eastAsia="Times New Roman" w:hAnsi="Times New Roman" w:cs="Times New Roman"/>
          <w:i/>
          <w:sz w:val="20"/>
          <w:szCs w:val="20"/>
        </w:rPr>
        <w:t>Diario Oficial de la Federación</w:t>
      </w:r>
      <w:r>
        <w:rPr>
          <w:rFonts w:ascii="Times New Roman" w:eastAsia="Times New Roman" w:hAnsi="Times New Roman" w:cs="Times New Roman"/>
          <w:sz w:val="20"/>
          <w:szCs w:val="20"/>
        </w:rPr>
        <w:t xml:space="preserve"> el 14 de noviembre de 2025.</w:t>
      </w:r>
    </w:p>
  </w:footnote>
  <w:footnote w:id="425">
    <w:p w14:paraId="33EB98DC" w14:textId="77777777" w:rsidR="00A019C7" w:rsidRDefault="00A019C7" w:rsidP="00A019C7">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Constitución Política de los Estados Unidos Mexicanos, artículo 41, base VI, párrafo con incisos y párrafo siguiente, adicionados mediante decreto publicado en el </w:t>
      </w:r>
      <w:r>
        <w:rPr>
          <w:rFonts w:ascii="Times New Roman" w:eastAsia="Times New Roman" w:hAnsi="Times New Roman" w:cs="Times New Roman"/>
          <w:i/>
          <w:sz w:val="20"/>
          <w:szCs w:val="20"/>
        </w:rPr>
        <w:t>Diario Oficial de la Federación</w:t>
      </w:r>
      <w:r>
        <w:rPr>
          <w:rFonts w:ascii="Times New Roman" w:eastAsia="Times New Roman" w:hAnsi="Times New Roman" w:cs="Times New Roman"/>
          <w:sz w:val="20"/>
          <w:szCs w:val="20"/>
        </w:rPr>
        <w:t xml:space="preserve"> el 10 de febrero de 2014.</w:t>
      </w:r>
    </w:p>
  </w:footnote>
  <w:footnote w:id="426">
    <w:p w14:paraId="70540377" w14:textId="77777777" w:rsidR="00A019C7" w:rsidRDefault="00A019C7" w:rsidP="00A019C7">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Ley General del Sistema de Medios de Impugnación en Materia Electoral, artículo 78 bis, párrafos 1 y 2, adicionado mediante decreto publicado en el </w:t>
      </w:r>
      <w:r>
        <w:rPr>
          <w:rFonts w:ascii="Times New Roman" w:eastAsia="Times New Roman" w:hAnsi="Times New Roman" w:cs="Times New Roman"/>
          <w:i/>
          <w:sz w:val="20"/>
          <w:szCs w:val="20"/>
        </w:rPr>
        <w:t>Diario Oficial de la Federación</w:t>
      </w:r>
      <w:r>
        <w:rPr>
          <w:rFonts w:ascii="Times New Roman" w:eastAsia="Times New Roman" w:hAnsi="Times New Roman" w:cs="Times New Roman"/>
          <w:sz w:val="20"/>
          <w:szCs w:val="20"/>
        </w:rPr>
        <w:t xml:space="preserve"> el 23 de mayo de 2014.</w:t>
      </w:r>
    </w:p>
  </w:footnote>
  <w:footnote w:id="427">
    <w:p w14:paraId="6215DA60" w14:textId="77777777" w:rsidR="00A019C7" w:rsidRDefault="00A019C7" w:rsidP="00A019C7">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artículos 77 Ter, párrafo 2, y 78, párrafo 1.</w:t>
      </w:r>
    </w:p>
  </w:footnote>
  <w:footnote w:id="428">
    <w:p w14:paraId="7B676F4F" w14:textId="77777777" w:rsidR="00A019C7" w:rsidRDefault="00A019C7" w:rsidP="00A019C7">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SUP-JIN-194/2025, cit., párrafo 51, p. 11.</w:t>
      </w:r>
    </w:p>
  </w:footnote>
  <w:footnote w:id="429">
    <w:p w14:paraId="61606F68" w14:textId="77777777" w:rsidR="00224E50" w:rsidRDefault="00224E50" w:rsidP="00224E50">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Sala Superior del Tribunal Electoral del Poder Judicial de la Federación, SUP-JIN-194/2025 y acumulados, sentencia de 20 de agosto de 2025, p. 34</w:t>
      </w:r>
      <w:r>
        <w:rPr>
          <w:rFonts w:ascii="Times New Roman" w:eastAsia="Times New Roman" w:hAnsi="Times New Roman" w:cs="Times New Roman"/>
          <w:sz w:val="20"/>
          <w:szCs w:val="20"/>
        </w:rPr>
        <w:t xml:space="preserve">, y voto particular del magistrado Reyes Rodríguez Mondragón en el mismo asunto, p. 2 del voto</w:t>
      </w:r>
      <w:r>
        <w:rPr>
          <w:rFonts w:ascii="Times New Roman" w:eastAsia="Times New Roman" w:hAnsi="Times New Roman" w:cs="Times New Roman"/>
          <w:sz w:val="20"/>
          <w:szCs w:val="20"/>
        </w:rPr>
        <w:t xml:space="preserve">.</w:t>
      </w:r>
    </w:p>
  </w:footnote>
  <w:footnote w:id="430">
    <w:p w14:paraId="4B9ED01B" w14:textId="77777777" w:rsidR="00224E50" w:rsidRDefault="00224E50" w:rsidP="00224E50">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Voto particular del magistrado Reyes Rodríguez Mondragón en el SUP-JIN-194/2025 y acumulados, p. 2 del voto.</w:t>
      </w:r>
    </w:p>
  </w:footnote>
  <w:footnote w:id="431">
    <w:p w14:paraId="26A28828" w14:textId="77777777" w:rsidR="00224E50" w:rsidRDefault="00224E50" w:rsidP="00224E50">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Voto particular de la magistrada Janine M. Otálora Malassis en el SUP-JIN-194/2025 y acumulados, pp. 35 y 36.</w:t>
      </w:r>
    </w:p>
  </w:footnote>
  <w:footnote w:id="432">
    <w:p w14:paraId="0708A535" w14:textId="77777777" w:rsidR="00224E50" w:rsidRDefault="00224E50" w:rsidP="00224E50">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Voto de Rodríguez Mondragón, cit., p. 1, nota 1.</w:t>
      </w:r>
    </w:p>
  </w:footnote>
  <w:footnote w:id="433">
    <w:p w14:paraId="71B699EC" w14:textId="77777777" w:rsidR="00224E50" w:rsidRDefault="00224E50" w:rsidP="00224E50">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3.</w:t>
      </w:r>
    </w:p>
  </w:footnote>
  <w:footnote w:id="434">
    <w:p w14:paraId="053BF15E" w14:textId="77777777" w:rsidR="00224E50" w:rsidRDefault="00224E50" w:rsidP="00224E50">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12.</w:t>
      </w:r>
    </w:p>
  </w:footnote>
  <w:footnote w:id="435">
    <w:p w14:paraId="67A755B9" w14:textId="77777777" w:rsidR="00224E50" w:rsidRDefault="00224E50" w:rsidP="00224E50">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50.</w:t>
      </w:r>
    </w:p>
  </w:footnote>
  <w:footnote w:id="436">
    <w:p w14:paraId="19908B5A" w14:textId="77777777" w:rsidR="00224E50" w:rsidRDefault="00224E50" w:rsidP="00224E50">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Proyecto de sentencia presentado por el magistrado Reyes Rodríguez Mondragón en el SUP-JIN-194/2025 y acumulados, reproducido en su voto particular, pp. 89-111 del voto.</w:t>
      </w:r>
    </w:p>
  </w:footnote>
  <w:footnote w:id="437">
    <w:p w14:paraId="593EB9CF" w14:textId="77777777" w:rsidR="00224E50" w:rsidRDefault="00224E50" w:rsidP="00224E50">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Voto de Rodríguez Mondragón, cit., p. 1.</w:t>
      </w:r>
    </w:p>
  </w:footnote>
  <w:footnote w:id="438">
    <w:p w14:paraId="566B2A4A" w14:textId="77777777" w:rsidR="00224E50" w:rsidRDefault="00224E50" w:rsidP="00224E50">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Proyecto de Rodríguez Mondragón, cit., párrafos 513 a 527, pp. 249-252.</w:t>
      </w:r>
    </w:p>
  </w:footnote>
  <w:footnote w:id="439">
    <w:p w14:paraId="68424EE5" w14:textId="77777777" w:rsidR="00224E50" w:rsidRDefault="00224E50" w:rsidP="00224E50">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Voto de Rodríguez Mondragón, cit., p. 17.</w:t>
      </w:r>
    </w:p>
  </w:footnote>
  <w:footnote w:id="440">
    <w:p w14:paraId="52D98440" w14:textId="77777777" w:rsidR="00224E50" w:rsidRDefault="00224E50" w:rsidP="00224E50">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xml:space="preserve">, p</w:t>
      </w:r>
      <w:r>
        <w:rPr>
          <w:rFonts w:ascii="Times New Roman" w:eastAsia="Times New Roman" w:hAnsi="Times New Roman" w:cs="Times New Roman"/>
          <w:sz w:val="20"/>
          <w:szCs w:val="20"/>
        </w:rPr>
        <w:t xml:space="preserve">p</w:t>
      </w:r>
      <w:r>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 xml:space="preserve">17 y </w:t>
      </w:r>
      <w:r>
        <w:rPr>
          <w:rFonts w:ascii="Times New Roman" w:eastAsia="Times New Roman" w:hAnsi="Times New Roman" w:cs="Times New Roman"/>
          <w:sz w:val="20"/>
          <w:szCs w:val="20"/>
        </w:rPr>
        <w:t xml:space="preserve">18.</w:t>
      </w:r>
    </w:p>
  </w:footnote>
  <w:footnote w:id="441">
    <w:p w14:paraId="7DB37C03" w14:textId="77777777" w:rsidR="00224E50" w:rsidRDefault="00224E50" w:rsidP="00224E50">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xml:space="preserve">, p</w:t>
      </w:r>
      <w:r>
        <w:rPr>
          <w:rFonts w:ascii="Times New Roman" w:eastAsia="Times New Roman" w:hAnsi="Times New Roman" w:cs="Times New Roman"/>
          <w:sz w:val="20"/>
          <w:szCs w:val="20"/>
        </w:rPr>
        <w:t xml:space="preserve">p</w:t>
      </w:r>
      <w:r>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 xml:space="preserve">18 y </w:t>
      </w:r>
      <w:r>
        <w:rPr>
          <w:rFonts w:ascii="Times New Roman" w:eastAsia="Times New Roman" w:hAnsi="Times New Roman" w:cs="Times New Roman"/>
          <w:sz w:val="20"/>
          <w:szCs w:val="20"/>
        </w:rPr>
        <w:t xml:space="preserve">21.</w:t>
      </w:r>
    </w:p>
  </w:footnote>
  <w:footnote w:id="442">
    <w:p w14:paraId="69A98D74" w14:textId="77777777" w:rsidR="00224E50" w:rsidRDefault="00224E50" w:rsidP="00224E50">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Ley General del Sistema de Medios de Impugnación en Materia Electoral, artículos 77 Ter, párrafo 2, y 78, párrafo 1, texto consultado con última reforma publicada en el </w:t>
      </w:r>
      <w:r>
        <w:rPr>
          <w:rFonts w:ascii="Times New Roman" w:eastAsia="Times New Roman" w:hAnsi="Times New Roman" w:cs="Times New Roman"/>
          <w:i/>
          <w:sz w:val="20"/>
          <w:szCs w:val="20"/>
        </w:rPr>
        <w:t>Diario Oficial de la Federación</w:t>
      </w:r>
      <w:r>
        <w:rPr>
          <w:rFonts w:ascii="Times New Roman" w:eastAsia="Times New Roman" w:hAnsi="Times New Roman" w:cs="Times New Roman"/>
          <w:sz w:val="20"/>
          <w:szCs w:val="20"/>
        </w:rPr>
        <w:t xml:space="preserve"> el 14 de noviembre de 2025.</w:t>
      </w:r>
    </w:p>
  </w:footnote>
  <w:footnote w:id="443">
    <w:p w14:paraId="28A4797A" w14:textId="77777777" w:rsidR="00224E50" w:rsidRDefault="00224E50" w:rsidP="00224E50">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Proyecto de Rodríguez Mondragón, cit., párrafo 96, p. 92.</w:t>
      </w:r>
    </w:p>
  </w:footnote>
  <w:footnote w:id="444">
    <w:p w14:paraId="48D50B18" w14:textId="77777777" w:rsidR="00224E50" w:rsidRDefault="00224E50" w:rsidP="00224E50">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Voto de Rodríguez Mondragón, cit., p. 18.</w:t>
      </w:r>
    </w:p>
  </w:footnote>
  <w:footnote w:id="445">
    <w:p w14:paraId="30178664" w14:textId="77777777" w:rsidR="00224E50" w:rsidRDefault="00224E50" w:rsidP="00224E50">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20.</w:t>
      </w:r>
    </w:p>
  </w:footnote>
  <w:footnote w:id="446">
    <w:p w14:paraId="118B68AC" w14:textId="77777777" w:rsidR="00224E50" w:rsidRDefault="00224E50" w:rsidP="00224E50">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Ferrer Beltrán, Jordi, </w:t>
      </w:r>
      <w:r>
        <w:rPr>
          <w:rFonts w:ascii="Times New Roman" w:eastAsia="Times New Roman" w:hAnsi="Times New Roman" w:cs="Times New Roman"/>
          <w:i/>
          <w:sz w:val="20"/>
          <w:szCs w:val="20"/>
        </w:rPr>
        <w:t>Prueba sin convicción. Estándares de prueba y debido proceso</w:t>
      </w:r>
      <w:r>
        <w:rPr>
          <w:rFonts w:ascii="Times New Roman" w:eastAsia="Times New Roman" w:hAnsi="Times New Roman" w:cs="Times New Roman"/>
          <w:sz w:val="20"/>
          <w:szCs w:val="20"/>
        </w:rPr>
        <w:t>, Madrid, Marcial Pons, 2021, p. 29.</w:t>
      </w:r>
    </w:p>
  </w:footnote>
  <w:footnote w:id="447">
    <w:p w14:paraId="2C3B46C2" w14:textId="77777777" w:rsidR="00224E50" w:rsidRDefault="00224E50" w:rsidP="00224E50">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Proyecto de Rodríguez Mondragón, cit., párrafo 87, p. 91.</w:t>
      </w:r>
    </w:p>
  </w:footnote>
  <w:footnote w:id="448">
    <w:p w14:paraId="791643C2" w14:textId="77777777" w:rsidR="00224E50" w:rsidRDefault="00224E50" w:rsidP="00224E50">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xml:space="preserve">, párrafo 88, pp. 90 y 91, y nota 75, donde cita a Ferrer Beltrán, </w:t>
      </w:r>
      <w:r>
        <w:rPr>
          <w:rFonts w:ascii="Times New Roman" w:eastAsia="Times New Roman" w:hAnsi="Times New Roman" w:cs="Times New Roman"/>
          <w:i/>
          <w:sz w:val="20"/>
          <w:szCs w:val="20"/>
        </w:rPr>
        <w:t>Prueba sin convicción</w:t>
      </w:r>
      <w:r>
        <w:rPr>
          <w:rFonts w:ascii="Times New Roman" w:eastAsia="Times New Roman" w:hAnsi="Times New Roman" w:cs="Times New Roman"/>
          <w:sz w:val="20"/>
          <w:szCs w:val="20"/>
        </w:rPr>
        <w:t>, cit., p. 137.</w:t>
      </w:r>
    </w:p>
  </w:footnote>
  <w:footnote w:id="449">
    <w:p w14:paraId="66326E06" w14:textId="77777777" w:rsidR="00224E50" w:rsidRDefault="00224E50" w:rsidP="00224E50">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párrafo 91, p. 90.</w:t>
      </w:r>
    </w:p>
  </w:footnote>
  <w:footnote w:id="450">
    <w:p w14:paraId="37B3C275" w14:textId="77777777" w:rsidR="00224E50" w:rsidRDefault="00224E50" w:rsidP="00224E50">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xml:space="preserve">, párrafos 130 y 131, p. 102, y nota 82, donde cita a Ferrer Beltrán, </w:t>
      </w:r>
      <w:r>
        <w:rPr>
          <w:rFonts w:ascii="Times New Roman" w:eastAsia="Times New Roman" w:hAnsi="Times New Roman" w:cs="Times New Roman"/>
          <w:i/>
          <w:sz w:val="20"/>
          <w:szCs w:val="20"/>
        </w:rPr>
        <w:t>Prueba sin convicción</w:t>
      </w:r>
      <w:r>
        <w:rPr>
          <w:rFonts w:ascii="Times New Roman" w:eastAsia="Times New Roman" w:hAnsi="Times New Roman" w:cs="Times New Roman"/>
          <w:sz w:val="20"/>
          <w:szCs w:val="20"/>
        </w:rPr>
        <w:t>, cit., p. 73.</w:t>
      </w:r>
    </w:p>
  </w:footnote>
  <w:footnote w:id="451">
    <w:p w14:paraId="0637DA06" w14:textId="77777777" w:rsidR="00224E50" w:rsidRDefault="00224E50" w:rsidP="00224E50">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párrafo 132 y nota 83, p. 102.</w:t>
      </w:r>
    </w:p>
  </w:footnote>
  <w:footnote w:id="452">
    <w:p w14:paraId="27B3D1A7" w14:textId="77777777" w:rsidR="00224E50" w:rsidRDefault="00224E50" w:rsidP="00224E50">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Ferrer Beltrán, </w:t>
      </w:r>
      <w:r>
        <w:rPr>
          <w:rFonts w:ascii="Times New Roman" w:eastAsia="Times New Roman" w:hAnsi="Times New Roman" w:cs="Times New Roman"/>
          <w:i/>
          <w:sz w:val="20"/>
          <w:szCs w:val="20"/>
        </w:rPr>
        <w:t>Prueba sin convicción</w:t>
      </w:r>
      <w:r>
        <w:rPr>
          <w:rFonts w:ascii="Times New Roman" w:eastAsia="Times New Roman" w:hAnsi="Times New Roman" w:cs="Times New Roman"/>
          <w:sz w:val="20"/>
          <w:szCs w:val="20"/>
        </w:rPr>
        <w:t>, cit., pp. 29 y 73.</w:t>
      </w:r>
    </w:p>
  </w:footnote>
  <w:footnote w:id="453">
    <w:p w14:paraId="387EB35C" w14:textId="77777777" w:rsidR="00224E50" w:rsidRDefault="00224E50" w:rsidP="00224E50">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Proyecto de Rodríguez Mondragón, cit., párrafo 82, p. 89.</w:t>
      </w:r>
    </w:p>
  </w:footnote>
  <w:footnote w:id="454">
    <w:p w14:paraId="6FB39308" w14:textId="77777777" w:rsidR="00224E50" w:rsidRDefault="00224E50" w:rsidP="00224E50">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párrafo 83, pp. 89-91.</w:t>
      </w:r>
    </w:p>
  </w:footnote>
  <w:footnote w:id="455">
    <w:p w14:paraId="571C861A" w14:textId="77777777" w:rsidR="00224E50" w:rsidRDefault="00224E50" w:rsidP="00224E50">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párrafo 110, p. 96.</w:t>
      </w:r>
    </w:p>
  </w:footnote>
  <w:footnote w:id="456">
    <w:p w14:paraId="7C51785F" w14:textId="77777777" w:rsidR="00224E50" w:rsidRDefault="00224E50" w:rsidP="00224E50">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párrafos 107 a 113, pp. 96 y 97.</w:t>
      </w:r>
    </w:p>
  </w:footnote>
  <w:footnote w:id="457">
    <w:p w14:paraId="5C83C80D" w14:textId="77777777" w:rsidR="00224E50" w:rsidRDefault="00224E50" w:rsidP="00224E50">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Ferrer Beltrán, </w:t>
      </w:r>
      <w:r>
        <w:rPr>
          <w:rFonts w:ascii="Times New Roman" w:eastAsia="Times New Roman" w:hAnsi="Times New Roman" w:cs="Times New Roman"/>
          <w:i/>
          <w:sz w:val="20"/>
          <w:szCs w:val="20"/>
        </w:rPr>
        <w:t>Prueba sin convicción</w:t>
      </w:r>
      <w:r>
        <w:rPr>
          <w:rFonts w:ascii="Times New Roman" w:eastAsia="Times New Roman" w:hAnsi="Times New Roman" w:cs="Times New Roman"/>
          <w:sz w:val="20"/>
          <w:szCs w:val="20"/>
        </w:rPr>
        <w:t>, cit., pp. 209 y 210.</w:t>
      </w:r>
    </w:p>
  </w:footnote>
  <w:footnote w:id="458">
    <w:p w14:paraId="469E7828" w14:textId="77777777" w:rsidR="00224E50" w:rsidRDefault="00224E50" w:rsidP="00224E50">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Proyecto de Rodríguez Mondragón, cit., párrafo 114, p. 97.</w:t>
      </w:r>
    </w:p>
  </w:footnote>
  <w:footnote w:id="459">
    <w:p w14:paraId="487483C7" w14:textId="77777777" w:rsidR="00224E50" w:rsidRDefault="00224E50" w:rsidP="00224E50">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párrafos 115 a 118, pp. 97 y 98.</w:t>
      </w:r>
    </w:p>
  </w:footnote>
  <w:footnote w:id="460">
    <w:p w14:paraId="38F03CB0" w14:textId="77777777" w:rsidR="00224E50" w:rsidRDefault="00224E50" w:rsidP="00224E50">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párrafos 119 a 123, pp. 99 y 101.</w:t>
      </w:r>
    </w:p>
  </w:footnote>
  <w:footnote w:id="461">
    <w:p w14:paraId="73550C25" w14:textId="77777777" w:rsidR="00224E50" w:rsidRDefault="00224E50" w:rsidP="00224E50">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párrafo 124, p. 101.</w:t>
      </w:r>
    </w:p>
  </w:footnote>
  <w:footnote w:id="462">
    <w:p w14:paraId="20BFC9F9" w14:textId="77777777" w:rsidR="00224E50" w:rsidRDefault="00224E50" w:rsidP="00224E50">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Ferrer Beltrán, </w:t>
      </w:r>
      <w:r>
        <w:rPr>
          <w:rFonts w:ascii="Times New Roman" w:eastAsia="Times New Roman" w:hAnsi="Times New Roman" w:cs="Times New Roman"/>
          <w:i/>
          <w:sz w:val="20"/>
          <w:szCs w:val="20"/>
        </w:rPr>
        <w:t>Prueba sin convicción</w:t>
      </w:r>
      <w:r>
        <w:rPr>
          <w:rFonts w:ascii="Times New Roman" w:eastAsia="Times New Roman" w:hAnsi="Times New Roman" w:cs="Times New Roman"/>
          <w:sz w:val="20"/>
          <w:szCs w:val="20"/>
        </w:rPr>
        <w:t>, cit., p. 210.</w:t>
      </w:r>
    </w:p>
  </w:footnote>
  <w:footnote w:id="463">
    <w:p w14:paraId="78B429E6" w14:textId="77777777" w:rsidR="00224E50" w:rsidRDefault="00224E50" w:rsidP="00224E50">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Proyecto de Rodríguez Mondragón, cit., párrafos 304 y 521 a 527, pp. 174 y 250-252.</w:t>
      </w:r>
    </w:p>
  </w:footnote>
  <w:footnote w:id="464">
    <w:p w14:paraId="32B85198" w14:textId="77777777" w:rsidR="00224E50" w:rsidRDefault="00224E50" w:rsidP="00224E50">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párrafos 317 y 525, pp. 181 y 252.</w:t>
      </w:r>
    </w:p>
  </w:footnote>
  <w:footnote w:id="465">
    <w:p w14:paraId="641F0391" w14:textId="77777777" w:rsidR="00224E50" w:rsidRDefault="00224E50" w:rsidP="00224E50">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Proyecto de Rodríguez Mondragón, cit., párrafo 119, p. 99.</w:t>
      </w:r>
    </w:p>
  </w:footnote>
  <w:footnote w:id="466">
    <w:p w14:paraId="14D8B93B" w14:textId="77777777" w:rsidR="00224E50" w:rsidRDefault="00224E50" w:rsidP="00224E50">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párrafo 125, p. 101.</w:t>
      </w:r>
    </w:p>
  </w:footnote>
  <w:footnote w:id="467">
    <w:p w14:paraId="5946C0F5" w14:textId="77777777" w:rsidR="00224E50" w:rsidRDefault="00224E50" w:rsidP="00224E50">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Ferrer Beltrán, </w:t>
      </w:r>
      <w:r>
        <w:rPr>
          <w:rFonts w:ascii="Times New Roman" w:eastAsia="Times New Roman" w:hAnsi="Times New Roman" w:cs="Times New Roman"/>
          <w:i/>
          <w:sz w:val="20"/>
          <w:szCs w:val="20"/>
        </w:rPr>
        <w:t>Prueba sin convicción</w:t>
      </w:r>
      <w:r>
        <w:rPr>
          <w:rFonts w:ascii="Times New Roman" w:eastAsia="Times New Roman" w:hAnsi="Times New Roman" w:cs="Times New Roman"/>
          <w:sz w:val="20"/>
          <w:szCs w:val="20"/>
        </w:rPr>
        <w:t>, cit., p. 29.</w:t>
      </w:r>
    </w:p>
  </w:footnote>
  <w:footnote w:id="468">
    <w:p w14:paraId="0A655D82" w14:textId="77777777" w:rsidR="00224E50" w:rsidRDefault="00224E50" w:rsidP="00224E50">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Proyecto de Rodríguez Mondragón, cit., párrafos 93 y 94, pp. 90 y 92.</w:t>
      </w:r>
    </w:p>
  </w:footnote>
  <w:footnote w:id="469">
    <w:p w14:paraId="6DC10A48" w14:textId="77777777" w:rsidR="00224E50" w:rsidRDefault="00224E50" w:rsidP="00224E50">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Voto de Rodríguez Mondragón, cit., p. 21.</w:t>
      </w:r>
    </w:p>
  </w:footnote>
  <w:footnote w:id="470">
    <w:p w14:paraId="21B465FE" w14:textId="77777777" w:rsidR="00224E50" w:rsidRDefault="00224E50" w:rsidP="00224E50">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Proyecto de Rodríguez Mondragón, cit., párrafo 95, p. 92.</w:t>
      </w:r>
    </w:p>
  </w:footnote>
  <w:footnote w:id="471">
    <w:p w14:paraId="20B9823D" w14:textId="77777777" w:rsidR="00224E50" w:rsidRDefault="00224E50" w:rsidP="00224E50">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párrafo 97, pp. 92 y 93.</w:t>
      </w:r>
    </w:p>
  </w:footnote>
  <w:footnote w:id="472">
    <w:p w14:paraId="07C62426" w14:textId="77777777" w:rsidR="00224E50" w:rsidRDefault="00224E50" w:rsidP="00224E50">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Ferrer Beltrán, </w:t>
      </w:r>
      <w:r>
        <w:rPr>
          <w:rFonts w:ascii="Times New Roman" w:eastAsia="Times New Roman" w:hAnsi="Times New Roman" w:cs="Times New Roman"/>
          <w:i/>
          <w:sz w:val="20"/>
          <w:szCs w:val="20"/>
        </w:rPr>
        <w:t>Prueba sin convicción</w:t>
      </w:r>
      <w:r>
        <w:rPr>
          <w:rFonts w:ascii="Times New Roman" w:eastAsia="Times New Roman" w:hAnsi="Times New Roman" w:cs="Times New Roman"/>
          <w:sz w:val="20"/>
          <w:szCs w:val="20"/>
        </w:rPr>
        <w:t>, cit., p. 29, nota 1.</w:t>
      </w:r>
    </w:p>
  </w:footnote>
  <w:footnote w:id="473">
    <w:p w14:paraId="57656BF1" w14:textId="77777777" w:rsidR="00224E50" w:rsidRDefault="00224E50" w:rsidP="00224E50">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Proyecto de Rodríguez Mondragón, cit., párrafo 97, nota 76, p. 93.</w:t>
      </w:r>
    </w:p>
  </w:footnote>
  <w:footnote w:id="474">
    <w:p w14:paraId="68EAE7D9" w14:textId="77777777" w:rsidR="00224E50" w:rsidRDefault="00224E50" w:rsidP="00224E50">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SUP-JIN-194/2025, cit., párrafo 50, p. 11.</w:t>
      </w:r>
    </w:p>
  </w:footnote>
  <w:footnote w:id="475">
    <w:p w14:paraId="16CD4DDF" w14:textId="77777777" w:rsidR="00224E50" w:rsidRDefault="00224E50" w:rsidP="00224E50">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Proyecto de Rodríguez Mondragón, cit., párrafo 99, p. 93.</w:t>
      </w:r>
    </w:p>
  </w:footnote>
  <w:footnote w:id="476">
    <w:p w14:paraId="5D3115EA" w14:textId="77777777" w:rsidR="00224E50" w:rsidRDefault="00224E50" w:rsidP="00224E50">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párrafo 127, pp. 100 y 101.</w:t>
      </w:r>
    </w:p>
  </w:footnote>
  <w:footnote w:id="477">
    <w:p w14:paraId="3F228ACC" w14:textId="77777777" w:rsidR="00224E50" w:rsidRDefault="00224E50" w:rsidP="00224E50">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Voto de Rodríguez Mondragón, cit., p. 20.</w:t>
      </w:r>
    </w:p>
  </w:footnote>
  <w:footnote w:id="478">
    <w:p w14:paraId="2B339751" w14:textId="77777777" w:rsidR="00224E50" w:rsidRDefault="00224E50" w:rsidP="00224E50">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xml:space="preserve">, p</w:t>
      </w:r>
      <w:r>
        <w:rPr>
          <w:rFonts w:ascii="Times New Roman" w:eastAsia="Times New Roman" w:hAnsi="Times New Roman" w:cs="Times New Roman"/>
          <w:sz w:val="20"/>
          <w:szCs w:val="20"/>
        </w:rPr>
        <w:t xml:space="preserve">p</w:t>
      </w:r>
      <w:r>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 xml:space="preserve">20 y </w:t>
      </w:r>
      <w:r>
        <w:rPr>
          <w:rFonts w:ascii="Times New Roman" w:eastAsia="Times New Roman" w:hAnsi="Times New Roman" w:cs="Times New Roman"/>
          <w:sz w:val="20"/>
          <w:szCs w:val="20"/>
        </w:rPr>
        <w:t xml:space="preserve">23.</w:t>
      </w:r>
    </w:p>
  </w:footnote>
  <w:footnote w:id="479">
    <w:p w14:paraId="7540C4C8" w14:textId="77777777" w:rsidR="00224E50" w:rsidRDefault="00224E50" w:rsidP="00224E50">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Proyecto de Rodríguez Mondragón, cit., párrafo 139 y nota 85, p. 104.</w:t>
      </w:r>
    </w:p>
  </w:footnote>
  <w:footnote w:id="480">
    <w:p w14:paraId="50CA1C00" w14:textId="77777777" w:rsidR="00224E50" w:rsidRDefault="00224E50" w:rsidP="00224E50">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Voto de Rodríguez Mondragón, cit., p. 30.</w:t>
      </w:r>
    </w:p>
  </w:footnote>
  <w:footnote w:id="481">
    <w:p w14:paraId="74A102D7" w14:textId="77777777" w:rsidR="00224E50" w:rsidRDefault="00224E50" w:rsidP="00224E50">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pp. 32 y 33.</w:t>
      </w:r>
    </w:p>
  </w:footnote>
  <w:footnote w:id="482">
    <w:p w14:paraId="5FF6DFF3" w14:textId="77777777" w:rsidR="00224E50" w:rsidRDefault="00224E50" w:rsidP="00224E50">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33.</w:t>
      </w:r>
    </w:p>
  </w:footnote>
  <w:footnote w:id="483">
    <w:p w14:paraId="1CFA5235" w14:textId="77777777" w:rsidR="00224E50" w:rsidRDefault="00224E50" w:rsidP="00224E50">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xml:space="preserve">, p</w:t>
      </w:r>
      <w:r>
        <w:rPr>
          <w:rFonts w:ascii="Times New Roman" w:eastAsia="Times New Roman" w:hAnsi="Times New Roman" w:cs="Times New Roman"/>
          <w:sz w:val="20"/>
          <w:szCs w:val="20"/>
        </w:rPr>
        <w:t xml:space="preserve">p</w:t>
      </w:r>
      <w:r>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 xml:space="preserve">33 y </w:t>
      </w:r>
      <w:r>
        <w:rPr>
          <w:rFonts w:ascii="Times New Roman" w:eastAsia="Times New Roman" w:hAnsi="Times New Roman" w:cs="Times New Roman"/>
          <w:sz w:val="20"/>
          <w:szCs w:val="20"/>
        </w:rPr>
        <w:t xml:space="preserve">34.</w:t>
      </w:r>
    </w:p>
  </w:footnote>
  <w:footnote w:id="484">
    <w:p w14:paraId="4A30886E" w14:textId="77777777" w:rsidR="00224E50" w:rsidRDefault="00224E50" w:rsidP="00224E50">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SUP-JIN-194/2025, cit., párrafo 92, pp. 20 y 21.</w:t>
      </w:r>
    </w:p>
  </w:footnote>
  <w:footnote w:id="485">
    <w:p w14:paraId="42EEC13F" w14:textId="77777777" w:rsidR="00224E50" w:rsidRDefault="00224E50" w:rsidP="00224E50">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Voto de Rodríguez Mondragón, cit., p. 38.</w:t>
      </w:r>
    </w:p>
  </w:footnote>
  <w:footnote w:id="486">
    <w:p w14:paraId="5C786D32" w14:textId="77777777" w:rsidR="00224E50" w:rsidRDefault="00224E50" w:rsidP="00224E50">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pp. 38 y 39.</w:t>
      </w:r>
    </w:p>
  </w:footnote>
  <w:footnote w:id="487">
    <w:p w14:paraId="1301F2CE" w14:textId="77777777" w:rsidR="00224E50" w:rsidRDefault="00224E50" w:rsidP="00224E50">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xml:space="preserve">, pp. </w:t>
      </w:r>
      <w:r>
        <w:rPr>
          <w:rFonts w:ascii="Times New Roman" w:eastAsia="Times New Roman" w:hAnsi="Times New Roman" w:cs="Times New Roman"/>
          <w:sz w:val="20"/>
          <w:szCs w:val="20"/>
        </w:rPr>
        <w:t xml:space="preserve">39</w:t>
      </w:r>
      <w:r>
        <w:rPr>
          <w:rFonts w:ascii="Times New Roman" w:eastAsia="Times New Roman" w:hAnsi="Times New Roman" w:cs="Times New Roman"/>
          <w:sz w:val="20"/>
          <w:szCs w:val="20"/>
        </w:rPr>
        <w:t xml:space="preserve">-42 y 44.</w:t>
      </w:r>
    </w:p>
  </w:footnote>
  <w:footnote w:id="488">
    <w:p w14:paraId="4CCC81EE" w14:textId="77777777" w:rsidR="00224E50" w:rsidRDefault="00224E50" w:rsidP="00224E50">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pp. 44 y 45.</w:t>
      </w:r>
    </w:p>
  </w:footnote>
  <w:footnote w:id="489">
    <w:p w14:paraId="5CA17109" w14:textId="77777777" w:rsidR="00224E50" w:rsidRDefault="00224E50" w:rsidP="00224E50">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Proyecto de Rodríguez Mondragón, cit., párrafos 86 y 152, pp. 91 y 109.</w:t>
      </w:r>
    </w:p>
  </w:footnote>
  <w:footnote w:id="490">
    <w:p w14:paraId="387A3D7D" w14:textId="77777777" w:rsidR="00224E50" w:rsidRDefault="00224E50" w:rsidP="00224E50">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párrafos 155 y 156, pp. 109 y 111.</w:t>
      </w:r>
    </w:p>
  </w:footnote>
  <w:footnote w:id="491">
    <w:p w14:paraId="4495A85F" w14:textId="77777777" w:rsidR="00224E50" w:rsidRDefault="00224E50" w:rsidP="00224E50">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párrafo 321, p. 183, y nota 142, que remite al SUP-REC-2214/2021.</w:t>
      </w:r>
    </w:p>
  </w:footnote>
  <w:footnote w:id="492">
    <w:p w14:paraId="3C6914AF" w14:textId="77777777" w:rsidR="00224E50" w:rsidRDefault="00224E50" w:rsidP="00224E50">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Voto de Rodríguez Mondragón, cit., p. 42.</w:t>
      </w:r>
    </w:p>
  </w:footnote>
  <w:footnote w:id="493">
    <w:p w14:paraId="264B650D" w14:textId="77777777" w:rsidR="00224E50" w:rsidRDefault="00224E50" w:rsidP="00224E50">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Proyecto de Rodríguez Mondragón, cit., párrafo 83, pp. 89-91.</w:t>
      </w:r>
    </w:p>
  </w:footnote>
  <w:footnote w:id="494">
    <w:p w14:paraId="357077A5" w14:textId="77777777" w:rsidR="00224E50" w:rsidRDefault="00224E50" w:rsidP="00224E50">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párrafos 471 y 472, pp. 237 y 238.</w:t>
      </w:r>
    </w:p>
  </w:footnote>
  <w:footnote w:id="495">
    <w:p w14:paraId="36AAB934" w14:textId="77777777" w:rsidR="00224E50" w:rsidRDefault="00224E50" w:rsidP="00224E50">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párrafo 472, p. 237.</w:t>
      </w:r>
    </w:p>
  </w:footnote>
  <w:footnote w:id="496">
    <w:p w14:paraId="4E8FC593" w14:textId="77777777" w:rsidR="00224E50" w:rsidRDefault="00224E50" w:rsidP="00224E50">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SUP-JIN-194/2025, cit., párrafos 104 a 107, p. 23.</w:t>
      </w:r>
    </w:p>
  </w:footnote>
  <w:footnote w:id="497">
    <w:p w14:paraId="7C9B6F64" w14:textId="77777777" w:rsidR="00224E50" w:rsidRDefault="00224E50" w:rsidP="00224E50">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Voto de Rodríguez Mondragón, cit., p. 45.</w:t>
      </w:r>
    </w:p>
  </w:footnote>
  <w:footnote w:id="498">
    <w:p w14:paraId="720D4B1B" w14:textId="77777777" w:rsidR="00224E50" w:rsidRDefault="00224E50" w:rsidP="00224E50">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Proyecto de Rodríguez Mondragón, cit., párrafo 321, pp. 180-183.</w:t>
      </w:r>
    </w:p>
  </w:footnote>
  <w:footnote w:id="499">
    <w:p w14:paraId="03074DB6" w14:textId="77777777" w:rsidR="00224E50" w:rsidRDefault="00224E50" w:rsidP="00224E50">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Voto particular de los magistrados Eloy Fuentes Cerda y Alfonsina Berta Navarro Hidalgo, en Tribunal Electoral del Poder Judicial de la Federación, </w:t>
      </w:r>
      <w:r>
        <w:rPr>
          <w:rFonts w:ascii="Times New Roman" w:eastAsia="Times New Roman" w:hAnsi="Times New Roman" w:cs="Times New Roman"/>
          <w:i/>
          <w:sz w:val="20"/>
          <w:szCs w:val="20"/>
        </w:rPr>
        <w:t>Ejecución de sentencias en los juicios de revisión constitucional electoral. Caso Tabasco</w:t>
      </w:r>
      <w:r>
        <w:rPr>
          <w:rFonts w:ascii="Times New Roman" w:eastAsia="Times New Roman" w:hAnsi="Times New Roman" w:cs="Times New Roman"/>
          <w:sz w:val="20"/>
          <w:szCs w:val="20"/>
        </w:rPr>
        <w:t>, México, TEPJF, 2001, Colección Sentencias Relevantes, núm. 2, t. II, p. 1.</w:t>
      </w:r>
    </w:p>
  </w:footnote>
  <w:footnote w:id="500">
    <w:p w14:paraId="4A3CFF2E" w14:textId="77777777" w:rsidR="00224E50" w:rsidRDefault="00224E50" w:rsidP="00224E50">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pp. 4 y 7.</w:t>
      </w:r>
    </w:p>
  </w:footnote>
  <w:footnote w:id="501">
    <w:p w14:paraId="21166D2B" w14:textId="77777777" w:rsidR="00224E50" w:rsidRDefault="00224E50" w:rsidP="00224E50">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Sala Superior del Tribunal Electoral del Poder Judicial de la Federación, SUP-REC-1388/2018, sentencia de 30 de septiembre de 2018, p. 48.</w:t>
      </w:r>
    </w:p>
  </w:footnote>
  <w:footnote w:id="502">
    <w:p w14:paraId="7466D2D9" w14:textId="77777777" w:rsidR="00224E50" w:rsidRDefault="00224E50" w:rsidP="00224E50">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Voto razonado del magistrado Reyes Rodríguez Mondragón en el SUP-REC-1388/2018, pp. 68 y 69.</w:t>
      </w:r>
    </w:p>
  </w:footnote>
  <w:footnote w:id="503">
    <w:p w14:paraId="27B3D2EF" w14:textId="77777777" w:rsidR="00224E50" w:rsidRDefault="00224E50" w:rsidP="00224E50">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69.</w:t>
      </w:r>
    </w:p>
  </w:footnote>
  <w:footnote w:id="504">
    <w:p w14:paraId="38AFD74B" w14:textId="77777777" w:rsidR="00224E50" w:rsidRDefault="00224E50" w:rsidP="00224E50">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70.</w:t>
      </w:r>
    </w:p>
  </w:footnote>
  <w:footnote w:id="505">
    <w:p w14:paraId="4CE32220" w14:textId="77777777" w:rsidR="00224E50" w:rsidRDefault="00224E50" w:rsidP="00224E50">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75.</w:t>
      </w:r>
    </w:p>
  </w:footnote>
  <w:footnote w:id="506">
    <w:p w14:paraId="40A10336" w14:textId="77777777" w:rsidR="00224E50" w:rsidRDefault="00224E50" w:rsidP="00224E50">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76.</w:t>
      </w:r>
    </w:p>
  </w:footnote>
  <w:footnote w:id="507">
    <w:p w14:paraId="7C05036F" w14:textId="77777777" w:rsidR="00224E50" w:rsidRDefault="00224E50" w:rsidP="00224E50">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SUP-JIN-194/2025, cit., párrafos 39 y 109, pp. 8 y 24, y proyecto de Rodríguez Mondragón, cit., párrafo 83, pp. 89-91.</w:t>
      </w:r>
    </w:p>
  </w:footnote>
  <w:footnote w:id="508">
    <w:p w14:paraId="33DB062C" w14:textId="77777777" w:rsidR="00FB3B55" w:rsidRDefault="00FB3B55" w:rsidP="00FB3B55">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Zeferín Hernández, Iván Aarón, </w:t>
      </w:r>
      <w:r>
        <w:rPr>
          <w:rFonts w:ascii="Times New Roman" w:eastAsia="Times New Roman" w:hAnsi="Times New Roman" w:cs="Times New Roman"/>
          <w:i/>
          <w:sz w:val="20"/>
          <w:szCs w:val="20"/>
        </w:rPr>
        <w:t>La prueba libre y lógica. Sistema penal acusatorio mexicano</w:t>
      </w:r>
      <w:r>
        <w:rPr>
          <w:rFonts w:ascii="Times New Roman" w:eastAsia="Times New Roman" w:hAnsi="Times New Roman" w:cs="Times New Roman"/>
          <w:sz w:val="20"/>
          <w:szCs w:val="20"/>
        </w:rPr>
        <w:t>, México, Instituto de la Judicatura Federal, 2016, p. 115.</w:t>
      </w:r>
    </w:p>
  </w:footnote>
  <w:footnote w:id="509">
    <w:p w14:paraId="7488A36B" w14:textId="77777777" w:rsidR="00FB3B55" w:rsidRDefault="00FB3B55" w:rsidP="00FB3B55">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118.</w:t>
      </w:r>
    </w:p>
  </w:footnote>
  <w:footnote w:id="510">
    <w:p w14:paraId="38F22D1E" w14:textId="77777777" w:rsidR="00FB3B55" w:rsidRDefault="00FB3B55" w:rsidP="00FB3B55">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119.</w:t>
      </w:r>
    </w:p>
  </w:footnote>
  <w:footnote w:id="511">
    <w:p w14:paraId="3DB9AB72" w14:textId="77777777" w:rsidR="00FB3B55" w:rsidRDefault="00FB3B55" w:rsidP="00FB3B55">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124.</w:t>
      </w:r>
    </w:p>
  </w:footnote>
  <w:footnote w:id="512">
    <w:p w14:paraId="16F2FC33" w14:textId="77777777" w:rsidR="00FB3B55" w:rsidRDefault="00FB3B55" w:rsidP="00FB3B55">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Ferrer Beltrán, Jordi, </w:t>
      </w:r>
      <w:r>
        <w:rPr>
          <w:rFonts w:ascii="Times New Roman" w:eastAsia="Times New Roman" w:hAnsi="Times New Roman" w:cs="Times New Roman"/>
          <w:i/>
          <w:sz w:val="20"/>
          <w:szCs w:val="20"/>
        </w:rPr>
        <w:t>La valoración racional de la prueba</w:t>
      </w:r>
      <w:r>
        <w:rPr>
          <w:rFonts w:ascii="Times New Roman" w:eastAsia="Times New Roman" w:hAnsi="Times New Roman" w:cs="Times New Roman"/>
          <w:sz w:val="20"/>
          <w:szCs w:val="20"/>
        </w:rPr>
        <w:t>, Madrid, Marcial Pons, 2007, p. 45.</w:t>
      </w:r>
    </w:p>
  </w:footnote>
  <w:footnote w:id="513">
    <w:p w14:paraId="02C1E475" w14:textId="77777777" w:rsidR="00FB3B55" w:rsidRDefault="00FB3B55" w:rsidP="00FB3B55">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66.</w:t>
      </w:r>
    </w:p>
  </w:footnote>
  <w:footnote w:id="514">
    <w:p w14:paraId="63660B42" w14:textId="77777777" w:rsidR="00FB3B55" w:rsidRDefault="00FB3B55" w:rsidP="00FB3B55">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62.</w:t>
      </w:r>
    </w:p>
  </w:footnote>
  <w:footnote w:id="515">
    <w:p w14:paraId="5CCACA01" w14:textId="77777777" w:rsidR="00FB3B55" w:rsidRDefault="00FB3B55" w:rsidP="00FB3B55">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Zeferín Hernández, </w:t>
      </w:r>
      <w:r>
        <w:rPr>
          <w:rFonts w:ascii="Times New Roman" w:eastAsia="Times New Roman" w:hAnsi="Times New Roman" w:cs="Times New Roman"/>
          <w:i/>
          <w:sz w:val="20"/>
          <w:szCs w:val="20"/>
        </w:rPr>
        <w:t>La prueba libre y lógica</w:t>
      </w:r>
      <w:r>
        <w:rPr>
          <w:rFonts w:ascii="Times New Roman" w:eastAsia="Times New Roman" w:hAnsi="Times New Roman" w:cs="Times New Roman"/>
          <w:sz w:val="20"/>
          <w:szCs w:val="20"/>
        </w:rPr>
        <w:t>, cit., pp. 122 y 123.</w:t>
      </w:r>
    </w:p>
  </w:footnote>
  <w:footnote w:id="516">
    <w:p w14:paraId="6AB46FD6" w14:textId="77777777" w:rsidR="00FB3B55" w:rsidRDefault="00FB3B55" w:rsidP="00FB3B55">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pp. 123 y 124.</w:t>
      </w:r>
    </w:p>
  </w:footnote>
  <w:footnote w:id="517">
    <w:p w14:paraId="27335F07" w14:textId="77777777" w:rsidR="00FB3B55" w:rsidRDefault="00FB3B55" w:rsidP="00FB3B55">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Montoya Zamora, Raúl, Las reglas de la lógica en la valoración de las pruebas en materia electoral federal, </w:t>
      </w:r>
      <w:r>
        <w:rPr>
          <w:rFonts w:ascii="Times New Roman" w:eastAsia="Times New Roman" w:hAnsi="Times New Roman" w:cs="Times New Roman"/>
          <w:i/>
          <w:sz w:val="20"/>
          <w:szCs w:val="20"/>
        </w:rPr>
        <w:t xml:space="preserve">Justicia Electoral. Revista del Tribunal Electoral del Poder Judicial de la Federación</w:t>
      </w:r>
      <w:r>
        <w:rPr>
          <w:rFonts w:ascii="Times New Roman" w:eastAsia="Times New Roman" w:hAnsi="Times New Roman" w:cs="Times New Roman"/>
          <w:sz w:val="20"/>
          <w:szCs w:val="20"/>
        </w:rPr>
        <w:t xml:space="preserve">, México, vol. 1, núm. 8, 2011</w:t>
      </w:r>
      <w:r>
        <w:rPr>
          <w:rFonts w:ascii="Times New Roman" w:eastAsia="Times New Roman" w:hAnsi="Times New Roman" w:cs="Times New Roman"/>
          <w:sz w:val="20"/>
          <w:szCs w:val="20"/>
        </w:rPr>
        <w:t xml:space="preserve">, pp. 23-54, en particular p. 27.</w:t>
      </w:r>
    </w:p>
  </w:footnote>
  <w:footnote w:id="518">
    <w:p w14:paraId="78D153CD" w14:textId="77777777" w:rsidR="00FB3B55" w:rsidRDefault="00FB3B55" w:rsidP="00FB3B55">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29.</w:t>
      </w:r>
    </w:p>
  </w:footnote>
  <w:footnote w:id="519">
    <w:p w14:paraId="1188CB86" w14:textId="77777777" w:rsidR="00FB3B55" w:rsidRDefault="00FB3B55" w:rsidP="00FB3B55">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29, donde cita a Ovalle Favela.</w:t>
      </w:r>
    </w:p>
  </w:footnote>
  <w:footnote w:id="520">
    <w:p w14:paraId="47F48475" w14:textId="77777777" w:rsidR="00FB3B55" w:rsidRDefault="00FB3B55" w:rsidP="00FB3B55">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Ferrer Beltrán, </w:t>
      </w:r>
      <w:r>
        <w:rPr>
          <w:rFonts w:ascii="Times New Roman" w:eastAsia="Times New Roman" w:hAnsi="Times New Roman" w:cs="Times New Roman"/>
          <w:i/>
          <w:sz w:val="20"/>
          <w:szCs w:val="20"/>
        </w:rPr>
        <w:t>La valoración racional de la prueba</w:t>
      </w:r>
      <w:r>
        <w:rPr>
          <w:rFonts w:ascii="Times New Roman" w:eastAsia="Times New Roman" w:hAnsi="Times New Roman" w:cs="Times New Roman"/>
          <w:sz w:val="20"/>
          <w:szCs w:val="20"/>
        </w:rPr>
        <w:t>, cit., p. 62, nota 1.</w:t>
      </w:r>
    </w:p>
  </w:footnote>
  <w:footnote w:id="521">
    <w:p w14:paraId="0A8A5FDD" w14:textId="77777777" w:rsidR="00FB3B55" w:rsidRDefault="00FB3B55" w:rsidP="00FB3B55">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Ley General del Sistema de Medios de Impugnación en Materia Electoral, artículo 16, párrafo 2, texto consultado con última reforma publicada en el </w:t>
      </w:r>
      <w:r>
        <w:rPr>
          <w:rFonts w:ascii="Times New Roman" w:eastAsia="Times New Roman" w:hAnsi="Times New Roman" w:cs="Times New Roman"/>
          <w:i/>
          <w:sz w:val="20"/>
          <w:szCs w:val="20"/>
        </w:rPr>
        <w:t>Diario Oficial de la Federación</w:t>
      </w:r>
      <w:r>
        <w:rPr>
          <w:rFonts w:ascii="Times New Roman" w:eastAsia="Times New Roman" w:hAnsi="Times New Roman" w:cs="Times New Roman"/>
          <w:sz w:val="20"/>
          <w:szCs w:val="20"/>
        </w:rPr>
        <w:t xml:space="preserve"> el 14 de noviembre de 2025.</w:t>
      </w:r>
    </w:p>
  </w:footnote>
  <w:footnote w:id="522">
    <w:p w14:paraId="798C4F37" w14:textId="77777777" w:rsidR="00FB3B55" w:rsidRDefault="00FB3B55" w:rsidP="00FB3B55">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Hart, H. L. A., </w:t>
      </w:r>
      <w:r>
        <w:rPr>
          <w:rFonts w:ascii="Times New Roman" w:eastAsia="Times New Roman" w:hAnsi="Times New Roman" w:cs="Times New Roman"/>
          <w:i/>
          <w:sz w:val="20"/>
          <w:szCs w:val="20"/>
        </w:rPr>
        <w:t>El concepto de derecho</w:t>
      </w:r>
      <w:r>
        <w:rPr>
          <w:rFonts w:ascii="Times New Roman" w:eastAsia="Times New Roman" w:hAnsi="Times New Roman" w:cs="Times New Roman"/>
          <w:sz w:val="20"/>
          <w:szCs w:val="20"/>
        </w:rPr>
        <w:t>, trad. de Genaro R. Carrió, Buenos Aires, Abeledo-Perrot, s.f., p. 153.</w:t>
      </w:r>
    </w:p>
  </w:footnote>
  <w:footnote w:id="523">
    <w:p w14:paraId="16C7D816" w14:textId="77777777" w:rsidR="00FB3B55" w:rsidRDefault="00FB3B55" w:rsidP="00FB3B55">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159.</w:t>
      </w:r>
    </w:p>
  </w:footnote>
  <w:footnote w:id="524">
    <w:p w14:paraId="0BB97513" w14:textId="77777777" w:rsidR="00FB3B55" w:rsidRDefault="00FB3B55" w:rsidP="00FB3B55">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158.</w:t>
      </w:r>
    </w:p>
  </w:footnote>
  <w:footnote w:id="525">
    <w:p w14:paraId="64CD0C67" w14:textId="77777777" w:rsidR="00FB3B55" w:rsidRDefault="00FB3B55" w:rsidP="00FB3B55">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Montoya Zamora, Las reglas de la lógica, cit., pp. 31 y 32.</w:t>
      </w:r>
    </w:p>
  </w:footnote>
  <w:footnote w:id="526">
    <w:p w14:paraId="2961B598" w14:textId="77777777" w:rsidR="00FB3B55" w:rsidRDefault="00FB3B55" w:rsidP="00FB3B55">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Hart, </w:t>
      </w:r>
      <w:r>
        <w:rPr>
          <w:rFonts w:ascii="Times New Roman" w:eastAsia="Times New Roman" w:hAnsi="Times New Roman" w:cs="Times New Roman"/>
          <w:i/>
          <w:sz w:val="20"/>
          <w:szCs w:val="20"/>
        </w:rPr>
        <w:t>El concepto de derecho</w:t>
      </w:r>
      <w:r>
        <w:rPr>
          <w:rFonts w:ascii="Times New Roman" w:eastAsia="Times New Roman" w:hAnsi="Times New Roman" w:cs="Times New Roman"/>
          <w:sz w:val="20"/>
          <w:szCs w:val="20"/>
        </w:rPr>
        <w:t>, cit., p. 159.</w:t>
      </w:r>
    </w:p>
  </w:footnote>
  <w:footnote w:id="527">
    <w:p w14:paraId="24804A75" w14:textId="77777777" w:rsidR="00FB3B55" w:rsidRDefault="00FB3B55" w:rsidP="00FB3B55">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Ley General del Sistema de Medios de Impugnación en Materia Electoral, artículo 16, párrafos 1 a 4.</w:t>
      </w:r>
    </w:p>
  </w:footnote>
  <w:footnote w:id="528">
    <w:p w14:paraId="68B533DB" w14:textId="77777777" w:rsidR="00FB3B55" w:rsidRDefault="00FB3B55" w:rsidP="00FB3B55">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Ferrer Beltrán, Jordi, </w:t>
      </w:r>
      <w:r>
        <w:rPr>
          <w:rFonts w:ascii="Times New Roman" w:eastAsia="Times New Roman" w:hAnsi="Times New Roman" w:cs="Times New Roman"/>
          <w:i/>
          <w:sz w:val="20"/>
          <w:szCs w:val="20"/>
        </w:rPr>
        <w:t>Prueba sin convicción. Estándares de prueba y debido proceso</w:t>
      </w:r>
      <w:r>
        <w:rPr>
          <w:rFonts w:ascii="Times New Roman" w:eastAsia="Times New Roman" w:hAnsi="Times New Roman" w:cs="Times New Roman"/>
          <w:sz w:val="20"/>
          <w:szCs w:val="20"/>
        </w:rPr>
        <w:t>, Madrid, Marcial Pons, 2021, pp. 29 y 30.</w:t>
      </w:r>
    </w:p>
  </w:footnote>
  <w:footnote w:id="529">
    <w:p w14:paraId="0A935219" w14:textId="77777777" w:rsidR="00FB3B55" w:rsidRDefault="00FB3B55" w:rsidP="00FB3B55">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Sala Regional Especializada del Tribunal Electoral del Poder Judicial de la Federación, SRE-PSC-236/2024, apartado relativo a las reglas de valoración probatoria</w:t>
      </w:r>
      <w:r>
        <w:rPr>
          <w:rFonts w:ascii="Times New Roman" w:eastAsia="Times New Roman" w:hAnsi="Times New Roman" w:cs="Times New Roman"/>
          <w:sz w:val="20"/>
          <w:szCs w:val="20"/>
        </w:rPr>
        <w:t xml:space="preserve">, párrafo 93, p. 33</w:t>
      </w:r>
      <w:r>
        <w:rPr>
          <w:rFonts w:ascii="Times New Roman" w:eastAsia="Times New Roman" w:hAnsi="Times New Roman" w:cs="Times New Roman"/>
          <w:sz w:val="20"/>
          <w:szCs w:val="20"/>
        </w:rPr>
        <w:t xml:space="preserve">.</w:t>
      </w:r>
    </w:p>
  </w:footnote>
  <w:footnote w:id="530">
    <w:p w14:paraId="50C12E05" w14:textId="77777777" w:rsidR="00FB3B55" w:rsidRDefault="00FB3B55" w:rsidP="00FB3B55">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Montoya Zamora, Las reglas de la lógica, cit., p. 30.</w:t>
      </w:r>
    </w:p>
  </w:footnote>
  <w:footnote w:id="531">
    <w:p w14:paraId="1E0F64B6" w14:textId="77777777" w:rsidR="00FB3B55" w:rsidRDefault="00FB3B55" w:rsidP="00FB3B55">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28.</w:t>
      </w:r>
    </w:p>
  </w:footnote>
  <w:footnote w:id="532">
    <w:p w14:paraId="4F976D5D" w14:textId="77777777" w:rsidR="00FB3B55" w:rsidRDefault="00FB3B55" w:rsidP="00FB3B55">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Sala Superior del Tribunal Electoral del Poder Judicial de la Federación, SUP-RAP-33/2010, sentencia de 6 de mayo de 2010, pp. 94, 96 y 98. Montoya Zamora transcribe y analiza la sentencia en Las reglas de la lógica, cit., pp. 32-36.</w:t>
      </w:r>
    </w:p>
  </w:footnote>
  <w:footnote w:id="533">
    <w:p w14:paraId="7F4B5B0E" w14:textId="77777777" w:rsidR="00FB3B55" w:rsidRDefault="00FB3B55" w:rsidP="00FB3B55">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Montoya Zamora, Las reglas de la lógica, cit., p. 36.</w:t>
      </w:r>
    </w:p>
  </w:footnote>
  <w:footnote w:id="534">
    <w:p w14:paraId="08F112DD" w14:textId="77777777" w:rsidR="00FB3B55" w:rsidRDefault="00FB3B55" w:rsidP="00FB3B55">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38, donde cita el SUP-JRC-273/2010, p. 320.</w:t>
      </w:r>
    </w:p>
  </w:footnote>
  <w:footnote w:id="535">
    <w:p w14:paraId="236D559E" w14:textId="77777777" w:rsidR="00FB3B55" w:rsidRDefault="00FB3B55" w:rsidP="00FB3B55">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43.</w:t>
      </w:r>
    </w:p>
  </w:footnote>
  <w:footnote w:id="536">
    <w:p w14:paraId="347A641E" w14:textId="77777777" w:rsidR="00FB3B55" w:rsidRDefault="00FB3B55" w:rsidP="00FB3B55">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Tribunal Electoral del Poder Judicial de la Federación, </w:t>
      </w:r>
      <w:r>
        <w:rPr>
          <w:rFonts w:ascii="Times New Roman" w:eastAsia="Times New Roman" w:hAnsi="Times New Roman" w:cs="Times New Roman"/>
          <w:i/>
          <w:sz w:val="20"/>
          <w:szCs w:val="20"/>
        </w:rPr>
        <w:t>Ejecución de sentencias en los juicios de revisión constitucional electoral. Caso Tabasco</w:t>
      </w:r>
      <w:r>
        <w:rPr>
          <w:rFonts w:ascii="Times New Roman" w:eastAsia="Times New Roman" w:hAnsi="Times New Roman" w:cs="Times New Roman"/>
          <w:sz w:val="20"/>
          <w:szCs w:val="20"/>
        </w:rPr>
        <w:t>, México, TEPJF, 2001, Colección Sentencias Relevantes, núm. 2, t. I, p. 432. Montoya Zamora analiza el mismo pasaje en Las reglas de la lógica, cit., p. 40.</w:t>
      </w:r>
    </w:p>
  </w:footnote>
  <w:footnote w:id="537">
    <w:p w14:paraId="565FA4F2" w14:textId="77777777" w:rsidR="00FB3B55" w:rsidRDefault="00FB3B55" w:rsidP="00FB3B55">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Jurisprudencia 38/2002, NOTAS PERIODÍSTICAS. ELEMENTOS PARA DETERMINAR SU FUERZA INDICIARIA, </w:t>
      </w:r>
      <w:r>
        <w:rPr>
          <w:rFonts w:ascii="Times New Roman" w:eastAsia="Times New Roman" w:hAnsi="Times New Roman" w:cs="Times New Roman"/>
          <w:i/>
          <w:sz w:val="20"/>
          <w:szCs w:val="20"/>
        </w:rPr>
        <w:t>Justicia Electoral. Revista del Tribunal Electoral del Poder Judicial de la Federación</w:t>
      </w:r>
      <w:r>
        <w:rPr>
          <w:rFonts w:ascii="Times New Roman" w:eastAsia="Times New Roman" w:hAnsi="Times New Roman" w:cs="Times New Roman"/>
          <w:sz w:val="20"/>
          <w:szCs w:val="20"/>
        </w:rPr>
        <w:t>, suplemento 6, 2003, p. 44.</w:t>
      </w:r>
    </w:p>
  </w:footnote>
  <w:footnote w:id="538">
    <w:p w14:paraId="2E47ADC9" w14:textId="77777777" w:rsidR="00FB3B55" w:rsidRDefault="00FB3B55" w:rsidP="00FB3B55">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Jurisprudencia 4/2014, PRUEBAS TÉCNICAS. SON INSUFICIENTES, POR SÍ SOLAS, PARA ACREDITAR DE MANERA FEHACIENTE LOS HECHOS QUE CONTIENEN, </w:t>
      </w:r>
      <w:r>
        <w:rPr>
          <w:rFonts w:ascii="Times New Roman" w:eastAsia="Times New Roman" w:hAnsi="Times New Roman" w:cs="Times New Roman"/>
          <w:i/>
          <w:sz w:val="20"/>
          <w:szCs w:val="20"/>
        </w:rPr>
        <w:t>Gaceta de Jurisprudencia y Tesis en materia electoral</w:t>
      </w:r>
      <w:r>
        <w:rPr>
          <w:rFonts w:ascii="Times New Roman" w:eastAsia="Times New Roman" w:hAnsi="Times New Roman" w:cs="Times New Roman"/>
          <w:sz w:val="20"/>
          <w:szCs w:val="20"/>
        </w:rPr>
        <w:t>, Tribunal Electoral del Poder Judicial de la Federación, año 7, núm. 14, 2014, pp. 23 y 24.</w:t>
      </w:r>
    </w:p>
  </w:footnote>
  <w:footnote w:id="539">
    <w:p w14:paraId="0EE2B1A5" w14:textId="77777777" w:rsidR="00FB3B55" w:rsidRDefault="00FB3B55" w:rsidP="00FB3B55">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Jurisprudencia 11/2002, PRUEBA TESTIMONIAL. EN MATERIA ELECTORAL SÓLO PUEDE APORTAR INDICIOS, </w:t>
      </w:r>
      <w:r>
        <w:rPr>
          <w:rFonts w:ascii="Times New Roman" w:eastAsia="Times New Roman" w:hAnsi="Times New Roman" w:cs="Times New Roman"/>
          <w:i/>
          <w:sz w:val="20"/>
          <w:szCs w:val="20"/>
        </w:rPr>
        <w:t>Justicia Electoral. Revista del Tribunal Electoral del Poder Judicial de la Federación</w:t>
      </w:r>
      <w:r>
        <w:rPr>
          <w:rFonts w:ascii="Times New Roman" w:eastAsia="Times New Roman" w:hAnsi="Times New Roman" w:cs="Times New Roman"/>
          <w:sz w:val="20"/>
          <w:szCs w:val="20"/>
        </w:rPr>
        <w:t>, suplemento 6, 2003, pp. 58 y 59. Sus precedentes son los SUP-JRC-412/2000, SUP-JRC-330/2001 y SUP-JRC-405/2001.</w:t>
      </w:r>
    </w:p>
  </w:footnote>
  <w:footnote w:id="540">
    <w:p w14:paraId="29C5AE35" w14:textId="77777777" w:rsidR="00FB3B55" w:rsidRDefault="00FB3B55" w:rsidP="00FB3B55">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Ferrer Beltrán, </w:t>
      </w:r>
      <w:r>
        <w:rPr>
          <w:rFonts w:ascii="Times New Roman" w:eastAsia="Times New Roman" w:hAnsi="Times New Roman" w:cs="Times New Roman"/>
          <w:i/>
          <w:sz w:val="20"/>
          <w:szCs w:val="20"/>
        </w:rPr>
        <w:t>La valoración racional de la prueba</w:t>
      </w:r>
      <w:r>
        <w:rPr>
          <w:rFonts w:ascii="Times New Roman" w:eastAsia="Times New Roman" w:hAnsi="Times New Roman" w:cs="Times New Roman"/>
          <w:sz w:val="20"/>
          <w:szCs w:val="20"/>
        </w:rPr>
        <w:t>, cit., p. 62.</w:t>
      </w:r>
    </w:p>
  </w:footnote>
  <w:footnote w:id="541">
    <w:p w14:paraId="1FB8E1A0" w14:textId="77777777" w:rsidR="00FB3B55" w:rsidRDefault="00FB3B55" w:rsidP="00FB3B55">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Código Nacional de Procedimientos Penales, artículos 259 y 265, texto consultado con última reforma publicada en el </w:t>
      </w:r>
      <w:r>
        <w:rPr>
          <w:rFonts w:ascii="Times New Roman" w:eastAsia="Times New Roman" w:hAnsi="Times New Roman" w:cs="Times New Roman"/>
          <w:i/>
          <w:sz w:val="20"/>
          <w:szCs w:val="20"/>
        </w:rPr>
        <w:t>Diario Oficial de la Federación</w:t>
      </w:r>
      <w:r>
        <w:rPr>
          <w:rFonts w:ascii="Times New Roman" w:eastAsia="Times New Roman" w:hAnsi="Times New Roman" w:cs="Times New Roman"/>
          <w:sz w:val="20"/>
          <w:szCs w:val="20"/>
        </w:rPr>
        <w:t xml:space="preserve"> el 28 de noviembre de 2025.</w:t>
      </w:r>
    </w:p>
  </w:footnote>
  <w:footnote w:id="542">
    <w:p w14:paraId="12B47DB6" w14:textId="77777777" w:rsidR="00FB3B55" w:rsidRDefault="00FB3B55" w:rsidP="00FB3B55">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xml:space="preserve">, artículo 359, reformado mediante decreto publicado en el </w:t>
      </w:r>
      <w:r>
        <w:rPr>
          <w:rFonts w:ascii="Times New Roman" w:eastAsia="Times New Roman" w:hAnsi="Times New Roman" w:cs="Times New Roman"/>
          <w:i/>
          <w:sz w:val="20"/>
          <w:szCs w:val="20"/>
        </w:rPr>
        <w:t>Diario Oficial de la Federación</w:t>
      </w:r>
      <w:r>
        <w:rPr>
          <w:rFonts w:ascii="Times New Roman" w:eastAsia="Times New Roman" w:hAnsi="Times New Roman" w:cs="Times New Roman"/>
          <w:sz w:val="20"/>
          <w:szCs w:val="20"/>
        </w:rPr>
        <w:t xml:space="preserve"> el 17 de junio de 2016.</w:t>
      </w:r>
    </w:p>
  </w:footnote>
  <w:footnote w:id="543">
    <w:p w14:paraId="314766A4" w14:textId="77777777" w:rsidR="00FB3B55" w:rsidRDefault="00FB3B55" w:rsidP="00FB3B55">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artículo 402.</w:t>
      </w:r>
    </w:p>
  </w:footnote>
  <w:footnote w:id="544">
    <w:p w14:paraId="1B396BE9" w14:textId="77777777" w:rsidR="00FB3B55" w:rsidRDefault="00FB3B55" w:rsidP="00FB3B55">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Ferrer Beltrán, </w:t>
      </w:r>
      <w:r>
        <w:rPr>
          <w:rFonts w:ascii="Times New Roman" w:eastAsia="Times New Roman" w:hAnsi="Times New Roman" w:cs="Times New Roman"/>
          <w:i/>
          <w:sz w:val="20"/>
          <w:szCs w:val="20"/>
        </w:rPr>
        <w:t>Prueba sin convicción</w:t>
      </w:r>
      <w:r>
        <w:rPr>
          <w:rFonts w:ascii="Times New Roman" w:eastAsia="Times New Roman" w:hAnsi="Times New Roman" w:cs="Times New Roman"/>
          <w:sz w:val="20"/>
          <w:szCs w:val="20"/>
        </w:rPr>
        <w:t>, cit., pp. 29 y 30.</w:t>
      </w:r>
    </w:p>
  </w:footnote>
  <w:footnote w:id="545">
    <w:p w14:paraId="04ED8451" w14:textId="77777777" w:rsidR="00FB3B55" w:rsidRDefault="00FB3B55" w:rsidP="00FB3B55">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Código de Procedimientos Civiles para el Estado de Michoacán de Ocampo, publicado en el Periódico Oficial del Estado el 6 de septiembre de 2008, texto con última reforma publicada el 26 de septiembre de 2022, artículo 547.</w:t>
      </w:r>
    </w:p>
  </w:footnote>
  <w:footnote w:id="546">
    <w:p w14:paraId="26F9D385" w14:textId="77777777" w:rsidR="00FB3B55" w:rsidRDefault="00FB3B55" w:rsidP="00FB3B55">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artículo 545.</w:t>
      </w:r>
    </w:p>
  </w:footnote>
  <w:footnote w:id="547">
    <w:p w14:paraId="593462B7" w14:textId="77777777" w:rsidR="00FB3B55" w:rsidRDefault="00FB3B55" w:rsidP="00FB3B55">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artículos 530 y 553.</w:t>
      </w:r>
    </w:p>
  </w:footnote>
  <w:footnote w:id="548">
    <w:p w14:paraId="49BBF8AC" w14:textId="77777777" w:rsidR="00FB3B55" w:rsidRDefault="00FB3B55" w:rsidP="00FB3B55">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Montoya Zamora, Las reglas de la lógica, cit., p. 29.</w:t>
      </w:r>
    </w:p>
  </w:footnote>
  <w:footnote w:id="549">
    <w:p w14:paraId="4B3FB16E" w14:textId="77777777" w:rsidR="00FB3B55" w:rsidRDefault="00FB3B55" w:rsidP="00FB3B55">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Ferrer Beltrán, </w:t>
      </w:r>
      <w:r>
        <w:rPr>
          <w:rFonts w:ascii="Times New Roman" w:eastAsia="Times New Roman" w:hAnsi="Times New Roman" w:cs="Times New Roman"/>
          <w:i/>
          <w:sz w:val="20"/>
          <w:szCs w:val="20"/>
        </w:rPr>
        <w:t>La valoración racional de la prueba</w:t>
      </w:r>
      <w:r>
        <w:rPr>
          <w:rFonts w:ascii="Times New Roman" w:eastAsia="Times New Roman" w:hAnsi="Times New Roman" w:cs="Times New Roman"/>
          <w:sz w:val="20"/>
          <w:szCs w:val="20"/>
        </w:rPr>
        <w:t>, cit., pp. 61 y 62.</w:t>
      </w:r>
    </w:p>
  </w:footnote>
  <w:footnote w:id="550">
    <w:p w14:paraId="6586A5B8" w14:textId="77777777" w:rsidR="00FB3B55" w:rsidRDefault="00FB3B55" w:rsidP="00FB3B55">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Tesis 1a. CCXVIII/2015 (10a.), IN DUBIO PRO REO. EL CONCEPTO DE DUDA ASOCIADO A ESTE PRINCIPIO NO DEBE ENTENDERSE COMO LA FALTA DE CONVICCIÓN O LA INDETERMINACIÓN DEL ÁNIMO O PENSAMIENTO DEL JUZGADOR, </w:t>
      </w:r>
      <w:r>
        <w:rPr>
          <w:rFonts w:ascii="Times New Roman" w:eastAsia="Times New Roman" w:hAnsi="Times New Roman" w:cs="Times New Roman"/>
          <w:i/>
          <w:sz w:val="20"/>
          <w:szCs w:val="20"/>
        </w:rPr>
        <w:t>Gaceta del Semanario Judicial de la Federación</w:t>
      </w:r>
      <w:r>
        <w:rPr>
          <w:rFonts w:ascii="Times New Roman" w:eastAsia="Times New Roman" w:hAnsi="Times New Roman" w:cs="Times New Roman"/>
          <w:sz w:val="20"/>
          <w:szCs w:val="20"/>
        </w:rPr>
        <w:t xml:space="preserve">, Décima Época, libro 19, junio de 2015, t. I, p. 589, registro digital 2009462. Ferrer Beltrán la cita en </w:t>
      </w:r>
      <w:r>
        <w:rPr>
          <w:rFonts w:ascii="Times New Roman" w:eastAsia="Times New Roman" w:hAnsi="Times New Roman" w:cs="Times New Roman"/>
          <w:i/>
          <w:sz w:val="20"/>
          <w:szCs w:val="20"/>
        </w:rPr>
        <w:t>Prueba sin convicción</w:t>
      </w:r>
      <w:r>
        <w:rPr>
          <w:rFonts w:ascii="Times New Roman" w:eastAsia="Times New Roman" w:hAnsi="Times New Roman" w:cs="Times New Roman"/>
          <w:sz w:val="20"/>
          <w:szCs w:val="20"/>
        </w:rPr>
        <w:t>, cit., p. 31, nota 4.</w:t>
      </w:r>
    </w:p>
  </w:footnote>
  <w:footnote w:id="551">
    <w:p w14:paraId="79907F19" w14:textId="77777777" w:rsidR="00FB3B55" w:rsidRDefault="00FB3B55" w:rsidP="00FB3B55">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Proyecto de sentencia presentado por el magistrado Reyes Rodríguez Mondragón en el SUP-JIN-194/2025 y acumulados, reproducido en su voto particular, párrafo 96, p. 92 del voto.</w:t>
      </w:r>
    </w:p>
  </w:footnote>
  <w:footnote w:id="552">
    <w:p w14:paraId="3768DA91" w14:textId="77777777" w:rsidR="00FB3B55" w:rsidRDefault="00FB3B55" w:rsidP="00FB3B55">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Ryle, Gilbert, </w:t>
      </w:r>
      <w:r>
        <w:rPr>
          <w:rFonts w:ascii="Times New Roman" w:eastAsia="Times New Roman" w:hAnsi="Times New Roman" w:cs="Times New Roman"/>
          <w:i/>
          <w:sz w:val="20"/>
          <w:szCs w:val="20"/>
        </w:rPr>
        <w:t xml:space="preserve">The Concept of </w:t>
      </w:r>
      <w:proofErr w:type="spellStart"/>
      <w:r>
        <w:rPr>
          <w:rFonts w:ascii="Times New Roman" w:eastAsia="Times New Roman" w:hAnsi="Times New Roman" w:cs="Times New Roman"/>
          <w:i/>
          <w:sz w:val="20"/>
          <w:szCs w:val="20"/>
        </w:rPr>
        <w:t>Mind</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Harmondsworth</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Penguin</w:t>
      </w:r>
      <w:proofErr w:type="spellEnd"/>
      <w:r>
        <w:rPr>
          <w:rFonts w:ascii="Times New Roman" w:eastAsia="Times New Roman" w:hAnsi="Times New Roman" w:cs="Times New Roman"/>
          <w:sz w:val="20"/>
          <w:szCs w:val="20"/>
        </w:rPr>
        <w:t xml:space="preserve"> Books, 1963, reimpresión de 1968, p. 17. La primera edición fue publicada por Hutchinson en 1949.</w:t>
      </w:r>
    </w:p>
  </w:footnote>
  <w:footnote w:id="553">
    <w:p w14:paraId="4C95C983" w14:textId="77777777" w:rsidR="00FB3B55" w:rsidRDefault="00FB3B55" w:rsidP="00FB3B55">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pp. 17 y 18.</w:t>
      </w:r>
    </w:p>
  </w:footnote>
  <w:footnote w:id="554">
    <w:p w14:paraId="29608274" w14:textId="77777777" w:rsidR="00FB3B55" w:rsidRDefault="00FB3B55" w:rsidP="00FB3B55">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19.</w:t>
      </w:r>
    </w:p>
  </w:footnote>
  <w:footnote w:id="555">
    <w:p w14:paraId="76796A23" w14:textId="77777777" w:rsidR="00FB3B55" w:rsidRDefault="00FB3B55" w:rsidP="00FB3B55">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Montoya Zamora, Las reglas de la lógica, cit., p</w:t>
      </w:r>
      <w:r>
        <w:rPr>
          <w:rFonts w:ascii="Times New Roman" w:eastAsia="Times New Roman" w:hAnsi="Times New Roman" w:cs="Times New Roman"/>
          <w:sz w:val="20"/>
          <w:szCs w:val="20"/>
        </w:rPr>
        <w:t xml:space="preserve">p</w:t>
      </w:r>
      <w:r>
        <w:rPr>
          <w:rFonts w:ascii="Times New Roman" w:eastAsia="Times New Roman" w:hAnsi="Times New Roman" w:cs="Times New Roman"/>
          <w:sz w:val="20"/>
          <w:szCs w:val="20"/>
        </w:rPr>
        <w:t xml:space="preserve">. 27</w:t>
      </w:r>
      <w:r>
        <w:rPr>
          <w:rFonts w:ascii="Times New Roman" w:eastAsia="Times New Roman" w:hAnsi="Times New Roman" w:cs="Times New Roman"/>
          <w:sz w:val="20"/>
          <w:szCs w:val="20"/>
        </w:rPr>
        <w:t xml:space="preserve"> y 28</w:t>
      </w:r>
      <w:r>
        <w:rPr>
          <w:rFonts w:ascii="Times New Roman" w:eastAsia="Times New Roman" w:hAnsi="Times New Roman" w:cs="Times New Roman"/>
          <w:sz w:val="20"/>
          <w:szCs w:val="20"/>
        </w:rPr>
        <w:t xml:space="preserve">, con apoyo en Gascón Abellán.</w:t>
      </w:r>
    </w:p>
  </w:footnote>
  <w:footnote w:id="556">
    <w:p w14:paraId="2DF3C6AD" w14:textId="77777777" w:rsidR="00964EC4" w:rsidRDefault="00964EC4" w:rsidP="00964EC4">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Ferrer Beltrán, Jordi, </w:t>
      </w:r>
      <w:r>
        <w:rPr>
          <w:rFonts w:ascii="Times New Roman" w:eastAsia="Times New Roman" w:hAnsi="Times New Roman" w:cs="Times New Roman"/>
          <w:i/>
          <w:sz w:val="20"/>
          <w:szCs w:val="20"/>
        </w:rPr>
        <w:t>Prueba sin convicción. Estándares de prueba y debido proceso</w:t>
      </w:r>
      <w:r>
        <w:rPr>
          <w:rFonts w:ascii="Times New Roman" w:eastAsia="Times New Roman" w:hAnsi="Times New Roman" w:cs="Times New Roman"/>
          <w:sz w:val="20"/>
          <w:szCs w:val="20"/>
        </w:rPr>
        <w:t>, Madrid, Marcial Pons, 2021, p. 109.</w:t>
      </w:r>
    </w:p>
  </w:footnote>
  <w:footnote w:id="557">
    <w:p w14:paraId="7C19ABC4" w14:textId="77777777" w:rsidR="00964EC4" w:rsidRDefault="00964EC4" w:rsidP="00964EC4">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112, nota 10.</w:t>
      </w:r>
    </w:p>
  </w:footnote>
  <w:footnote w:id="558">
    <w:p w14:paraId="7FDF84FF" w14:textId="77777777" w:rsidR="00964EC4" w:rsidRDefault="00964EC4" w:rsidP="00964EC4">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Ley General del Sistema de Medios de Impugnación en Materia Electoral, artículo 16, párrafo 3, texto consultado con última reforma publicada en el </w:t>
      </w:r>
      <w:r>
        <w:rPr>
          <w:rFonts w:ascii="Times New Roman" w:eastAsia="Times New Roman" w:hAnsi="Times New Roman" w:cs="Times New Roman"/>
          <w:i/>
          <w:sz w:val="20"/>
          <w:szCs w:val="20"/>
        </w:rPr>
        <w:t>Diario Oficial de la Federación</w:t>
      </w:r>
      <w:r>
        <w:rPr>
          <w:rFonts w:ascii="Times New Roman" w:eastAsia="Times New Roman" w:hAnsi="Times New Roman" w:cs="Times New Roman"/>
          <w:sz w:val="20"/>
          <w:szCs w:val="20"/>
        </w:rPr>
        <w:t xml:space="preserve"> el 14 de noviembre de 2025.</w:t>
      </w:r>
    </w:p>
  </w:footnote>
  <w:footnote w:id="559">
    <w:p w14:paraId="3CFE2226" w14:textId="77777777" w:rsidR="00964EC4" w:rsidRDefault="00964EC4" w:rsidP="00964EC4">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Ferrer Beltrán, </w:t>
      </w:r>
      <w:r>
        <w:rPr>
          <w:rFonts w:ascii="Times New Roman" w:eastAsia="Times New Roman" w:hAnsi="Times New Roman" w:cs="Times New Roman"/>
          <w:i/>
          <w:sz w:val="20"/>
          <w:szCs w:val="20"/>
        </w:rPr>
        <w:t>Prueba sin convicción</w:t>
      </w:r>
      <w:r>
        <w:rPr>
          <w:rFonts w:ascii="Times New Roman" w:eastAsia="Times New Roman" w:hAnsi="Times New Roman" w:cs="Times New Roman"/>
          <w:sz w:val="20"/>
          <w:szCs w:val="20"/>
        </w:rPr>
        <w:t>, cit., p. 109.</w:t>
      </w:r>
    </w:p>
  </w:footnote>
  <w:footnote w:id="560">
    <w:p w14:paraId="7C70DADA" w14:textId="77777777" w:rsidR="00964EC4" w:rsidRDefault="00964EC4" w:rsidP="00964EC4">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Ferrer Beltrán, </w:t>
      </w:r>
      <w:r>
        <w:rPr>
          <w:rFonts w:ascii="Times New Roman" w:eastAsia="Times New Roman" w:hAnsi="Times New Roman" w:cs="Times New Roman"/>
          <w:i/>
          <w:sz w:val="20"/>
          <w:szCs w:val="20"/>
        </w:rPr>
        <w:t>Prueba sin convicción</w:t>
      </w:r>
      <w:r>
        <w:rPr>
          <w:rFonts w:ascii="Times New Roman" w:eastAsia="Times New Roman" w:hAnsi="Times New Roman" w:cs="Times New Roman"/>
          <w:sz w:val="20"/>
          <w:szCs w:val="20"/>
        </w:rPr>
        <w:t>, cit., pp. 109 y 110.</w:t>
      </w:r>
    </w:p>
  </w:footnote>
  <w:footnote w:id="561">
    <w:p w14:paraId="1088CF3D" w14:textId="77777777" w:rsidR="00964EC4" w:rsidRDefault="00964EC4" w:rsidP="00964EC4">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111.</w:t>
      </w:r>
    </w:p>
  </w:footnote>
  <w:footnote w:id="562">
    <w:p w14:paraId="6B831C51" w14:textId="77777777" w:rsidR="00964EC4" w:rsidRDefault="00964EC4" w:rsidP="00964EC4">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pp. 111 y 112.</w:t>
      </w:r>
    </w:p>
  </w:footnote>
  <w:footnote w:id="563">
    <w:p w14:paraId="1FE2425E" w14:textId="77777777" w:rsidR="00964EC4" w:rsidRDefault="00964EC4" w:rsidP="00964EC4">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Laudan, Larry, Por qué un estándar de prueba subjetivo y ambiguo no es un estándar, </w:t>
      </w:r>
      <w:r>
        <w:rPr>
          <w:rFonts w:ascii="Times New Roman" w:eastAsia="Times New Roman" w:hAnsi="Times New Roman" w:cs="Times New Roman"/>
          <w:i/>
          <w:sz w:val="20"/>
          <w:szCs w:val="20"/>
        </w:rPr>
        <w:t>Doxa. Cuadernos de Filosofía del Derecho</w:t>
      </w:r>
      <w:r>
        <w:rPr>
          <w:rFonts w:ascii="Times New Roman" w:eastAsia="Times New Roman" w:hAnsi="Times New Roman" w:cs="Times New Roman"/>
          <w:sz w:val="20"/>
          <w:szCs w:val="20"/>
        </w:rPr>
        <w:t>, núm. 28, 2005, p. 95.</w:t>
      </w:r>
    </w:p>
  </w:footnote>
  <w:footnote w:id="564">
    <w:p w14:paraId="4618DC33" w14:textId="77777777" w:rsidR="00964EC4" w:rsidRDefault="00964EC4" w:rsidP="00964EC4">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106.</w:t>
      </w:r>
    </w:p>
  </w:footnote>
  <w:footnote w:id="565">
    <w:p w14:paraId="42C47861" w14:textId="77777777" w:rsidR="00964EC4" w:rsidRDefault="00964EC4" w:rsidP="00964EC4">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Tesis 1a. CCXVIII/2015 (10a.), IN DUBIO PRO REO. EL CONCEPTO DE DUDA ASOCIADO A ESTE PRINCIPIO NO DEBE ENTENDERSE COMO LA FALTA DE CONVICCIÓN O LA INDETERMINACIÓN DEL ÁNIMO O PENSAMIENTO DEL JUZGADOR, </w:t>
      </w:r>
      <w:r>
        <w:rPr>
          <w:rFonts w:ascii="Times New Roman" w:eastAsia="Times New Roman" w:hAnsi="Times New Roman" w:cs="Times New Roman"/>
          <w:i/>
          <w:sz w:val="20"/>
          <w:szCs w:val="20"/>
        </w:rPr>
        <w:t>Gaceta del Semanario Judicial de la Federación</w:t>
      </w:r>
      <w:r>
        <w:rPr>
          <w:rFonts w:ascii="Times New Roman" w:eastAsia="Times New Roman" w:hAnsi="Times New Roman" w:cs="Times New Roman"/>
          <w:sz w:val="20"/>
          <w:szCs w:val="20"/>
        </w:rPr>
        <w:t>, Décima Época, libro 19, junio de 2015, t. I, p. 589, registro digital 2009462.</w:t>
      </w:r>
    </w:p>
  </w:footnote>
  <w:footnote w:id="566">
    <w:p w14:paraId="064AF1A4" w14:textId="77777777" w:rsidR="00964EC4" w:rsidRDefault="00964EC4" w:rsidP="00964EC4">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Ferrer Beltrán, </w:t>
      </w:r>
      <w:r>
        <w:rPr>
          <w:rFonts w:ascii="Times New Roman" w:eastAsia="Times New Roman" w:hAnsi="Times New Roman" w:cs="Times New Roman"/>
          <w:i/>
          <w:sz w:val="20"/>
          <w:szCs w:val="20"/>
        </w:rPr>
        <w:t>Prueba sin convicción</w:t>
      </w:r>
      <w:r>
        <w:rPr>
          <w:rFonts w:ascii="Times New Roman" w:eastAsia="Times New Roman" w:hAnsi="Times New Roman" w:cs="Times New Roman"/>
          <w:sz w:val="20"/>
          <w:szCs w:val="20"/>
        </w:rPr>
        <w:t>, cit., p. 112.</w:t>
      </w:r>
    </w:p>
  </w:footnote>
  <w:footnote w:id="567">
    <w:p w14:paraId="0424D03D" w14:textId="77777777" w:rsidR="00964EC4" w:rsidRDefault="00964EC4" w:rsidP="00964EC4">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pp. 112 y 113.</w:t>
      </w:r>
    </w:p>
  </w:footnote>
  <w:footnote w:id="568">
    <w:p w14:paraId="1355555B" w14:textId="77777777" w:rsidR="00964EC4" w:rsidRDefault="00964EC4" w:rsidP="00964EC4">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114.</w:t>
      </w:r>
    </w:p>
  </w:footnote>
  <w:footnote w:id="569">
    <w:p w14:paraId="4BB84971" w14:textId="77777777" w:rsidR="00964EC4" w:rsidRDefault="00964EC4" w:rsidP="00964EC4">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Ley General del Sistema de Medios de Impugnación en Materia Electoral, artículo 8, párrafo 1.</w:t>
      </w:r>
    </w:p>
  </w:footnote>
  <w:footnote w:id="570">
    <w:p w14:paraId="77E65588" w14:textId="77777777" w:rsidR="00964EC4" w:rsidRDefault="00964EC4" w:rsidP="00964EC4">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artículos 9, párrafo 1, inciso f), y 16, párrafo 4.</w:t>
      </w:r>
    </w:p>
  </w:footnote>
  <w:footnote w:id="571">
    <w:p w14:paraId="5A6C284F" w14:textId="77777777" w:rsidR="00964EC4" w:rsidRDefault="00964EC4" w:rsidP="00964EC4">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artículo 14, párrafo 3.</w:t>
      </w:r>
    </w:p>
  </w:footnote>
  <w:footnote w:id="572">
    <w:p w14:paraId="025339BE" w14:textId="77777777" w:rsidR="00964EC4" w:rsidRDefault="00964EC4" w:rsidP="00964EC4">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artículo 14, párrafo 4, inciso a).</w:t>
      </w:r>
    </w:p>
  </w:footnote>
  <w:footnote w:id="573">
    <w:p w14:paraId="4DDAD5BC" w14:textId="77777777" w:rsidR="00964EC4" w:rsidRDefault="00964EC4" w:rsidP="00964EC4">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Ferrer Beltrán, </w:t>
      </w:r>
      <w:r>
        <w:rPr>
          <w:rFonts w:ascii="Times New Roman" w:eastAsia="Times New Roman" w:hAnsi="Times New Roman" w:cs="Times New Roman"/>
          <w:i/>
          <w:sz w:val="20"/>
          <w:szCs w:val="20"/>
        </w:rPr>
        <w:t>Prueba sin convicción</w:t>
      </w:r>
      <w:r>
        <w:rPr>
          <w:rFonts w:ascii="Times New Roman" w:eastAsia="Times New Roman" w:hAnsi="Times New Roman" w:cs="Times New Roman"/>
          <w:sz w:val="20"/>
          <w:szCs w:val="20"/>
        </w:rPr>
        <w:t>, cit., p. 24.</w:t>
      </w:r>
    </w:p>
  </w:footnote>
  <w:footnote w:id="574">
    <w:p w14:paraId="5F46717A" w14:textId="77777777" w:rsidR="00964EC4" w:rsidRDefault="00964EC4" w:rsidP="00964EC4">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Laudan, Por qué un estándar de prueba subjetivo y ambiguo no es un estándar, cit., p. 112.</w:t>
      </w:r>
    </w:p>
  </w:footnote>
  <w:footnote w:id="575">
    <w:p w14:paraId="2C7C408B" w14:textId="77777777" w:rsidR="00964EC4" w:rsidRDefault="00964EC4" w:rsidP="00964EC4">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Ferrer Beltrán, </w:t>
      </w:r>
      <w:r>
        <w:rPr>
          <w:rFonts w:ascii="Times New Roman" w:eastAsia="Times New Roman" w:hAnsi="Times New Roman" w:cs="Times New Roman"/>
          <w:i/>
          <w:sz w:val="20"/>
          <w:szCs w:val="20"/>
        </w:rPr>
        <w:t>Prueba sin convicción</w:t>
      </w:r>
      <w:r>
        <w:rPr>
          <w:rFonts w:ascii="Times New Roman" w:eastAsia="Times New Roman" w:hAnsi="Times New Roman" w:cs="Times New Roman"/>
          <w:sz w:val="20"/>
          <w:szCs w:val="20"/>
        </w:rPr>
        <w:t>, cit., p. 26.</w:t>
      </w:r>
    </w:p>
  </w:footnote>
  <w:footnote w:id="576">
    <w:p w14:paraId="35C4EB90" w14:textId="77777777" w:rsidR="00964EC4" w:rsidRDefault="00964EC4" w:rsidP="00964EC4">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27.</w:t>
      </w:r>
    </w:p>
  </w:footnote>
  <w:footnote w:id="577">
    <w:p w14:paraId="5E8DCFB3" w14:textId="77777777" w:rsidR="00964EC4" w:rsidRDefault="00964EC4" w:rsidP="00964EC4">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28.</w:t>
      </w:r>
    </w:p>
  </w:footnote>
  <w:footnote w:id="578">
    <w:p w14:paraId="0165DE72" w14:textId="77777777" w:rsidR="00964EC4" w:rsidRDefault="00964EC4" w:rsidP="00964EC4">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Laudan, Larry, </w:t>
      </w:r>
      <w:r>
        <w:rPr>
          <w:rFonts w:ascii="Times New Roman" w:eastAsia="Times New Roman" w:hAnsi="Times New Roman" w:cs="Times New Roman"/>
          <w:i/>
          <w:sz w:val="20"/>
          <w:szCs w:val="20"/>
        </w:rPr>
        <w:t xml:space="preserve">Truth, Error, and Criminal Law. </w:t>
      </w:r>
      <w:proofErr w:type="spellStart"/>
      <w:r>
        <w:rPr>
          <w:rFonts w:ascii="Times New Roman" w:eastAsia="Times New Roman" w:hAnsi="Times New Roman" w:cs="Times New Roman"/>
          <w:i/>
          <w:sz w:val="20"/>
          <w:szCs w:val="20"/>
        </w:rPr>
        <w:t>An</w:t>
      </w:r>
      <w:proofErr w:type="spellEnd"/>
      <w:r>
        <w:rPr>
          <w:rFonts w:ascii="Times New Roman" w:eastAsia="Times New Roman" w:hAnsi="Times New Roman" w:cs="Times New Roman"/>
          <w:i/>
          <w:sz w:val="20"/>
          <w:szCs w:val="20"/>
        </w:rPr>
        <w:t xml:space="preserve"> Essay in Legal </w:t>
      </w:r>
      <w:proofErr w:type="spellStart"/>
      <w:r>
        <w:rPr>
          <w:rFonts w:ascii="Times New Roman" w:eastAsia="Times New Roman" w:hAnsi="Times New Roman" w:cs="Times New Roman"/>
          <w:i/>
          <w:sz w:val="20"/>
          <w:szCs w:val="20"/>
        </w:rPr>
        <w:t>Epistemology</w:t>
      </w:r>
      <w:proofErr w:type="spellEnd"/>
      <w:r>
        <w:rPr>
          <w:rFonts w:ascii="Times New Roman" w:eastAsia="Times New Roman" w:hAnsi="Times New Roman" w:cs="Times New Roman"/>
          <w:sz w:val="20"/>
          <w:szCs w:val="20"/>
        </w:rPr>
        <w:t xml:space="preserve">, Cambridge, Cambridge </w:t>
      </w:r>
      <w:proofErr w:type="spellStart"/>
      <w:r>
        <w:rPr>
          <w:rFonts w:ascii="Times New Roman" w:eastAsia="Times New Roman" w:hAnsi="Times New Roman" w:cs="Times New Roman"/>
          <w:sz w:val="20"/>
          <w:szCs w:val="20"/>
        </w:rPr>
        <w:t>University</w:t>
      </w:r>
      <w:proofErr w:type="spellEnd"/>
      <w:r>
        <w:rPr>
          <w:rFonts w:ascii="Times New Roman" w:eastAsia="Times New Roman" w:hAnsi="Times New Roman" w:cs="Times New Roman"/>
          <w:sz w:val="20"/>
          <w:szCs w:val="20"/>
        </w:rPr>
        <w:t xml:space="preserve"> Press, 2006, p. 68.</w:t>
      </w:r>
    </w:p>
  </w:footnote>
  <w:footnote w:id="579">
    <w:p w14:paraId="3C137BC7" w14:textId="77777777" w:rsidR="00964EC4" w:rsidRDefault="00964EC4" w:rsidP="00964EC4">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29.</w:t>
      </w:r>
    </w:p>
  </w:footnote>
  <w:footnote w:id="580">
    <w:p w14:paraId="52805C42" w14:textId="77777777" w:rsidR="00964EC4" w:rsidRDefault="00964EC4" w:rsidP="00964EC4">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Laudan, Por qué un estándar de prueba subjetivo y ambiguo no es un estándar, cit., p. 97.</w:t>
      </w:r>
    </w:p>
  </w:footnote>
  <w:footnote w:id="581">
    <w:p w14:paraId="2160228D" w14:textId="77777777" w:rsidR="00964EC4" w:rsidRDefault="00964EC4" w:rsidP="00964EC4">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Ferrer Beltrán, </w:t>
      </w:r>
      <w:r>
        <w:rPr>
          <w:rFonts w:ascii="Times New Roman" w:eastAsia="Times New Roman" w:hAnsi="Times New Roman" w:cs="Times New Roman"/>
          <w:i/>
          <w:sz w:val="20"/>
          <w:szCs w:val="20"/>
        </w:rPr>
        <w:t>Prueba sin convicción</w:t>
      </w:r>
      <w:r>
        <w:rPr>
          <w:rFonts w:ascii="Times New Roman" w:eastAsia="Times New Roman" w:hAnsi="Times New Roman" w:cs="Times New Roman"/>
          <w:sz w:val="20"/>
          <w:szCs w:val="20"/>
        </w:rPr>
        <w:t>, cit., p. 115 y nota 15, donde cita a Laudan como ejemplo.</w:t>
      </w:r>
    </w:p>
  </w:footnote>
  <w:footnote w:id="582">
    <w:p w14:paraId="001A3525" w14:textId="77777777" w:rsidR="00964EC4" w:rsidRDefault="00964EC4" w:rsidP="00964EC4">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112 y nota 10.</w:t>
      </w:r>
    </w:p>
  </w:footnote>
  <w:footnote w:id="583">
    <w:p w14:paraId="08758F95" w14:textId="77777777" w:rsidR="00964EC4" w:rsidRDefault="00964EC4" w:rsidP="00964EC4">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Ferrer Beltrán, </w:t>
      </w:r>
      <w:r>
        <w:rPr>
          <w:rFonts w:ascii="Times New Roman" w:eastAsia="Times New Roman" w:hAnsi="Times New Roman" w:cs="Times New Roman"/>
          <w:i/>
          <w:sz w:val="20"/>
          <w:szCs w:val="20"/>
        </w:rPr>
        <w:t>Prueba sin convicción</w:t>
      </w:r>
      <w:r>
        <w:rPr>
          <w:rFonts w:ascii="Times New Roman" w:eastAsia="Times New Roman" w:hAnsi="Times New Roman" w:cs="Times New Roman"/>
          <w:sz w:val="20"/>
          <w:szCs w:val="20"/>
        </w:rPr>
        <w:t>, cit., p. 114.</w:t>
      </w:r>
    </w:p>
  </w:footnote>
  <w:footnote w:id="584">
    <w:p w14:paraId="2111F104" w14:textId="77777777" w:rsidR="00964EC4" w:rsidRDefault="00964EC4" w:rsidP="00964EC4">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pp. 29-35.</w:t>
      </w:r>
    </w:p>
  </w:footnote>
  <w:footnote w:id="585">
    <w:p w14:paraId="4857FCE9" w14:textId="77777777" w:rsidR="00964EC4" w:rsidRDefault="00964EC4" w:rsidP="00964EC4">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Ferrer Beltrán, </w:t>
      </w:r>
      <w:r>
        <w:rPr>
          <w:rFonts w:ascii="Times New Roman" w:eastAsia="Times New Roman" w:hAnsi="Times New Roman" w:cs="Times New Roman"/>
          <w:i/>
          <w:sz w:val="20"/>
          <w:szCs w:val="20"/>
        </w:rPr>
        <w:t>Prueba sin convicción</w:t>
      </w:r>
      <w:r>
        <w:rPr>
          <w:rFonts w:ascii="Times New Roman" w:eastAsia="Times New Roman" w:hAnsi="Times New Roman" w:cs="Times New Roman"/>
          <w:sz w:val="20"/>
          <w:szCs w:val="20"/>
        </w:rPr>
        <w:t>, cit., p. 115.</w:t>
      </w:r>
    </w:p>
  </w:footnote>
  <w:footnote w:id="586">
    <w:p w14:paraId="728E58C3" w14:textId="77777777" w:rsidR="00964EC4" w:rsidRDefault="00964EC4" w:rsidP="00964EC4">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Laudan, </w:t>
      </w:r>
      <w:r>
        <w:rPr>
          <w:rFonts w:ascii="Times New Roman" w:eastAsia="Times New Roman" w:hAnsi="Times New Roman" w:cs="Times New Roman"/>
          <w:i/>
          <w:sz w:val="20"/>
          <w:szCs w:val="20"/>
        </w:rPr>
        <w:t>Truth, Error, and Criminal Law</w:t>
      </w:r>
      <w:r>
        <w:rPr>
          <w:rFonts w:ascii="Times New Roman" w:eastAsia="Times New Roman" w:hAnsi="Times New Roman" w:cs="Times New Roman"/>
          <w:sz w:val="20"/>
          <w:szCs w:val="20"/>
        </w:rPr>
        <w:t>, cit., p. 10.</w:t>
      </w:r>
    </w:p>
  </w:footnote>
  <w:footnote w:id="587">
    <w:p w14:paraId="59F01864" w14:textId="77777777" w:rsidR="00964EC4" w:rsidRDefault="00964EC4" w:rsidP="00964EC4">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Laudan, </w:t>
      </w:r>
      <w:r>
        <w:rPr>
          <w:rFonts w:ascii="Times New Roman" w:eastAsia="Times New Roman" w:hAnsi="Times New Roman" w:cs="Times New Roman"/>
          <w:i/>
          <w:sz w:val="20"/>
          <w:szCs w:val="20"/>
        </w:rPr>
        <w:t>Truth, Error, and Criminal Law</w:t>
      </w:r>
      <w:r>
        <w:rPr>
          <w:rFonts w:ascii="Times New Roman" w:eastAsia="Times New Roman" w:hAnsi="Times New Roman" w:cs="Times New Roman"/>
          <w:sz w:val="20"/>
          <w:szCs w:val="20"/>
        </w:rPr>
        <w:t>, cit., pp. 68 y 74.</w:t>
      </w:r>
    </w:p>
  </w:footnote>
  <w:footnote w:id="588">
    <w:p w14:paraId="6AE48F5D" w14:textId="77777777" w:rsidR="00964EC4" w:rsidRDefault="00964EC4" w:rsidP="00964EC4">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Ferrer Beltrán, </w:t>
      </w:r>
      <w:r>
        <w:rPr>
          <w:rFonts w:ascii="Times New Roman" w:eastAsia="Times New Roman" w:hAnsi="Times New Roman" w:cs="Times New Roman"/>
          <w:i/>
          <w:sz w:val="20"/>
          <w:szCs w:val="20"/>
        </w:rPr>
        <w:t>Prueba sin convicción</w:t>
      </w:r>
      <w:r>
        <w:rPr>
          <w:rFonts w:ascii="Times New Roman" w:eastAsia="Times New Roman" w:hAnsi="Times New Roman" w:cs="Times New Roman"/>
          <w:sz w:val="20"/>
          <w:szCs w:val="20"/>
        </w:rPr>
        <w:t>, cit., pp. 142 y 143, nota 95.</w:t>
      </w:r>
    </w:p>
  </w:footnote>
  <w:footnote w:id="589">
    <w:p w14:paraId="5D5CD739" w14:textId="77777777" w:rsidR="00964EC4" w:rsidRDefault="00964EC4" w:rsidP="00964EC4">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24.</w:t>
      </w:r>
    </w:p>
  </w:footnote>
  <w:footnote w:id="590">
    <w:p w14:paraId="4DB98A09" w14:textId="77777777" w:rsidR="00964EC4" w:rsidRDefault="00964EC4" w:rsidP="00964EC4">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Laudan, Por qué un estándar de prueba subjetivo y ambiguo no es un estándar, cit., p. 97.</w:t>
      </w:r>
    </w:p>
  </w:footnote>
  <w:footnote w:id="591">
    <w:p w14:paraId="61F15D6D" w14:textId="77777777" w:rsidR="00964EC4" w:rsidRDefault="00964EC4" w:rsidP="00964EC4">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Ferrer Beltrán, </w:t>
      </w:r>
      <w:r>
        <w:rPr>
          <w:rFonts w:ascii="Times New Roman" w:eastAsia="Times New Roman" w:hAnsi="Times New Roman" w:cs="Times New Roman"/>
          <w:i/>
          <w:sz w:val="20"/>
          <w:szCs w:val="20"/>
        </w:rPr>
        <w:t>Prueba sin convicción</w:t>
      </w:r>
      <w:r>
        <w:rPr>
          <w:rFonts w:ascii="Times New Roman" w:eastAsia="Times New Roman" w:hAnsi="Times New Roman" w:cs="Times New Roman"/>
          <w:sz w:val="20"/>
          <w:szCs w:val="20"/>
        </w:rPr>
        <w:t>, cit., p. 24, nota 17.</w:t>
      </w:r>
    </w:p>
  </w:footnote>
  <w:footnote w:id="592">
    <w:p w14:paraId="0399F67E" w14:textId="77777777" w:rsidR="00964EC4" w:rsidRDefault="00964EC4" w:rsidP="00964EC4">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Ferrer Beltrán, </w:t>
      </w:r>
      <w:r>
        <w:rPr>
          <w:rFonts w:ascii="Times New Roman" w:eastAsia="Times New Roman" w:hAnsi="Times New Roman" w:cs="Times New Roman"/>
          <w:i/>
          <w:sz w:val="20"/>
          <w:szCs w:val="20"/>
        </w:rPr>
        <w:t>Prueba sin convicción</w:t>
      </w:r>
      <w:r>
        <w:rPr>
          <w:rFonts w:ascii="Times New Roman" w:eastAsia="Times New Roman" w:hAnsi="Times New Roman" w:cs="Times New Roman"/>
          <w:sz w:val="20"/>
          <w:szCs w:val="20"/>
        </w:rPr>
        <w:t>, cit., p. 117.</w:t>
      </w:r>
    </w:p>
  </w:footnote>
  <w:footnote w:id="593">
    <w:p w14:paraId="4491F5B9" w14:textId="77777777" w:rsidR="00964EC4" w:rsidRDefault="00964EC4" w:rsidP="00964EC4">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pp. 121 y 122.</w:t>
      </w:r>
    </w:p>
  </w:footnote>
  <w:footnote w:id="594">
    <w:p w14:paraId="2E8C8BA8" w14:textId="77777777" w:rsidR="00964EC4" w:rsidRDefault="00964EC4" w:rsidP="00964EC4">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138.</w:t>
      </w:r>
    </w:p>
  </w:footnote>
  <w:footnote w:id="595">
    <w:p w14:paraId="60D67084" w14:textId="77777777" w:rsidR="00964EC4" w:rsidRDefault="00964EC4" w:rsidP="00964EC4">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pp. 122 y 123.</w:t>
      </w:r>
    </w:p>
  </w:footnote>
  <w:footnote w:id="596">
    <w:p w14:paraId="1DA7528B" w14:textId="77777777" w:rsidR="00964EC4" w:rsidRDefault="00964EC4" w:rsidP="00964EC4">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Sala Superior del Tribunal Electoral del Poder Judicial de la Federación, SUP-JIN-194/2025 y acumulados, sentencia de 20 de agosto de 2025, párrafo 51, p. 11.</w:t>
      </w:r>
    </w:p>
  </w:footnote>
  <w:footnote w:id="597">
    <w:p w14:paraId="37166920" w14:textId="77777777" w:rsidR="00964EC4" w:rsidRDefault="00964EC4" w:rsidP="00964EC4">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Ley General del Sistema de Medios de Impugnación en Materia Electoral, artículo 21, párrafo 1.</w:t>
      </w:r>
    </w:p>
  </w:footnote>
  <w:footnote w:id="598">
    <w:p w14:paraId="71CBC72A" w14:textId="77777777" w:rsidR="00964EC4" w:rsidRDefault="00964EC4" w:rsidP="00964EC4">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Ley General del Sistema de Medios de Impugnación en Materia Electoral, artículo 12, párrafo 1.</w:t>
      </w:r>
    </w:p>
  </w:footnote>
  <w:footnote w:id="599">
    <w:p w14:paraId="31A48E98" w14:textId="77777777" w:rsidR="00964EC4" w:rsidRDefault="00964EC4" w:rsidP="00964EC4">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artículo 15, párrafo 2.</w:t>
      </w:r>
    </w:p>
  </w:footnote>
  <w:footnote w:id="600">
    <w:p w14:paraId="10FF2C45" w14:textId="77777777" w:rsidR="00964EC4" w:rsidRDefault="00964EC4" w:rsidP="00964EC4">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Ferrer Beltrán, </w:t>
      </w:r>
      <w:r>
        <w:rPr>
          <w:rFonts w:ascii="Times New Roman" w:eastAsia="Times New Roman" w:hAnsi="Times New Roman" w:cs="Times New Roman"/>
          <w:i/>
          <w:sz w:val="20"/>
          <w:szCs w:val="20"/>
        </w:rPr>
        <w:t>Prueba sin convicción</w:t>
      </w:r>
      <w:r>
        <w:rPr>
          <w:rFonts w:ascii="Times New Roman" w:eastAsia="Times New Roman" w:hAnsi="Times New Roman" w:cs="Times New Roman"/>
          <w:sz w:val="20"/>
          <w:szCs w:val="20"/>
        </w:rPr>
        <w:t>, cit., p. 149.</w:t>
      </w:r>
    </w:p>
  </w:footnote>
  <w:footnote w:id="601">
    <w:p w14:paraId="21D0FBEC" w14:textId="77777777" w:rsidR="00E17078" w:rsidRDefault="00E17078" w:rsidP="00E17078">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Ferrer Beltrán, Jordi, </w:t>
      </w:r>
      <w:r>
        <w:rPr>
          <w:rFonts w:ascii="Times New Roman" w:eastAsia="Times New Roman" w:hAnsi="Times New Roman" w:cs="Times New Roman"/>
          <w:i/>
          <w:sz w:val="20"/>
          <w:szCs w:val="20"/>
        </w:rPr>
        <w:t>Prueba sin convicción. Estándares de prueba y debido proceso</w:t>
      </w:r>
      <w:r>
        <w:rPr>
          <w:rFonts w:ascii="Times New Roman" w:eastAsia="Times New Roman" w:hAnsi="Times New Roman" w:cs="Times New Roman"/>
          <w:sz w:val="20"/>
          <w:szCs w:val="20"/>
        </w:rPr>
        <w:t>, Madrid, Marcial Pons, 2021, p. 24.</w:t>
      </w:r>
    </w:p>
  </w:footnote>
  <w:footnote w:id="602">
    <w:p w14:paraId="695D4FB8" w14:textId="77777777" w:rsidR="00E17078" w:rsidRDefault="00E17078" w:rsidP="00E17078">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24, nota 17.</w:t>
      </w:r>
    </w:p>
  </w:footnote>
  <w:footnote w:id="603">
    <w:p w14:paraId="3BC82E85" w14:textId="77777777" w:rsidR="00E17078" w:rsidRDefault="00E17078" w:rsidP="00E17078">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139.</w:t>
      </w:r>
    </w:p>
  </w:footnote>
  <w:footnote w:id="604">
    <w:p w14:paraId="09AD74A5" w14:textId="77777777" w:rsidR="00E17078" w:rsidRDefault="00E17078" w:rsidP="00E17078">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Ferrer Beltrán, Jordi, La prueba es libertad, pero no tanto. Una teoría de la prueba </w:t>
      </w:r>
      <w:proofErr w:type="spellStart"/>
      <w:r>
        <w:rPr>
          <w:rFonts w:ascii="Times New Roman" w:eastAsia="Times New Roman" w:hAnsi="Times New Roman" w:cs="Times New Roman"/>
          <w:sz w:val="20"/>
          <w:szCs w:val="20"/>
        </w:rPr>
        <w:t>cuasibenthamiana</w:t>
      </w:r>
      <w:proofErr w:type="spellEnd"/>
      <w:r>
        <w:rPr>
          <w:rFonts w:ascii="Times New Roman" w:eastAsia="Times New Roman" w:hAnsi="Times New Roman" w:cs="Times New Roman"/>
          <w:sz w:val="20"/>
          <w:szCs w:val="20"/>
        </w:rPr>
        <w:t xml:space="preserve">, en Vázquez, Carmen (ed.), </w:t>
      </w:r>
      <w:r>
        <w:rPr>
          <w:rFonts w:ascii="Times New Roman" w:eastAsia="Times New Roman" w:hAnsi="Times New Roman" w:cs="Times New Roman"/>
          <w:i/>
          <w:sz w:val="20"/>
          <w:szCs w:val="20"/>
        </w:rPr>
        <w:t>Estándares de prueba y prueba científica. Ensayos de epistemología jurídica</w:t>
      </w:r>
      <w:r>
        <w:rPr>
          <w:rFonts w:ascii="Times New Roman" w:eastAsia="Times New Roman" w:hAnsi="Times New Roman" w:cs="Times New Roman"/>
          <w:sz w:val="20"/>
          <w:szCs w:val="20"/>
        </w:rPr>
        <w:t>, Madrid, Marcial Pons, 2013, p. 34.</w:t>
      </w:r>
    </w:p>
  </w:footnote>
  <w:footnote w:id="605">
    <w:p w14:paraId="5E6086A0" w14:textId="77777777" w:rsidR="00E17078" w:rsidRDefault="00E17078" w:rsidP="00E17078">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Laudan, Larry, Por qué un estándar de prueba subjetivo y ambiguo no es un estándar, </w:t>
      </w:r>
      <w:r>
        <w:rPr>
          <w:rFonts w:ascii="Times New Roman" w:eastAsia="Times New Roman" w:hAnsi="Times New Roman" w:cs="Times New Roman"/>
          <w:i/>
          <w:sz w:val="20"/>
          <w:szCs w:val="20"/>
        </w:rPr>
        <w:t>Doxa. Cuadernos de Filosofía del Derecho</w:t>
      </w:r>
      <w:r>
        <w:rPr>
          <w:rFonts w:ascii="Times New Roman" w:eastAsia="Times New Roman" w:hAnsi="Times New Roman" w:cs="Times New Roman"/>
          <w:sz w:val="20"/>
          <w:szCs w:val="20"/>
        </w:rPr>
        <w:t>, núm. 28, 2005, p. 97.</w:t>
      </w:r>
    </w:p>
  </w:footnote>
  <w:footnote w:id="606">
    <w:p w14:paraId="38199A2B" w14:textId="77777777" w:rsidR="00E17078" w:rsidRDefault="00E17078" w:rsidP="00E17078">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Ferrer Beltrán, </w:t>
      </w:r>
      <w:r>
        <w:rPr>
          <w:rFonts w:ascii="Times New Roman" w:eastAsia="Times New Roman" w:hAnsi="Times New Roman" w:cs="Times New Roman"/>
          <w:i/>
          <w:sz w:val="20"/>
          <w:szCs w:val="20"/>
        </w:rPr>
        <w:t>Prueba sin convicción</w:t>
      </w:r>
      <w:r>
        <w:rPr>
          <w:rFonts w:ascii="Times New Roman" w:eastAsia="Times New Roman" w:hAnsi="Times New Roman" w:cs="Times New Roman"/>
          <w:sz w:val="20"/>
          <w:szCs w:val="20"/>
        </w:rPr>
        <w:t>, cit., p. 140.</w:t>
      </w:r>
    </w:p>
  </w:footnote>
  <w:footnote w:id="607">
    <w:p w14:paraId="493C28A1" w14:textId="77777777" w:rsidR="00E17078" w:rsidRDefault="00E17078" w:rsidP="00E17078">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pp. 141 y 142.</w:t>
      </w:r>
    </w:p>
  </w:footnote>
  <w:footnote w:id="608">
    <w:p w14:paraId="23EF8D7E" w14:textId="77777777" w:rsidR="00E17078" w:rsidRDefault="00E17078" w:rsidP="00E17078">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142.</w:t>
      </w:r>
    </w:p>
  </w:footnote>
  <w:footnote w:id="609">
    <w:p w14:paraId="3813EEEB" w14:textId="77777777" w:rsidR="00E17078" w:rsidRDefault="00E17078" w:rsidP="00E17078">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pp. 142 y 143.</w:t>
      </w:r>
    </w:p>
  </w:footnote>
  <w:footnote w:id="610">
    <w:p w14:paraId="6FC18688" w14:textId="77777777" w:rsidR="00E17078" w:rsidRDefault="00E17078" w:rsidP="00E17078">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139.</w:t>
      </w:r>
    </w:p>
  </w:footnote>
  <w:footnote w:id="611">
    <w:p w14:paraId="6E531573" w14:textId="77777777" w:rsidR="00E17078" w:rsidRDefault="00E17078" w:rsidP="00E17078">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Proyecto de sentencia presentado por el magistrado Reyes Rodríguez Mondragón en el SUP-JIN-194/2025 y acumulados, reproducido en su voto particular, párrafo 91, p. 90 del voto.</w:t>
      </w:r>
    </w:p>
  </w:footnote>
  <w:footnote w:id="612">
    <w:p w14:paraId="046ADB56" w14:textId="77777777" w:rsidR="00E17078" w:rsidRDefault="00E17078" w:rsidP="00E17078">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Ferrer Beltrán, </w:t>
      </w:r>
      <w:r>
        <w:rPr>
          <w:rFonts w:ascii="Times New Roman" w:eastAsia="Times New Roman" w:hAnsi="Times New Roman" w:cs="Times New Roman"/>
          <w:i/>
          <w:sz w:val="20"/>
          <w:szCs w:val="20"/>
        </w:rPr>
        <w:t>Prueba sin convicción</w:t>
      </w:r>
      <w:r>
        <w:rPr>
          <w:rFonts w:ascii="Times New Roman" w:eastAsia="Times New Roman" w:hAnsi="Times New Roman" w:cs="Times New Roman"/>
          <w:sz w:val="20"/>
          <w:szCs w:val="20"/>
        </w:rPr>
        <w:t>, cit., pp. 154 y 155.</w:t>
      </w:r>
    </w:p>
  </w:footnote>
  <w:footnote w:id="613">
    <w:p w14:paraId="126D1DC7" w14:textId="77777777" w:rsidR="00E17078" w:rsidRDefault="00E17078" w:rsidP="00E17078">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156.</w:t>
      </w:r>
    </w:p>
  </w:footnote>
  <w:footnote w:id="614">
    <w:p w14:paraId="7F1C2338" w14:textId="77777777" w:rsidR="00E17078" w:rsidRDefault="00E17078" w:rsidP="00E17078">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156, nota 132.</w:t>
      </w:r>
    </w:p>
  </w:footnote>
  <w:footnote w:id="615">
    <w:p w14:paraId="758029EE" w14:textId="77777777" w:rsidR="00E17078" w:rsidRDefault="00E17078" w:rsidP="00E17078">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156.</w:t>
      </w:r>
    </w:p>
  </w:footnote>
  <w:footnote w:id="616">
    <w:p w14:paraId="50D582C6" w14:textId="77777777" w:rsidR="00E17078" w:rsidRDefault="00E17078" w:rsidP="00E17078">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Ferrer Beltrán, </w:t>
      </w:r>
      <w:r>
        <w:rPr>
          <w:rFonts w:ascii="Times New Roman" w:eastAsia="Times New Roman" w:hAnsi="Times New Roman" w:cs="Times New Roman"/>
          <w:i/>
          <w:sz w:val="20"/>
          <w:szCs w:val="20"/>
        </w:rPr>
        <w:t>Prueba sin convicción</w:t>
      </w:r>
      <w:r>
        <w:rPr>
          <w:rFonts w:ascii="Times New Roman" w:eastAsia="Times New Roman" w:hAnsi="Times New Roman" w:cs="Times New Roman"/>
          <w:sz w:val="20"/>
          <w:szCs w:val="20"/>
        </w:rPr>
        <w:t xml:space="preserve">, cit., p. 157, donde cita la sentencia del Tribunal Europeo de Derechos Humanos en el caso </w:t>
      </w:r>
      <w:proofErr w:type="spellStart"/>
      <w:r>
        <w:rPr>
          <w:rFonts w:ascii="Times New Roman" w:eastAsia="Times New Roman" w:hAnsi="Times New Roman" w:cs="Times New Roman"/>
          <w:sz w:val="20"/>
          <w:szCs w:val="20"/>
        </w:rPr>
        <w:t>Tendam</w:t>
      </w:r>
      <w:proofErr w:type="spellEnd"/>
      <w:r>
        <w:rPr>
          <w:rFonts w:ascii="Times New Roman" w:eastAsia="Times New Roman" w:hAnsi="Times New Roman" w:cs="Times New Roman"/>
          <w:sz w:val="20"/>
          <w:szCs w:val="20"/>
        </w:rPr>
        <w:t xml:space="preserve"> contra España, de 13 de julio de 2010.</w:t>
      </w:r>
    </w:p>
  </w:footnote>
  <w:footnote w:id="617">
    <w:p w14:paraId="2A06D4C0" w14:textId="77777777" w:rsidR="00E17078" w:rsidRDefault="00E17078" w:rsidP="00E17078">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158.</w:t>
      </w:r>
    </w:p>
  </w:footnote>
  <w:footnote w:id="618">
    <w:p w14:paraId="631C9606" w14:textId="77777777" w:rsidR="00E17078" w:rsidRDefault="00E17078" w:rsidP="00E17078">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pp. 158 y 159.</w:t>
      </w:r>
    </w:p>
  </w:footnote>
  <w:footnote w:id="619">
    <w:p w14:paraId="5AB460EF" w14:textId="77777777" w:rsidR="00E17078" w:rsidRDefault="00E17078" w:rsidP="00E17078">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Ferrer Beltrán, </w:t>
      </w:r>
      <w:r>
        <w:rPr>
          <w:rFonts w:ascii="Times New Roman" w:eastAsia="Times New Roman" w:hAnsi="Times New Roman" w:cs="Times New Roman"/>
          <w:i/>
          <w:sz w:val="20"/>
          <w:szCs w:val="20"/>
        </w:rPr>
        <w:t>Prueba sin convicción</w:t>
      </w:r>
      <w:r>
        <w:rPr>
          <w:rFonts w:ascii="Times New Roman" w:eastAsia="Times New Roman" w:hAnsi="Times New Roman" w:cs="Times New Roman"/>
          <w:sz w:val="20"/>
          <w:szCs w:val="20"/>
        </w:rPr>
        <w:t>, cit., p. 159.</w:t>
      </w:r>
    </w:p>
  </w:footnote>
  <w:footnote w:id="620">
    <w:p w14:paraId="54F79B39" w14:textId="77777777" w:rsidR="00E17078" w:rsidRDefault="00E17078" w:rsidP="00E17078">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159, nota 139.</w:t>
      </w:r>
    </w:p>
  </w:footnote>
  <w:footnote w:id="621">
    <w:p w14:paraId="3A0AB0D9" w14:textId="77777777" w:rsidR="00E17078" w:rsidRDefault="00E17078" w:rsidP="00E17078">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Ferrer Beltrán, </w:t>
      </w:r>
      <w:r>
        <w:rPr>
          <w:rFonts w:ascii="Times New Roman" w:eastAsia="Times New Roman" w:hAnsi="Times New Roman" w:cs="Times New Roman"/>
          <w:i/>
          <w:sz w:val="20"/>
          <w:szCs w:val="20"/>
        </w:rPr>
        <w:t>Prueba sin convicción</w:t>
      </w:r>
      <w:r>
        <w:rPr>
          <w:rFonts w:ascii="Times New Roman" w:eastAsia="Times New Roman" w:hAnsi="Times New Roman" w:cs="Times New Roman"/>
          <w:sz w:val="20"/>
          <w:szCs w:val="20"/>
        </w:rPr>
        <w:t>, cit., p. 154.</w:t>
      </w:r>
    </w:p>
  </w:footnote>
  <w:footnote w:id="622">
    <w:p w14:paraId="472F5830" w14:textId="77777777" w:rsidR="00E17078" w:rsidRDefault="00E17078" w:rsidP="00E17078">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pp. 160 y 161.</w:t>
      </w:r>
    </w:p>
  </w:footnote>
  <w:footnote w:id="623">
    <w:p w14:paraId="7E56FDBA" w14:textId="77777777" w:rsidR="00E17078" w:rsidRDefault="00E17078" w:rsidP="00E17078">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pp. 163 y 164.</w:t>
      </w:r>
    </w:p>
  </w:footnote>
  <w:footnote w:id="624">
    <w:p w14:paraId="6A50D608" w14:textId="77777777" w:rsidR="00E17078" w:rsidRDefault="00E17078" w:rsidP="00E17078">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pp. 166 y 167.</w:t>
      </w:r>
    </w:p>
  </w:footnote>
  <w:footnote w:id="625">
    <w:p w14:paraId="3A2FEEB6" w14:textId="77777777" w:rsidR="00E17078" w:rsidRDefault="00E17078" w:rsidP="00E17078">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pp. 168 y 169.</w:t>
      </w:r>
    </w:p>
  </w:footnote>
  <w:footnote w:id="626">
    <w:p w14:paraId="5BE594FB" w14:textId="77777777" w:rsidR="00E17078" w:rsidRDefault="00E17078" w:rsidP="00E17078">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pp. 169 y 170.</w:t>
      </w:r>
    </w:p>
  </w:footnote>
  <w:footnote w:id="627">
    <w:p w14:paraId="11914B5C" w14:textId="77777777" w:rsidR="00E17078" w:rsidRDefault="00E17078" w:rsidP="00E17078">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166.</w:t>
      </w:r>
    </w:p>
  </w:footnote>
  <w:footnote w:id="628">
    <w:p w14:paraId="0E04CAA9" w14:textId="77777777" w:rsidR="00E17078" w:rsidRDefault="00E17078" w:rsidP="00E17078">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Código Nacional de Procedimientos Penales, artículos 141 y 316, fracción III, texto consultado con última reforma publicada en el </w:t>
      </w:r>
      <w:r>
        <w:rPr>
          <w:rFonts w:ascii="Times New Roman" w:eastAsia="Times New Roman" w:hAnsi="Times New Roman" w:cs="Times New Roman"/>
          <w:i/>
          <w:sz w:val="20"/>
          <w:szCs w:val="20"/>
        </w:rPr>
        <w:t>Diario Oficial de la Federación</w:t>
      </w:r>
      <w:r>
        <w:rPr>
          <w:rFonts w:ascii="Times New Roman" w:eastAsia="Times New Roman" w:hAnsi="Times New Roman" w:cs="Times New Roman"/>
          <w:sz w:val="20"/>
          <w:szCs w:val="20"/>
        </w:rPr>
        <w:t xml:space="preserve"> el 28 de noviembre de 2025.</w:t>
      </w:r>
    </w:p>
  </w:footnote>
  <w:footnote w:id="629">
    <w:p w14:paraId="68DF7EBF" w14:textId="77777777" w:rsidR="00E17078" w:rsidRDefault="00E17078" w:rsidP="00E17078">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artículos 359 y 402.</w:t>
      </w:r>
    </w:p>
  </w:footnote>
  <w:footnote w:id="630">
    <w:p w14:paraId="610E5EEB" w14:textId="77777777" w:rsidR="00E17078" w:rsidRDefault="00E17078" w:rsidP="00E17078">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Ley General del Sistema de Medios de Impugnación en Materia Electoral, artículo 16, párrafo 3, texto consultado con última reforma publicada en el </w:t>
      </w:r>
      <w:r>
        <w:rPr>
          <w:rFonts w:ascii="Times New Roman" w:eastAsia="Times New Roman" w:hAnsi="Times New Roman" w:cs="Times New Roman"/>
          <w:i/>
          <w:sz w:val="20"/>
          <w:szCs w:val="20"/>
        </w:rPr>
        <w:t>Diario Oficial de la Federación</w:t>
      </w:r>
      <w:r>
        <w:rPr>
          <w:rFonts w:ascii="Times New Roman" w:eastAsia="Times New Roman" w:hAnsi="Times New Roman" w:cs="Times New Roman"/>
          <w:sz w:val="20"/>
          <w:szCs w:val="20"/>
        </w:rPr>
        <w:t xml:space="preserve"> el 14 de noviembre de 2025.</w:t>
      </w:r>
    </w:p>
  </w:footnote>
  <w:footnote w:id="631">
    <w:p w14:paraId="7F5C4F09" w14:textId="77777777" w:rsidR="00E17078" w:rsidRDefault="00E17078" w:rsidP="00E17078">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Allen, Ronald J., Los estándares de prueba y los límites del análisis jurídico, en Vázquez (ed.), </w:t>
      </w:r>
      <w:r>
        <w:rPr>
          <w:rFonts w:ascii="Times New Roman" w:eastAsia="Times New Roman" w:hAnsi="Times New Roman" w:cs="Times New Roman"/>
          <w:i/>
          <w:sz w:val="20"/>
          <w:szCs w:val="20"/>
        </w:rPr>
        <w:t>Estándares de prueba y prueba científica</w:t>
      </w:r>
      <w:r>
        <w:rPr>
          <w:rFonts w:ascii="Times New Roman" w:eastAsia="Times New Roman" w:hAnsi="Times New Roman" w:cs="Times New Roman"/>
          <w:sz w:val="20"/>
          <w:szCs w:val="20"/>
        </w:rPr>
        <w:t>, cit., p. 49.</w:t>
      </w:r>
    </w:p>
  </w:footnote>
  <w:footnote w:id="632">
    <w:p w14:paraId="1350FB2B" w14:textId="77777777" w:rsidR="00E17078" w:rsidRDefault="00E17078" w:rsidP="00E17078">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Pardo, Michael S., Estándares de prueba y teoría de la prueba, en Vázquez (ed.), </w:t>
      </w:r>
      <w:r>
        <w:rPr>
          <w:rFonts w:ascii="Times New Roman" w:eastAsia="Times New Roman" w:hAnsi="Times New Roman" w:cs="Times New Roman"/>
          <w:i/>
          <w:sz w:val="20"/>
          <w:szCs w:val="20"/>
        </w:rPr>
        <w:t>Estándares de prueba y prueba científica</w:t>
      </w:r>
      <w:r>
        <w:rPr>
          <w:rFonts w:ascii="Times New Roman" w:eastAsia="Times New Roman" w:hAnsi="Times New Roman" w:cs="Times New Roman"/>
          <w:sz w:val="20"/>
          <w:szCs w:val="20"/>
        </w:rPr>
        <w:t>, cit., p. 103.</w:t>
      </w:r>
    </w:p>
  </w:footnote>
  <w:footnote w:id="633">
    <w:p w14:paraId="24C04D81" w14:textId="77777777" w:rsidR="00E17078" w:rsidRDefault="00E17078" w:rsidP="00E17078">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Ferrer Beltrán, </w:t>
      </w:r>
      <w:r>
        <w:rPr>
          <w:rFonts w:ascii="Times New Roman" w:eastAsia="Times New Roman" w:hAnsi="Times New Roman" w:cs="Times New Roman"/>
          <w:i/>
          <w:sz w:val="20"/>
          <w:szCs w:val="20"/>
        </w:rPr>
        <w:t>Prueba sin convicción</w:t>
      </w:r>
      <w:r>
        <w:rPr>
          <w:rFonts w:ascii="Times New Roman" w:eastAsia="Times New Roman" w:hAnsi="Times New Roman" w:cs="Times New Roman"/>
          <w:sz w:val="20"/>
          <w:szCs w:val="20"/>
        </w:rPr>
        <w:t>, cit., p. 163.</w:t>
      </w:r>
    </w:p>
  </w:footnote>
  <w:footnote w:id="634">
    <w:p w14:paraId="006A2024" w14:textId="77777777" w:rsidR="00E17078" w:rsidRDefault="00E17078" w:rsidP="00E17078">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Sala Superior del Tribunal Electoral del Poder Judicial de la Federación, SUP-JIN-194/2025 y acumulados, sentencia de 20 de agosto de 2025, párrafo 45, p. 9.</w:t>
      </w:r>
    </w:p>
  </w:footnote>
  <w:footnote w:id="635">
    <w:p w14:paraId="025FA321" w14:textId="77777777" w:rsidR="00E17078" w:rsidRDefault="00E17078" w:rsidP="00E17078">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Ferrer Beltrán, </w:t>
      </w:r>
      <w:r>
        <w:rPr>
          <w:rFonts w:ascii="Times New Roman" w:eastAsia="Times New Roman" w:hAnsi="Times New Roman" w:cs="Times New Roman"/>
          <w:i/>
          <w:sz w:val="20"/>
          <w:szCs w:val="20"/>
        </w:rPr>
        <w:t>Prueba sin convicción</w:t>
      </w:r>
      <w:r>
        <w:rPr>
          <w:rFonts w:ascii="Times New Roman" w:eastAsia="Times New Roman" w:hAnsi="Times New Roman" w:cs="Times New Roman"/>
          <w:sz w:val="20"/>
          <w:szCs w:val="20"/>
        </w:rPr>
        <w:t>, cit., p. 64.</w:t>
      </w:r>
    </w:p>
  </w:footnote>
  <w:footnote w:id="636">
    <w:p w14:paraId="2A01D63F" w14:textId="77777777" w:rsidR="00E17078" w:rsidRDefault="00E17078" w:rsidP="00E17078">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Proyecto de Rodríguez Mondragón, cit., párrafo 99, p. 93 del voto.</w:t>
      </w:r>
    </w:p>
  </w:footnote>
  <w:footnote w:id="637">
    <w:p w14:paraId="23850923" w14:textId="77777777" w:rsidR="00E17078" w:rsidRDefault="00E17078" w:rsidP="00E17078">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Ferrer Beltrán, </w:t>
      </w:r>
      <w:r>
        <w:rPr>
          <w:rFonts w:ascii="Times New Roman" w:eastAsia="Times New Roman" w:hAnsi="Times New Roman" w:cs="Times New Roman"/>
          <w:i/>
          <w:sz w:val="20"/>
          <w:szCs w:val="20"/>
        </w:rPr>
        <w:t>Prueba sin convicción</w:t>
      </w:r>
      <w:r>
        <w:rPr>
          <w:rFonts w:ascii="Times New Roman" w:eastAsia="Times New Roman" w:hAnsi="Times New Roman" w:cs="Times New Roman"/>
          <w:sz w:val="20"/>
          <w:szCs w:val="20"/>
        </w:rPr>
        <w:t>, cit., p. 149.</w:t>
      </w:r>
    </w:p>
  </w:footnote>
  <w:footnote w:id="638">
    <w:p w14:paraId="584946B6" w14:textId="77777777" w:rsidR="00E17078" w:rsidRDefault="00E17078" w:rsidP="00E17078">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Laudan, Larry, </w:t>
      </w:r>
      <w:r>
        <w:rPr>
          <w:rFonts w:ascii="Times New Roman" w:eastAsia="Times New Roman" w:hAnsi="Times New Roman" w:cs="Times New Roman"/>
          <w:i/>
          <w:sz w:val="20"/>
          <w:szCs w:val="20"/>
        </w:rPr>
        <w:t xml:space="preserve">Truth, Error, and Criminal Law. </w:t>
      </w:r>
      <w:proofErr w:type="spellStart"/>
      <w:r>
        <w:rPr>
          <w:rFonts w:ascii="Times New Roman" w:eastAsia="Times New Roman" w:hAnsi="Times New Roman" w:cs="Times New Roman"/>
          <w:i/>
          <w:sz w:val="20"/>
          <w:szCs w:val="20"/>
        </w:rPr>
        <w:t>An</w:t>
      </w:r>
      <w:proofErr w:type="spellEnd"/>
      <w:r>
        <w:rPr>
          <w:rFonts w:ascii="Times New Roman" w:eastAsia="Times New Roman" w:hAnsi="Times New Roman" w:cs="Times New Roman"/>
          <w:i/>
          <w:sz w:val="20"/>
          <w:szCs w:val="20"/>
        </w:rPr>
        <w:t xml:space="preserve"> Essay in Legal </w:t>
      </w:r>
      <w:proofErr w:type="spellStart"/>
      <w:r>
        <w:rPr>
          <w:rFonts w:ascii="Times New Roman" w:eastAsia="Times New Roman" w:hAnsi="Times New Roman" w:cs="Times New Roman"/>
          <w:i/>
          <w:sz w:val="20"/>
          <w:szCs w:val="20"/>
        </w:rPr>
        <w:t>Epistemology</w:t>
      </w:r>
      <w:proofErr w:type="spellEnd"/>
      <w:r>
        <w:rPr>
          <w:rFonts w:ascii="Times New Roman" w:eastAsia="Times New Roman" w:hAnsi="Times New Roman" w:cs="Times New Roman"/>
          <w:sz w:val="20"/>
          <w:szCs w:val="20"/>
        </w:rPr>
        <w:t xml:space="preserve">, Cambridge, Cambridge </w:t>
      </w:r>
      <w:proofErr w:type="spellStart"/>
      <w:r>
        <w:rPr>
          <w:rFonts w:ascii="Times New Roman" w:eastAsia="Times New Roman" w:hAnsi="Times New Roman" w:cs="Times New Roman"/>
          <w:sz w:val="20"/>
          <w:szCs w:val="20"/>
        </w:rPr>
        <w:t>University</w:t>
      </w:r>
      <w:proofErr w:type="spellEnd"/>
      <w:r>
        <w:rPr>
          <w:rFonts w:ascii="Times New Roman" w:eastAsia="Times New Roman" w:hAnsi="Times New Roman" w:cs="Times New Roman"/>
          <w:sz w:val="20"/>
          <w:szCs w:val="20"/>
        </w:rPr>
        <w:t xml:space="preserve"> Press, 2006, p. 1.</w:t>
      </w:r>
    </w:p>
  </w:footnote>
  <w:footnote w:id="639">
    <w:p w14:paraId="0E2AA6B0" w14:textId="77777777" w:rsidR="00E17078" w:rsidRDefault="00E17078" w:rsidP="00E17078">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Ferrer Beltrán, Jordi, </w:t>
      </w:r>
      <w:r>
        <w:rPr>
          <w:rFonts w:ascii="Times New Roman" w:eastAsia="Times New Roman" w:hAnsi="Times New Roman" w:cs="Times New Roman"/>
          <w:i/>
          <w:sz w:val="20"/>
          <w:szCs w:val="20"/>
        </w:rPr>
        <w:t>Prueba sin convicción. Estándares de prueba y debido proceso</w:t>
      </w:r>
      <w:r>
        <w:rPr>
          <w:rFonts w:ascii="Times New Roman" w:eastAsia="Times New Roman" w:hAnsi="Times New Roman" w:cs="Times New Roman"/>
          <w:sz w:val="20"/>
          <w:szCs w:val="20"/>
        </w:rPr>
        <w:t>, Madrid, Marcial Pons, 2021, p. 64.</w:t>
      </w:r>
    </w:p>
  </w:footnote>
  <w:footnote w:id="640">
    <w:p w14:paraId="15495700" w14:textId="77777777" w:rsidR="00E17078" w:rsidRDefault="00E17078" w:rsidP="00E17078">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Sala Superior del Tribunal Electoral del Poder Judicial de la Federación, SUP-JIN-194/2025 y acumulados, sentencia de 20 de agosto de 2025, párrafo 45, p. 9.</w:t>
      </w:r>
    </w:p>
  </w:footnote>
  <w:footnote w:id="641">
    <w:p w14:paraId="399B6328" w14:textId="77777777" w:rsidR="00E17078" w:rsidRDefault="00E17078" w:rsidP="00E17078">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Constitución Política de los Estados Unidos Mexicanos, artículo 41, base V, apartado A, texto consultado con últimas reformas publicadas en el </w:t>
      </w:r>
      <w:r>
        <w:rPr>
          <w:rFonts w:ascii="Times New Roman" w:eastAsia="Times New Roman" w:hAnsi="Times New Roman" w:cs="Times New Roman"/>
          <w:i/>
          <w:sz w:val="20"/>
          <w:szCs w:val="20"/>
        </w:rPr>
        <w:t>Diario Oficial de la Federación</w:t>
      </w:r>
      <w:r>
        <w:rPr>
          <w:rFonts w:ascii="Times New Roman" w:eastAsia="Times New Roman" w:hAnsi="Times New Roman" w:cs="Times New Roman"/>
          <w:sz w:val="20"/>
          <w:szCs w:val="20"/>
        </w:rPr>
        <w:t xml:space="preserve"> el 2 de junio de 2026.</w:t>
      </w:r>
    </w:p>
  </w:footnote>
  <w:footnote w:id="642">
    <w:p w14:paraId="1937CC4D" w14:textId="77777777" w:rsidR="00E17078" w:rsidRDefault="00E17078" w:rsidP="00E17078">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Proyecto de sentencia presentado por el magistrado Reyes Rodríguez Mondragón en el SUP-JIN-194/2025 y acumulados, reproducido en su voto particular, párrafo 493, pp. 243 y 244 del voto.</w:t>
      </w:r>
    </w:p>
  </w:footnote>
  <w:footnote w:id="643">
    <w:p w14:paraId="0CA5667D" w14:textId="77777777" w:rsidR="00E17078" w:rsidRDefault="00E17078" w:rsidP="00E17078">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párrafo 478, p. 239 del voto.</w:t>
      </w:r>
    </w:p>
  </w:footnote>
  <w:footnote w:id="644">
    <w:p w14:paraId="40598BF2" w14:textId="77777777" w:rsidR="00E17078" w:rsidRDefault="00E17078" w:rsidP="00E17078">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Constitución Política de los Estados Unidos Mexicanos, artículo 41, base VI, párrafo primero.</w:t>
      </w:r>
    </w:p>
  </w:footnote>
  <w:footnote w:id="645">
    <w:p w14:paraId="465AA824" w14:textId="77777777" w:rsidR="00E17078" w:rsidRDefault="00E17078" w:rsidP="00E17078">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Ley General del Sistema de Medios de Impugnación en Materia Electoral, artículo 72, párrafo 1, texto consultado con última reforma publicada en el </w:t>
      </w:r>
      <w:r>
        <w:rPr>
          <w:rFonts w:ascii="Times New Roman" w:eastAsia="Times New Roman" w:hAnsi="Times New Roman" w:cs="Times New Roman"/>
          <w:i/>
          <w:sz w:val="20"/>
          <w:szCs w:val="20"/>
        </w:rPr>
        <w:t>Diario Oficial de la Federación</w:t>
      </w:r>
      <w:r>
        <w:rPr>
          <w:rFonts w:ascii="Times New Roman" w:eastAsia="Times New Roman" w:hAnsi="Times New Roman" w:cs="Times New Roman"/>
          <w:sz w:val="20"/>
          <w:szCs w:val="20"/>
        </w:rPr>
        <w:t xml:space="preserve"> el 14 de noviembre de 2025.</w:t>
      </w:r>
    </w:p>
  </w:footnote>
  <w:footnote w:id="646">
    <w:p w14:paraId="1EF15621" w14:textId="77777777" w:rsidR="00E17078" w:rsidRDefault="00E17078" w:rsidP="00E17078">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Constitución Política de los Estados Unidos Mexicanos, artículo 35, fracción I.</w:t>
      </w:r>
    </w:p>
  </w:footnote>
  <w:footnote w:id="647">
    <w:p w14:paraId="2B81FCCB" w14:textId="77777777" w:rsidR="00E17078" w:rsidRDefault="00E17078" w:rsidP="00E17078">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artículo 41, párrafo tercero.</w:t>
      </w:r>
    </w:p>
  </w:footnote>
  <w:footnote w:id="648">
    <w:p w14:paraId="34CBB231" w14:textId="77777777" w:rsidR="00E17078" w:rsidRDefault="00E17078" w:rsidP="00E17078">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Proyecto de Rodríguez Mondragón, cit., párrafos 481 y 482 y nota 146, p. 241 del voto.</w:t>
      </w:r>
    </w:p>
  </w:footnote>
  <w:footnote w:id="649">
    <w:p w14:paraId="057FCF5B" w14:textId="77777777" w:rsidR="00E17078" w:rsidRDefault="00E17078" w:rsidP="00E17078">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Jurisprudencia 9/98, PRINCIPIO DE CONSERVACIÓN DE LOS ACTOS PÚBLICOS VÁLIDAMENTE CELEBRADOS. SU APLICACIÓN EN LA DETERMINACIÓN DE LA NULIDAD DE CIERTA VOTACIÓN, CÓMPUTO O ELECCIÓN, </w:t>
      </w:r>
      <w:r>
        <w:rPr>
          <w:rFonts w:ascii="Times New Roman" w:eastAsia="Times New Roman" w:hAnsi="Times New Roman" w:cs="Times New Roman"/>
          <w:i/>
          <w:sz w:val="20"/>
          <w:szCs w:val="20"/>
        </w:rPr>
        <w:t>Justicia Electoral. Revista del Tribunal Electoral del Poder Judicial de la Federación</w:t>
      </w:r>
      <w:r>
        <w:rPr>
          <w:rFonts w:ascii="Times New Roman" w:eastAsia="Times New Roman" w:hAnsi="Times New Roman" w:cs="Times New Roman"/>
          <w:sz w:val="20"/>
          <w:szCs w:val="20"/>
        </w:rPr>
        <w:t>, suplemento 2, 1998, pp. 19 y 20.</w:t>
      </w:r>
    </w:p>
  </w:footnote>
  <w:footnote w:id="650">
    <w:p w14:paraId="13428976" w14:textId="77777777" w:rsidR="00E17078" w:rsidRDefault="00E17078" w:rsidP="00E17078">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Constitución Política de los Estados Unidos Mexicanos, artículo 99, párrafo cuarto, fracción IV.</w:t>
      </w:r>
    </w:p>
  </w:footnote>
  <w:footnote w:id="651">
    <w:p w14:paraId="7AA03E91" w14:textId="77777777" w:rsidR="00E17078" w:rsidRDefault="00E17078" w:rsidP="00E17078">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artículo 83.</w:t>
      </w:r>
    </w:p>
  </w:footnote>
  <w:footnote w:id="652">
    <w:p w14:paraId="708D448C" w14:textId="77777777" w:rsidR="00E17078" w:rsidRDefault="00E17078" w:rsidP="00E17078">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artículo 41, base VI, último párrafo.</w:t>
      </w:r>
    </w:p>
  </w:footnote>
  <w:footnote w:id="653">
    <w:p w14:paraId="768BA312" w14:textId="77777777" w:rsidR="00E17078" w:rsidRDefault="00E17078" w:rsidP="00E17078">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Voto particular del magistrado Reyes Rodríguez Mondragón en el SUP-JIN-194/2025 y acumulados, pp. 50 y 51 del voto.</w:t>
      </w:r>
    </w:p>
  </w:footnote>
  <w:footnote w:id="654">
    <w:p w14:paraId="65FBDF40" w14:textId="77777777" w:rsidR="00E17078" w:rsidRDefault="00E17078" w:rsidP="00E17078">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Laudan, </w:t>
      </w:r>
      <w:r>
        <w:rPr>
          <w:rFonts w:ascii="Times New Roman" w:eastAsia="Times New Roman" w:hAnsi="Times New Roman" w:cs="Times New Roman"/>
          <w:i/>
          <w:sz w:val="20"/>
          <w:szCs w:val="20"/>
        </w:rPr>
        <w:t>Truth, Error, and Criminal Law</w:t>
      </w:r>
      <w:r>
        <w:rPr>
          <w:rFonts w:ascii="Times New Roman" w:eastAsia="Times New Roman" w:hAnsi="Times New Roman" w:cs="Times New Roman"/>
          <w:sz w:val="20"/>
          <w:szCs w:val="20"/>
        </w:rPr>
        <w:t>, cit., p. 29.</w:t>
      </w:r>
    </w:p>
  </w:footnote>
  <w:footnote w:id="655">
    <w:p w14:paraId="0AB081E1" w14:textId="77777777" w:rsidR="00E17078" w:rsidRDefault="00E17078" w:rsidP="00E17078">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Código Nacional de Procedimientos Penales, artículos 359 y 402, texto consultado con última reforma publicada en el </w:t>
      </w:r>
      <w:r>
        <w:rPr>
          <w:rFonts w:ascii="Times New Roman" w:eastAsia="Times New Roman" w:hAnsi="Times New Roman" w:cs="Times New Roman"/>
          <w:i/>
          <w:sz w:val="20"/>
          <w:szCs w:val="20"/>
        </w:rPr>
        <w:t>Diario Oficial de la Federación</w:t>
      </w:r>
      <w:r>
        <w:rPr>
          <w:rFonts w:ascii="Times New Roman" w:eastAsia="Times New Roman" w:hAnsi="Times New Roman" w:cs="Times New Roman"/>
          <w:sz w:val="20"/>
          <w:szCs w:val="20"/>
        </w:rPr>
        <w:t xml:space="preserve"> el 28 de noviembre de 2025.</w:t>
      </w:r>
    </w:p>
  </w:footnote>
  <w:footnote w:id="656">
    <w:p w14:paraId="3073503C" w14:textId="77777777" w:rsidR="00E17078" w:rsidRDefault="00E17078" w:rsidP="00E17078">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Ferrer Beltrán, </w:t>
      </w:r>
      <w:r>
        <w:rPr>
          <w:rFonts w:ascii="Times New Roman" w:eastAsia="Times New Roman" w:hAnsi="Times New Roman" w:cs="Times New Roman"/>
          <w:i/>
          <w:sz w:val="20"/>
          <w:szCs w:val="20"/>
        </w:rPr>
        <w:t>Prueba sin convicción</w:t>
      </w:r>
      <w:r>
        <w:rPr>
          <w:rFonts w:ascii="Times New Roman" w:eastAsia="Times New Roman" w:hAnsi="Times New Roman" w:cs="Times New Roman"/>
          <w:sz w:val="20"/>
          <w:szCs w:val="20"/>
        </w:rPr>
        <w:t>, cit., p. 116.</w:t>
      </w:r>
    </w:p>
  </w:footnote>
  <w:footnote w:id="657">
    <w:p w14:paraId="52D9C9D0" w14:textId="77777777" w:rsidR="00E17078" w:rsidRDefault="00E17078" w:rsidP="00E17078">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Ley General del Sistema de Medios de Impugnación en Materia Electoral, artículo 15, párrafo 2.</w:t>
      </w:r>
    </w:p>
  </w:footnote>
  <w:footnote w:id="658">
    <w:p w14:paraId="08201D5D" w14:textId="77777777" w:rsidR="00E17078" w:rsidRDefault="00E17078" w:rsidP="00E17078">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Constitución Política de los Estados Unidos Mexicanos, artículo 41, base VI, párrafo </w:t>
      </w:r>
      <w:r>
        <w:rPr>
          <w:rFonts w:ascii="Times New Roman" w:eastAsia="Times New Roman" w:hAnsi="Times New Roman" w:cs="Times New Roman"/>
          <w:sz w:val="20"/>
          <w:szCs w:val="20"/>
        </w:rPr>
        <w:t xml:space="preserve">cuarto</w:t>
      </w:r>
      <w:r>
        <w:rPr>
          <w:rFonts w:ascii="Times New Roman" w:eastAsia="Times New Roman" w:hAnsi="Times New Roman" w:cs="Times New Roman"/>
          <w:sz w:val="20"/>
          <w:szCs w:val="20"/>
        </w:rPr>
        <w:t xml:space="preserve">.</w:t>
      </w:r>
    </w:p>
  </w:footnote>
  <w:footnote w:id="659">
    <w:p w14:paraId="5313225F" w14:textId="77777777" w:rsidR="00E17078" w:rsidRDefault="00E17078" w:rsidP="00E17078">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Ley General del Sistema de Medios de Impugnación en Materia Electoral, artículo 16, párrafo 3.</w:t>
      </w:r>
    </w:p>
  </w:footnote>
  <w:footnote w:id="660">
    <w:p w14:paraId="201A6916" w14:textId="77777777" w:rsidR="00E17078" w:rsidRDefault="00E17078" w:rsidP="00E17078">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Ferrer Beltrán, </w:t>
      </w:r>
      <w:r>
        <w:rPr>
          <w:rFonts w:ascii="Times New Roman" w:eastAsia="Times New Roman" w:hAnsi="Times New Roman" w:cs="Times New Roman"/>
          <w:i/>
          <w:sz w:val="20"/>
          <w:szCs w:val="20"/>
        </w:rPr>
        <w:t>Prueba sin convicción</w:t>
      </w:r>
      <w:r>
        <w:rPr>
          <w:rFonts w:ascii="Times New Roman" w:eastAsia="Times New Roman" w:hAnsi="Times New Roman" w:cs="Times New Roman"/>
          <w:sz w:val="20"/>
          <w:szCs w:val="20"/>
        </w:rPr>
        <w:t>, cit., p. 149.</w:t>
      </w:r>
    </w:p>
  </w:footnote>
  <w:footnote w:id="661">
    <w:p w14:paraId="4AF0B856" w14:textId="77777777" w:rsidR="00256ADA" w:rsidRDefault="00256ADA" w:rsidP="00256ADA">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Ley General del Sistema de Medios de Impugnación en Materia Electoral, artículo 16, párrafos 1 a 3, texto consultado con última reforma publicada en el </w:t>
      </w:r>
      <w:r>
        <w:rPr>
          <w:rFonts w:ascii="Times New Roman" w:eastAsia="Times New Roman" w:hAnsi="Times New Roman" w:cs="Times New Roman"/>
          <w:i/>
          <w:sz w:val="20"/>
          <w:szCs w:val="20"/>
        </w:rPr>
        <w:t>Diario Oficial de la Federación</w:t>
      </w:r>
      <w:r>
        <w:rPr>
          <w:rFonts w:ascii="Times New Roman" w:eastAsia="Times New Roman" w:hAnsi="Times New Roman" w:cs="Times New Roman"/>
          <w:sz w:val="20"/>
          <w:szCs w:val="20"/>
        </w:rPr>
        <w:t xml:space="preserve"> el 14 de noviembre de 2025.</w:t>
      </w:r>
    </w:p>
  </w:footnote>
  <w:footnote w:id="662">
    <w:p w14:paraId="0FDCA02D" w14:textId="77777777" w:rsidR="00256ADA" w:rsidRDefault="00256ADA" w:rsidP="00256ADA">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Ferrer Beltrán, Jordi, </w:t>
      </w:r>
      <w:r>
        <w:rPr>
          <w:rFonts w:ascii="Times New Roman" w:eastAsia="Times New Roman" w:hAnsi="Times New Roman" w:cs="Times New Roman"/>
          <w:i/>
          <w:sz w:val="20"/>
          <w:szCs w:val="20"/>
        </w:rPr>
        <w:t>Prueba sin convicción. Estándares de prueba y debido proceso</w:t>
      </w:r>
      <w:r>
        <w:rPr>
          <w:rFonts w:ascii="Times New Roman" w:eastAsia="Times New Roman" w:hAnsi="Times New Roman" w:cs="Times New Roman"/>
          <w:sz w:val="20"/>
          <w:szCs w:val="20"/>
        </w:rPr>
        <w:t>, Madrid, Marcial Pons, 2021, p. 29 y nota 1.</w:t>
      </w:r>
    </w:p>
  </w:footnote>
  <w:footnote w:id="663">
    <w:p w14:paraId="1DF9852A" w14:textId="77777777" w:rsidR="00256ADA" w:rsidRDefault="00256ADA" w:rsidP="00256ADA">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Ferrer Beltrán, </w:t>
      </w:r>
      <w:r>
        <w:rPr>
          <w:rFonts w:ascii="Times New Roman" w:eastAsia="Times New Roman" w:hAnsi="Times New Roman" w:cs="Times New Roman"/>
          <w:i/>
          <w:sz w:val="20"/>
          <w:szCs w:val="20"/>
        </w:rPr>
        <w:t>Prueba sin convicción</w:t>
      </w:r>
      <w:r>
        <w:rPr>
          <w:rFonts w:ascii="Times New Roman" w:eastAsia="Times New Roman" w:hAnsi="Times New Roman" w:cs="Times New Roman"/>
          <w:sz w:val="20"/>
          <w:szCs w:val="20"/>
        </w:rPr>
        <w:t>, cit., p. 29.</w:t>
      </w:r>
    </w:p>
  </w:footnote>
  <w:footnote w:id="664">
    <w:p w14:paraId="0876532F" w14:textId="77777777" w:rsidR="00256ADA" w:rsidRDefault="00256ADA" w:rsidP="00256ADA">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30.</w:t>
      </w:r>
    </w:p>
  </w:footnote>
  <w:footnote w:id="665">
    <w:p w14:paraId="3E61EB05" w14:textId="77777777" w:rsidR="00256ADA" w:rsidRDefault="00256ADA" w:rsidP="00256ADA">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33.</w:t>
      </w:r>
    </w:p>
  </w:footnote>
  <w:footnote w:id="666">
    <w:p w14:paraId="4D81FA74" w14:textId="77777777" w:rsidR="00256ADA" w:rsidRDefault="00256ADA" w:rsidP="00256ADA">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Tesis 1a. CCXVIII/2015 (10a.), IN DUBIO PRO REO. EL CONCEPTO DE DUDA ASOCIADO A ESTE PRINCIPIO NO DEBE ENTENDERSE COMO LA FALTA DE CONVICCIÓN O LA INDETERMINACIÓN DEL ÁNIMO O PENSAMIENTO DEL JUZGADOR, </w:t>
      </w:r>
      <w:r>
        <w:rPr>
          <w:rFonts w:ascii="Times New Roman" w:eastAsia="Times New Roman" w:hAnsi="Times New Roman" w:cs="Times New Roman"/>
          <w:i/>
          <w:sz w:val="20"/>
          <w:szCs w:val="20"/>
        </w:rPr>
        <w:t>Gaceta del Semanario Judicial de la Federación</w:t>
      </w:r>
      <w:r>
        <w:rPr>
          <w:rFonts w:ascii="Times New Roman" w:eastAsia="Times New Roman" w:hAnsi="Times New Roman" w:cs="Times New Roman"/>
          <w:sz w:val="20"/>
          <w:szCs w:val="20"/>
        </w:rPr>
        <w:t xml:space="preserve">, Décima Época, libro 19, junio de 2015, t. I, p. 589, registro digital 2009462. Ferrer Beltrán la cita en </w:t>
      </w:r>
      <w:r>
        <w:rPr>
          <w:rFonts w:ascii="Times New Roman" w:eastAsia="Times New Roman" w:hAnsi="Times New Roman" w:cs="Times New Roman"/>
          <w:i/>
          <w:sz w:val="20"/>
          <w:szCs w:val="20"/>
        </w:rPr>
        <w:t>Prueba sin convicción</w:t>
      </w:r>
      <w:r>
        <w:rPr>
          <w:rFonts w:ascii="Times New Roman" w:eastAsia="Times New Roman" w:hAnsi="Times New Roman" w:cs="Times New Roman"/>
          <w:sz w:val="20"/>
          <w:szCs w:val="20"/>
        </w:rPr>
        <w:t>, cit., p. 31, nota 4.</w:t>
      </w:r>
    </w:p>
  </w:footnote>
  <w:footnote w:id="667">
    <w:p w14:paraId="0E72139A" w14:textId="77777777" w:rsidR="00256ADA" w:rsidRDefault="00256ADA" w:rsidP="00256ADA">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Ferrer Beltrán, </w:t>
      </w:r>
      <w:r>
        <w:rPr>
          <w:rFonts w:ascii="Times New Roman" w:eastAsia="Times New Roman" w:hAnsi="Times New Roman" w:cs="Times New Roman"/>
          <w:i/>
          <w:sz w:val="20"/>
          <w:szCs w:val="20"/>
        </w:rPr>
        <w:t>Prueba sin convicción</w:t>
      </w:r>
      <w:r>
        <w:rPr>
          <w:rFonts w:ascii="Times New Roman" w:eastAsia="Times New Roman" w:hAnsi="Times New Roman" w:cs="Times New Roman"/>
          <w:sz w:val="20"/>
          <w:szCs w:val="20"/>
        </w:rPr>
        <w:t>, cit., p. 33.</w:t>
      </w:r>
    </w:p>
  </w:footnote>
  <w:footnote w:id="668">
    <w:p w14:paraId="4966BE28" w14:textId="77777777" w:rsidR="00256ADA" w:rsidRDefault="00256ADA" w:rsidP="00256ADA">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34.</w:t>
      </w:r>
    </w:p>
  </w:footnote>
  <w:footnote w:id="669">
    <w:p w14:paraId="0599DBC0" w14:textId="77777777" w:rsidR="00256ADA" w:rsidRDefault="00256ADA" w:rsidP="00256ADA">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35.</w:t>
      </w:r>
    </w:p>
  </w:footnote>
  <w:footnote w:id="670">
    <w:p w14:paraId="7A9018B5" w14:textId="77777777" w:rsidR="00256ADA" w:rsidRDefault="00256ADA" w:rsidP="00256ADA">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Ferrer Beltrán, </w:t>
      </w:r>
      <w:r>
        <w:rPr>
          <w:rFonts w:ascii="Times New Roman" w:eastAsia="Times New Roman" w:hAnsi="Times New Roman" w:cs="Times New Roman"/>
          <w:i/>
          <w:sz w:val="20"/>
          <w:szCs w:val="20"/>
        </w:rPr>
        <w:t>Prueba sin convicción</w:t>
      </w:r>
      <w:r>
        <w:rPr>
          <w:rFonts w:ascii="Times New Roman" w:eastAsia="Times New Roman" w:hAnsi="Times New Roman" w:cs="Times New Roman"/>
          <w:sz w:val="20"/>
          <w:szCs w:val="20"/>
        </w:rPr>
        <w:t>, cit., p. 29.</w:t>
      </w:r>
    </w:p>
  </w:footnote>
  <w:footnote w:id="671">
    <w:p w14:paraId="0510CE4B" w14:textId="77777777" w:rsidR="00256ADA" w:rsidRDefault="00256ADA" w:rsidP="00256ADA">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66.</w:t>
      </w:r>
    </w:p>
  </w:footnote>
  <w:footnote w:id="672">
    <w:p w14:paraId="70C6D482" w14:textId="77777777" w:rsidR="00256ADA" w:rsidRDefault="00256ADA" w:rsidP="00256ADA">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66, nota 118.</w:t>
      </w:r>
    </w:p>
  </w:footnote>
  <w:footnote w:id="673">
    <w:p w14:paraId="16D36116" w14:textId="77777777" w:rsidR="00256ADA" w:rsidRDefault="00256ADA" w:rsidP="00256ADA">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88.</w:t>
      </w:r>
    </w:p>
  </w:footnote>
  <w:footnote w:id="674">
    <w:p w14:paraId="46404529" w14:textId="77777777" w:rsidR="00256ADA" w:rsidRDefault="00256ADA" w:rsidP="00256ADA">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89.</w:t>
      </w:r>
    </w:p>
  </w:footnote>
  <w:footnote w:id="675">
    <w:p w14:paraId="2AAA0A44" w14:textId="77777777" w:rsidR="00256ADA" w:rsidRDefault="00256ADA" w:rsidP="00256ADA">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99.</w:t>
      </w:r>
    </w:p>
  </w:footnote>
  <w:footnote w:id="676">
    <w:p w14:paraId="58589A69" w14:textId="77777777" w:rsidR="00256ADA" w:rsidRDefault="00256ADA" w:rsidP="00256ADA">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Sala Superior del Tribunal Electoral del Poder Judicial de la Federación, SUP-JIN-194/2025 y acumulados, sentencia de 20 de agosto de 2025, párrafo 51, p. 11.</w:t>
      </w:r>
    </w:p>
  </w:footnote>
  <w:footnote w:id="677">
    <w:p w14:paraId="5A288177" w14:textId="77777777" w:rsidR="00256ADA" w:rsidRDefault="00256ADA" w:rsidP="00256ADA">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Ferrer Beltrán, </w:t>
      </w:r>
      <w:r>
        <w:rPr>
          <w:rFonts w:ascii="Times New Roman" w:eastAsia="Times New Roman" w:hAnsi="Times New Roman" w:cs="Times New Roman"/>
          <w:i/>
          <w:sz w:val="20"/>
          <w:szCs w:val="20"/>
        </w:rPr>
        <w:t>Prueba sin convicción</w:t>
      </w:r>
      <w:r>
        <w:rPr>
          <w:rFonts w:ascii="Times New Roman" w:eastAsia="Times New Roman" w:hAnsi="Times New Roman" w:cs="Times New Roman"/>
          <w:sz w:val="20"/>
          <w:szCs w:val="20"/>
        </w:rPr>
        <w:t>, cit., p. 100.</w:t>
      </w:r>
    </w:p>
  </w:footnote>
  <w:footnote w:id="678">
    <w:p w14:paraId="5EFB8B78" w14:textId="77777777" w:rsidR="00256ADA" w:rsidRDefault="00256ADA" w:rsidP="00256ADA">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102.</w:t>
      </w:r>
    </w:p>
  </w:footnote>
  <w:footnote w:id="679">
    <w:p w14:paraId="7322613E" w14:textId="77777777" w:rsidR="00256ADA" w:rsidRDefault="00256ADA" w:rsidP="00256ADA">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103.</w:t>
      </w:r>
    </w:p>
  </w:footnote>
  <w:footnote w:id="680">
    <w:p w14:paraId="08F981E3" w14:textId="77777777" w:rsidR="00256ADA" w:rsidRDefault="00256ADA" w:rsidP="00256ADA">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Ley General del Sistema de Medios de Impugnación en Materia Electoral, artículo 21 Bis, párrafos 1 y 2.</w:t>
      </w:r>
    </w:p>
  </w:footnote>
  <w:footnote w:id="681">
    <w:p w14:paraId="66F88667" w14:textId="77777777" w:rsidR="00256ADA" w:rsidRDefault="00256ADA" w:rsidP="00256ADA">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Ferrer Beltrán, </w:t>
      </w:r>
      <w:r>
        <w:rPr>
          <w:rFonts w:ascii="Times New Roman" w:eastAsia="Times New Roman" w:hAnsi="Times New Roman" w:cs="Times New Roman"/>
          <w:i/>
          <w:sz w:val="20"/>
          <w:szCs w:val="20"/>
        </w:rPr>
        <w:t>Prueba sin convicción</w:t>
      </w:r>
      <w:r>
        <w:rPr>
          <w:rFonts w:ascii="Times New Roman" w:eastAsia="Times New Roman" w:hAnsi="Times New Roman" w:cs="Times New Roman"/>
          <w:sz w:val="20"/>
          <w:szCs w:val="20"/>
        </w:rPr>
        <w:t>, cit., p. 156.</w:t>
      </w:r>
    </w:p>
  </w:footnote>
  <w:footnote w:id="682">
    <w:p w14:paraId="67490C4F" w14:textId="77777777" w:rsidR="00256ADA" w:rsidRDefault="00256ADA" w:rsidP="00256ADA">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Ley General del Sistema de Medios de Impugnación en Materia Electoral, artículos 71, párrafo 1, y 75.</w:t>
      </w:r>
    </w:p>
  </w:footnote>
  <w:footnote w:id="683">
    <w:p w14:paraId="786A2C4E" w14:textId="77777777" w:rsidR="00256ADA" w:rsidRDefault="00256ADA" w:rsidP="00256ADA">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Ferrer Beltrán, </w:t>
      </w:r>
      <w:r>
        <w:rPr>
          <w:rFonts w:ascii="Times New Roman" w:eastAsia="Times New Roman" w:hAnsi="Times New Roman" w:cs="Times New Roman"/>
          <w:i/>
          <w:sz w:val="20"/>
          <w:szCs w:val="20"/>
        </w:rPr>
        <w:t>Prueba sin convicción</w:t>
      </w:r>
      <w:r>
        <w:rPr>
          <w:rFonts w:ascii="Times New Roman" w:eastAsia="Times New Roman" w:hAnsi="Times New Roman" w:cs="Times New Roman"/>
          <w:sz w:val="20"/>
          <w:szCs w:val="20"/>
        </w:rPr>
        <w:t>, cit., p. 109.</w:t>
      </w:r>
    </w:p>
  </w:footnote>
  <w:footnote w:id="684">
    <w:p w14:paraId="1C32A4F9" w14:textId="77777777" w:rsidR="00256ADA" w:rsidRDefault="00256ADA" w:rsidP="00256ADA">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149.</w:t>
      </w:r>
    </w:p>
  </w:footnote>
  <w:footnote w:id="685">
    <w:p w14:paraId="5DEFA904" w14:textId="77777777" w:rsidR="00256ADA" w:rsidRDefault="00256ADA" w:rsidP="00256ADA">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Ley General del Sistema de Medios de Impugnación en Materia Electoral, artículo 15, párrafo 2.</w:t>
      </w:r>
    </w:p>
  </w:footnote>
  <w:footnote w:id="686">
    <w:p w14:paraId="4E33E002" w14:textId="77777777" w:rsidR="00256ADA" w:rsidRDefault="00256ADA" w:rsidP="00256ADA">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Constitución Política de los Estados Unidos Mexicanos, artículo 41, base VI, párrafo </w:t>
      </w:r>
      <w:r>
        <w:rPr>
          <w:rFonts w:ascii="Times New Roman" w:eastAsia="Times New Roman" w:hAnsi="Times New Roman" w:cs="Times New Roman"/>
          <w:sz w:val="20"/>
          <w:szCs w:val="20"/>
        </w:rPr>
        <w:t xml:space="preserve">cuarto</w:t>
      </w:r>
      <w:r>
        <w:rPr>
          <w:rFonts w:ascii="Times New Roman" w:eastAsia="Times New Roman" w:hAnsi="Times New Roman" w:cs="Times New Roman"/>
          <w:sz w:val="20"/>
          <w:szCs w:val="20"/>
        </w:rPr>
        <w:t xml:space="preserve">, texto consultado con últimas reformas publicadas en el </w:t>
      </w:r>
      <w:r>
        <w:rPr>
          <w:rFonts w:ascii="Times New Roman" w:eastAsia="Times New Roman" w:hAnsi="Times New Roman" w:cs="Times New Roman"/>
          <w:i/>
          <w:sz w:val="20"/>
          <w:szCs w:val="20"/>
        </w:rPr>
        <w:t>Diario Oficial de la Federación</w:t>
      </w:r>
      <w:r>
        <w:rPr>
          <w:rFonts w:ascii="Times New Roman" w:eastAsia="Times New Roman" w:hAnsi="Times New Roman" w:cs="Times New Roman"/>
          <w:sz w:val="20"/>
          <w:szCs w:val="20"/>
        </w:rPr>
        <w:t xml:space="preserve"> el 2 de junio de 2026.</w:t>
      </w:r>
    </w:p>
  </w:footnote>
  <w:footnote w:id="687">
    <w:p w14:paraId="37259999" w14:textId="77777777" w:rsidR="00256ADA" w:rsidRDefault="00256ADA" w:rsidP="00256ADA">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Ferrer Beltrán, </w:t>
      </w:r>
      <w:r>
        <w:rPr>
          <w:rFonts w:ascii="Times New Roman" w:eastAsia="Times New Roman" w:hAnsi="Times New Roman" w:cs="Times New Roman"/>
          <w:i/>
          <w:sz w:val="20"/>
          <w:szCs w:val="20"/>
        </w:rPr>
        <w:t>Prueba sin convicción</w:t>
      </w:r>
      <w:r>
        <w:rPr>
          <w:rFonts w:ascii="Times New Roman" w:eastAsia="Times New Roman" w:hAnsi="Times New Roman" w:cs="Times New Roman"/>
          <w:sz w:val="20"/>
          <w:szCs w:val="20"/>
        </w:rPr>
        <w:t>, cit., pp. 166 y 167.</w:t>
      </w:r>
    </w:p>
  </w:footnote>
  <w:footnote w:id="688">
    <w:p w14:paraId="38825980" w14:textId="77777777" w:rsidR="00256ADA" w:rsidRDefault="00256ADA" w:rsidP="00256ADA">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Laudan, Larry, Por qué un estándar de prueba subjetivo y ambiguo no es un estándar, </w:t>
      </w:r>
      <w:r>
        <w:rPr>
          <w:rFonts w:ascii="Times New Roman" w:eastAsia="Times New Roman" w:hAnsi="Times New Roman" w:cs="Times New Roman"/>
          <w:i/>
          <w:sz w:val="20"/>
          <w:szCs w:val="20"/>
        </w:rPr>
        <w:t>Doxa. Cuadernos de Filosofía del Derecho</w:t>
      </w:r>
      <w:r>
        <w:rPr>
          <w:rFonts w:ascii="Times New Roman" w:eastAsia="Times New Roman" w:hAnsi="Times New Roman" w:cs="Times New Roman"/>
          <w:sz w:val="20"/>
          <w:szCs w:val="20"/>
        </w:rPr>
        <w:t>, núm. 28, 2005, p. 95.</w:t>
      </w:r>
    </w:p>
  </w:footnote>
  <w:footnote w:id="689">
    <w:p w14:paraId="7BB051F2" w14:textId="77777777" w:rsidR="00256ADA" w:rsidRDefault="00256ADA" w:rsidP="00256ADA">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Ferrer Beltrán, </w:t>
      </w:r>
      <w:r>
        <w:rPr>
          <w:rFonts w:ascii="Times New Roman" w:eastAsia="Times New Roman" w:hAnsi="Times New Roman" w:cs="Times New Roman"/>
          <w:i/>
          <w:sz w:val="20"/>
          <w:szCs w:val="20"/>
        </w:rPr>
        <w:t>Prueba sin convicción</w:t>
      </w:r>
      <w:r>
        <w:rPr>
          <w:rFonts w:ascii="Times New Roman" w:eastAsia="Times New Roman" w:hAnsi="Times New Roman" w:cs="Times New Roman"/>
          <w:sz w:val="20"/>
          <w:szCs w:val="20"/>
        </w:rPr>
        <w:t>, cit., pp. 101 y 102.</w:t>
      </w:r>
    </w:p>
  </w:footnote>
  <w:footnote w:id="690">
    <w:p w14:paraId="3644B7F0" w14:textId="77777777" w:rsidR="00256ADA" w:rsidRDefault="00256ADA" w:rsidP="00256ADA">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Ferrer Beltrán, </w:t>
      </w:r>
      <w:r>
        <w:rPr>
          <w:rFonts w:ascii="Times New Roman" w:eastAsia="Times New Roman" w:hAnsi="Times New Roman" w:cs="Times New Roman"/>
          <w:i/>
          <w:sz w:val="20"/>
          <w:szCs w:val="20"/>
        </w:rPr>
        <w:t>Prueba sin convicción</w:t>
      </w:r>
      <w:r>
        <w:rPr>
          <w:rFonts w:ascii="Times New Roman" w:eastAsia="Times New Roman" w:hAnsi="Times New Roman" w:cs="Times New Roman"/>
          <w:sz w:val="20"/>
          <w:szCs w:val="20"/>
        </w:rPr>
        <w:t>, cit., p. 65.</w:t>
      </w:r>
    </w:p>
  </w:footnote>
  <w:footnote w:id="691">
    <w:p w14:paraId="33554633" w14:textId="77777777" w:rsidR="00E0113E" w:rsidRDefault="00E0113E" w:rsidP="00E0113E">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Ferrer Beltrán, Jordi, </w:t>
      </w:r>
      <w:r>
        <w:rPr>
          <w:rFonts w:ascii="Times New Roman" w:eastAsia="Times New Roman" w:hAnsi="Times New Roman" w:cs="Times New Roman"/>
          <w:i/>
          <w:sz w:val="20"/>
          <w:szCs w:val="20"/>
        </w:rPr>
        <w:t>Prueba sin convicción. Estándares de prueba y debido proceso</w:t>
      </w:r>
      <w:r>
        <w:rPr>
          <w:rFonts w:ascii="Times New Roman" w:eastAsia="Times New Roman" w:hAnsi="Times New Roman" w:cs="Times New Roman"/>
          <w:sz w:val="20"/>
          <w:szCs w:val="20"/>
        </w:rPr>
        <w:t>, Madrid, Marcial Pons, 2021, pp. 208 y 209.</w:t>
      </w:r>
    </w:p>
  </w:footnote>
  <w:footnote w:id="692">
    <w:p w14:paraId="6972D49D" w14:textId="77777777" w:rsidR="00E0113E" w:rsidRDefault="00E0113E" w:rsidP="00E0113E">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Ferrer Beltrán, </w:t>
      </w:r>
      <w:r>
        <w:rPr>
          <w:rFonts w:ascii="Times New Roman" w:eastAsia="Times New Roman" w:hAnsi="Times New Roman" w:cs="Times New Roman"/>
          <w:i/>
          <w:sz w:val="20"/>
          <w:szCs w:val="20"/>
        </w:rPr>
        <w:t>Prueba sin convicción</w:t>
      </w:r>
      <w:r>
        <w:rPr>
          <w:rFonts w:ascii="Times New Roman" w:eastAsia="Times New Roman" w:hAnsi="Times New Roman" w:cs="Times New Roman"/>
          <w:sz w:val="20"/>
          <w:szCs w:val="20"/>
        </w:rPr>
        <w:t>, cit., pp. 209 y 210.</w:t>
      </w:r>
    </w:p>
  </w:footnote>
  <w:footnote w:id="693">
    <w:p w14:paraId="75536CD0" w14:textId="77777777" w:rsidR="00E0113E" w:rsidRDefault="00E0113E" w:rsidP="00E0113E">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225, nota al pie en la que cita su trabajo de 2018, pp. 417 y 418.</w:t>
      </w:r>
    </w:p>
  </w:footnote>
  <w:footnote w:id="694">
    <w:p w14:paraId="1C826957" w14:textId="77777777" w:rsidR="00E0113E" w:rsidRDefault="00E0113E" w:rsidP="00E0113E">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Ferrer Beltrán, </w:t>
      </w:r>
      <w:r>
        <w:rPr>
          <w:rFonts w:ascii="Times New Roman" w:eastAsia="Times New Roman" w:hAnsi="Times New Roman" w:cs="Times New Roman"/>
          <w:i/>
          <w:sz w:val="20"/>
          <w:szCs w:val="20"/>
        </w:rPr>
        <w:t>Prueba sin convicción</w:t>
      </w:r>
      <w:r>
        <w:rPr>
          <w:rFonts w:ascii="Times New Roman" w:eastAsia="Times New Roman" w:hAnsi="Times New Roman" w:cs="Times New Roman"/>
          <w:sz w:val="20"/>
          <w:szCs w:val="20"/>
        </w:rPr>
        <w:t>, cit., p. 229.</w:t>
      </w:r>
    </w:p>
  </w:footnote>
  <w:footnote w:id="695">
    <w:p w14:paraId="520FF929" w14:textId="77777777" w:rsidR="00E0113E" w:rsidRDefault="00E0113E" w:rsidP="00E0113E">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pp. 230 y 231.</w:t>
      </w:r>
    </w:p>
  </w:footnote>
  <w:footnote w:id="696">
    <w:p w14:paraId="49D66978" w14:textId="77777777" w:rsidR="00E0113E" w:rsidRDefault="00E0113E" w:rsidP="00E0113E">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pp. 233 y 234.</w:t>
      </w:r>
    </w:p>
  </w:footnote>
  <w:footnote w:id="697">
    <w:p w14:paraId="4198F6B0" w14:textId="77777777" w:rsidR="00E0113E" w:rsidRDefault="00E0113E" w:rsidP="00E0113E">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Sala Superior del Tribunal Electoral del Poder Judicial de la Federación, SUP-JIN-194/2025 y acumulados, sentencia de 20 de agosto de 2025, párrafo 55, pp. 11 y 12.</w:t>
      </w:r>
    </w:p>
  </w:footnote>
  <w:footnote w:id="698">
    <w:p w14:paraId="243C8C77" w14:textId="77777777" w:rsidR="00E0113E" w:rsidRDefault="00E0113E" w:rsidP="00E0113E">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párrafo 56, p. 12.</w:t>
      </w:r>
    </w:p>
  </w:footnote>
  <w:footnote w:id="699">
    <w:p w14:paraId="41E5727E" w14:textId="77777777" w:rsidR="00E0113E" w:rsidRDefault="00E0113E" w:rsidP="00E0113E">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Ferrer Beltrán, </w:t>
      </w:r>
      <w:r>
        <w:rPr>
          <w:rFonts w:ascii="Times New Roman" w:eastAsia="Times New Roman" w:hAnsi="Times New Roman" w:cs="Times New Roman"/>
          <w:i/>
          <w:sz w:val="20"/>
          <w:szCs w:val="20"/>
        </w:rPr>
        <w:t>Prueba sin convicción</w:t>
      </w:r>
      <w:r>
        <w:rPr>
          <w:rFonts w:ascii="Times New Roman" w:eastAsia="Times New Roman" w:hAnsi="Times New Roman" w:cs="Times New Roman"/>
          <w:sz w:val="20"/>
          <w:szCs w:val="20"/>
        </w:rPr>
        <w:t>, cit., p. 213.</w:t>
      </w:r>
    </w:p>
  </w:footnote>
  <w:footnote w:id="700">
    <w:p w14:paraId="1A662DA2" w14:textId="77777777" w:rsidR="00E0113E" w:rsidRDefault="00E0113E" w:rsidP="00E0113E">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Ferrer Beltrán, </w:t>
      </w:r>
      <w:r>
        <w:rPr>
          <w:rFonts w:ascii="Times New Roman" w:eastAsia="Times New Roman" w:hAnsi="Times New Roman" w:cs="Times New Roman"/>
          <w:i/>
          <w:sz w:val="20"/>
          <w:szCs w:val="20"/>
        </w:rPr>
        <w:t>Prueba sin convicción</w:t>
      </w:r>
      <w:r>
        <w:rPr>
          <w:rFonts w:ascii="Times New Roman" w:eastAsia="Times New Roman" w:hAnsi="Times New Roman" w:cs="Times New Roman"/>
          <w:sz w:val="20"/>
          <w:szCs w:val="20"/>
        </w:rPr>
        <w:t>, cit., p. 225.</w:t>
      </w:r>
    </w:p>
  </w:footnote>
  <w:footnote w:id="701">
    <w:p w14:paraId="5CF15BDE" w14:textId="77777777" w:rsidR="00E0113E" w:rsidRDefault="00E0113E" w:rsidP="00E0113E">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233.</w:t>
      </w:r>
    </w:p>
  </w:footnote>
  <w:footnote w:id="702">
    <w:p w14:paraId="325E4072" w14:textId="77777777" w:rsidR="00E0113E" w:rsidRDefault="00E0113E" w:rsidP="00E0113E">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Ley General del Sistema de Medios de Impugnación en Materia Electoral, artículo 21, párrafo 1, texto consultado con última reforma publicada en el </w:t>
      </w:r>
      <w:r>
        <w:rPr>
          <w:rFonts w:ascii="Times New Roman" w:eastAsia="Times New Roman" w:hAnsi="Times New Roman" w:cs="Times New Roman"/>
          <w:i/>
          <w:sz w:val="20"/>
          <w:szCs w:val="20"/>
        </w:rPr>
        <w:t>Diario Oficial de la Federación</w:t>
      </w:r>
      <w:r>
        <w:rPr>
          <w:rFonts w:ascii="Times New Roman" w:eastAsia="Times New Roman" w:hAnsi="Times New Roman" w:cs="Times New Roman"/>
          <w:sz w:val="20"/>
          <w:szCs w:val="20"/>
        </w:rPr>
        <w:t xml:space="preserve"> el 14 de noviembre de 2025.</w:t>
      </w:r>
    </w:p>
  </w:footnote>
  <w:footnote w:id="703">
    <w:p w14:paraId="64DB255C" w14:textId="77777777" w:rsidR="00E0113E" w:rsidRDefault="00E0113E" w:rsidP="00E0113E">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Ferrer Beltrán, </w:t>
      </w:r>
      <w:r>
        <w:rPr>
          <w:rFonts w:ascii="Times New Roman" w:eastAsia="Times New Roman" w:hAnsi="Times New Roman" w:cs="Times New Roman"/>
          <w:i/>
          <w:sz w:val="20"/>
          <w:szCs w:val="20"/>
        </w:rPr>
        <w:t>Prueba sin convicción</w:t>
      </w:r>
      <w:r>
        <w:rPr>
          <w:rFonts w:ascii="Times New Roman" w:eastAsia="Times New Roman" w:hAnsi="Times New Roman" w:cs="Times New Roman"/>
          <w:sz w:val="20"/>
          <w:szCs w:val="20"/>
        </w:rPr>
        <w:t>, cit., p. 234.</w:t>
      </w:r>
    </w:p>
  </w:footnote>
  <w:footnote w:id="704">
    <w:p w14:paraId="4635335B" w14:textId="77777777" w:rsidR="00E0113E" w:rsidRDefault="00E0113E" w:rsidP="00E0113E">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Ferrer Beltrán, </w:t>
      </w:r>
      <w:r>
        <w:rPr>
          <w:rFonts w:ascii="Times New Roman" w:eastAsia="Times New Roman" w:hAnsi="Times New Roman" w:cs="Times New Roman"/>
          <w:i/>
          <w:sz w:val="20"/>
          <w:szCs w:val="20"/>
        </w:rPr>
        <w:t>Prueba sin convicción</w:t>
      </w:r>
      <w:r>
        <w:rPr>
          <w:rFonts w:ascii="Times New Roman" w:eastAsia="Times New Roman" w:hAnsi="Times New Roman" w:cs="Times New Roman"/>
          <w:sz w:val="20"/>
          <w:szCs w:val="20"/>
        </w:rPr>
        <w:t>, cit., p. 103.</w:t>
      </w:r>
    </w:p>
  </w:footnote>
  <w:footnote w:id="705">
    <w:p w14:paraId="02000A58" w14:textId="77777777" w:rsidR="00E0113E" w:rsidRDefault="00E0113E" w:rsidP="00E0113E">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Ferrer Beltrán, </w:t>
      </w:r>
      <w:r>
        <w:rPr>
          <w:rFonts w:ascii="Times New Roman" w:eastAsia="Times New Roman" w:hAnsi="Times New Roman" w:cs="Times New Roman"/>
          <w:i/>
          <w:sz w:val="20"/>
          <w:szCs w:val="20"/>
        </w:rPr>
        <w:t>Prueba sin convicción</w:t>
      </w:r>
      <w:r>
        <w:rPr>
          <w:rFonts w:ascii="Times New Roman" w:eastAsia="Times New Roman" w:hAnsi="Times New Roman" w:cs="Times New Roman"/>
          <w:sz w:val="20"/>
          <w:szCs w:val="20"/>
        </w:rPr>
        <w:t>, cit., pp. 229 y 232.</w:t>
      </w:r>
    </w:p>
  </w:footnote>
  <w:footnote w:id="706">
    <w:p w14:paraId="5699951A" w14:textId="77777777" w:rsidR="00E0113E" w:rsidRDefault="00E0113E" w:rsidP="00E0113E">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Ferrer Beltrán, </w:t>
      </w:r>
      <w:r>
        <w:rPr>
          <w:rFonts w:ascii="Times New Roman" w:eastAsia="Times New Roman" w:hAnsi="Times New Roman" w:cs="Times New Roman"/>
          <w:i/>
          <w:sz w:val="20"/>
          <w:szCs w:val="20"/>
        </w:rPr>
        <w:t>Prueba sin convicción</w:t>
      </w:r>
      <w:r>
        <w:rPr>
          <w:rFonts w:ascii="Times New Roman" w:eastAsia="Times New Roman" w:hAnsi="Times New Roman" w:cs="Times New Roman"/>
          <w:sz w:val="20"/>
          <w:szCs w:val="20"/>
        </w:rPr>
        <w:t>, cit., pp. 231 y 235.</w:t>
      </w:r>
    </w:p>
  </w:footnote>
  <w:footnote w:id="707">
    <w:p w14:paraId="5CF9FD0F" w14:textId="77777777" w:rsidR="00E0113E" w:rsidRDefault="00E0113E" w:rsidP="00E0113E">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Ley General del Sistema de Medios de Impugnación en Materia Electoral, artículo 15, párrafo 2.</w:t>
      </w:r>
    </w:p>
  </w:footnote>
  <w:footnote w:id="708">
    <w:p w14:paraId="7D6E0788" w14:textId="77777777" w:rsidR="00E0113E" w:rsidRDefault="00E0113E" w:rsidP="00E0113E">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Constitución Política de los Estados Unidos Mexicanos, artículo 41, base VI, párrafo </w:t>
      </w:r>
      <w:r>
        <w:rPr>
          <w:rFonts w:ascii="Times New Roman" w:eastAsia="Times New Roman" w:hAnsi="Times New Roman" w:cs="Times New Roman"/>
          <w:sz w:val="20"/>
          <w:szCs w:val="20"/>
        </w:rPr>
        <w:t xml:space="preserve">cuarto</w:t>
      </w:r>
      <w:r>
        <w:rPr>
          <w:rFonts w:ascii="Times New Roman" w:eastAsia="Times New Roman" w:hAnsi="Times New Roman" w:cs="Times New Roman"/>
          <w:sz w:val="20"/>
          <w:szCs w:val="20"/>
        </w:rPr>
        <w:t xml:space="preserve">, texto consultado con últimas reformas publicadas en el </w:t>
      </w:r>
      <w:r>
        <w:rPr>
          <w:rFonts w:ascii="Times New Roman" w:eastAsia="Times New Roman" w:hAnsi="Times New Roman" w:cs="Times New Roman"/>
          <w:i/>
          <w:sz w:val="20"/>
          <w:szCs w:val="20"/>
        </w:rPr>
        <w:t>Diario Oficial de la Federación</w:t>
      </w:r>
      <w:r>
        <w:rPr>
          <w:rFonts w:ascii="Times New Roman" w:eastAsia="Times New Roman" w:hAnsi="Times New Roman" w:cs="Times New Roman"/>
          <w:sz w:val="20"/>
          <w:szCs w:val="20"/>
        </w:rPr>
        <w:t xml:space="preserve"> el 2 de junio de 2026.</w:t>
      </w:r>
    </w:p>
  </w:footnote>
  <w:footnote w:id="709">
    <w:p w14:paraId="0123D982" w14:textId="77777777" w:rsidR="00E0113E" w:rsidRDefault="00E0113E" w:rsidP="00E0113E">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Ferrer Beltrán, </w:t>
      </w:r>
      <w:r>
        <w:rPr>
          <w:rFonts w:ascii="Times New Roman" w:eastAsia="Times New Roman" w:hAnsi="Times New Roman" w:cs="Times New Roman"/>
          <w:i/>
          <w:sz w:val="20"/>
          <w:szCs w:val="20"/>
        </w:rPr>
        <w:t>Prueba sin convicción</w:t>
      </w:r>
      <w:r>
        <w:rPr>
          <w:rFonts w:ascii="Times New Roman" w:eastAsia="Times New Roman" w:hAnsi="Times New Roman" w:cs="Times New Roman"/>
          <w:sz w:val="20"/>
          <w:szCs w:val="20"/>
        </w:rPr>
        <w:t>, cit., p. 167.</w:t>
      </w:r>
    </w:p>
  </w:footnote>
  <w:footnote w:id="710">
    <w:p w14:paraId="769BE722" w14:textId="77777777" w:rsidR="00DF3B02" w:rsidRDefault="00DF3B02" w:rsidP="00DF3B0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Sala Superior del Tribunal Electoral del Poder Judicial de la Federación, SUP-JIN-194/2025 y acumulados, sentencia de 20 de agosto de 2025, párrafo 51, p. 11.</w:t>
      </w:r>
    </w:p>
  </w:footnote>
  <w:footnote w:id="711">
    <w:p w14:paraId="55FF0D4B" w14:textId="77777777" w:rsidR="00DF3B02" w:rsidRDefault="00DF3B02" w:rsidP="00DF3B0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Proyecto de sentencia presentado por el magistrado Reyes Rodríguez Mondragón en el SUP-JIN-194/2025 y acumulados, reproducido en su voto particular, párrafo 129 y nota 80, p. 100 del voto, donde cita la tesis XXXVII/2004, PRUEBAS INDIRECTAS. SON IDÓNEAS PARA ACREDITAR ACTIVIDADES ILÍCITAS REALIZADAS POR LOS PARTIDOS POLÍTICOS.</w:t>
      </w:r>
    </w:p>
  </w:footnote>
  <w:footnote w:id="712">
    <w:p w14:paraId="34ADDF85" w14:textId="77777777" w:rsidR="00DF3B02" w:rsidRDefault="00DF3B02" w:rsidP="00DF3B0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Voto particular del magistrado Reyes Rodríguez Mondragón en el SUP-JIN-194/2025 y acumulados, p. 34 del voto.</w:t>
      </w:r>
    </w:p>
  </w:footnote>
  <w:footnote w:id="713">
    <w:p w14:paraId="0D64D307" w14:textId="77777777" w:rsidR="00DF3B02" w:rsidRDefault="00DF3B02" w:rsidP="00DF3B0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Ley General del Sistema de Medios de Impugnación en Materia Electoral, artículo 16, párrafo 3, texto consultado con última reforma publicada en el </w:t>
      </w:r>
      <w:r>
        <w:rPr>
          <w:rFonts w:ascii="Times New Roman" w:eastAsia="Times New Roman" w:hAnsi="Times New Roman" w:cs="Times New Roman"/>
          <w:i/>
          <w:sz w:val="20"/>
          <w:szCs w:val="20"/>
        </w:rPr>
        <w:t>Diario Oficial de la Federación</w:t>
      </w:r>
      <w:r>
        <w:rPr>
          <w:rFonts w:ascii="Times New Roman" w:eastAsia="Times New Roman" w:hAnsi="Times New Roman" w:cs="Times New Roman"/>
          <w:sz w:val="20"/>
          <w:szCs w:val="20"/>
        </w:rPr>
        <w:t xml:space="preserve"> el 14 de noviembre de 2025.</w:t>
      </w:r>
    </w:p>
  </w:footnote>
  <w:footnote w:id="714">
    <w:p w14:paraId="7000619F" w14:textId="77777777" w:rsidR="00DF3B02" w:rsidRDefault="00DF3B02" w:rsidP="00DF3B0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Jurisprudencia 38/2002, NOTAS PERIODÍSTICAS. ELEMENTOS PARA DETERMINAR SU FUERZA INDICIARIA, </w:t>
      </w:r>
      <w:r>
        <w:rPr>
          <w:rFonts w:ascii="Times New Roman" w:eastAsia="Times New Roman" w:hAnsi="Times New Roman" w:cs="Times New Roman"/>
          <w:i/>
          <w:sz w:val="20"/>
          <w:szCs w:val="20"/>
        </w:rPr>
        <w:t>Justicia Electoral. Revista del Tribunal Electoral del Poder Judicial de la Federación</w:t>
      </w:r>
      <w:r>
        <w:rPr>
          <w:rFonts w:ascii="Times New Roman" w:eastAsia="Times New Roman" w:hAnsi="Times New Roman" w:cs="Times New Roman"/>
          <w:sz w:val="20"/>
          <w:szCs w:val="20"/>
        </w:rPr>
        <w:t>, suplemento 6, 2003, p. 44. El texto se consultó en su transcripción en el SUP-RAP-33/2010.</w:t>
      </w:r>
    </w:p>
  </w:footnote>
  <w:footnote w:id="715">
    <w:p w14:paraId="59AE05CC" w14:textId="77777777" w:rsidR="00DF3B02" w:rsidRDefault="00DF3B02" w:rsidP="00DF3B0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Gascón Abellán, Marina, </w:t>
      </w:r>
      <w:r>
        <w:rPr>
          <w:rFonts w:ascii="Times New Roman" w:eastAsia="Times New Roman" w:hAnsi="Times New Roman" w:cs="Times New Roman"/>
          <w:i/>
          <w:sz w:val="20"/>
          <w:szCs w:val="20"/>
        </w:rPr>
        <w:t>Los hechos en el derecho. Bases argumentales de la prueba</w:t>
      </w:r>
      <w:r>
        <w:rPr>
          <w:rFonts w:ascii="Times New Roman" w:eastAsia="Times New Roman" w:hAnsi="Times New Roman" w:cs="Times New Roman"/>
          <w:sz w:val="20"/>
          <w:szCs w:val="20"/>
        </w:rPr>
        <w:t>, 3a. ed., Madrid, Marcial Pons, 2010, p. 139.</w:t>
      </w:r>
    </w:p>
  </w:footnote>
  <w:footnote w:id="716">
    <w:p w14:paraId="042158D3" w14:textId="77777777" w:rsidR="00DF3B02" w:rsidRDefault="00DF3B02" w:rsidP="00DF3B0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Sala Superior, SUP-JIN-194/2025, cit., párrafo 55, pp. 11 y 12.</w:t>
      </w:r>
    </w:p>
  </w:footnote>
  <w:footnote w:id="717">
    <w:p w14:paraId="0E5957D8" w14:textId="77777777" w:rsidR="00DF3B02" w:rsidRDefault="00DF3B02" w:rsidP="00DF3B0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Sala Superior, SUP-JIN-194/2025, cit., párrafo 56, p. 12.</w:t>
      </w:r>
    </w:p>
  </w:footnote>
  <w:footnote w:id="718">
    <w:p w14:paraId="148BADFF" w14:textId="77777777" w:rsidR="00DF3B02" w:rsidRDefault="00DF3B02" w:rsidP="00DF3B0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Gascón Abellán, </w:t>
      </w:r>
      <w:r>
        <w:rPr>
          <w:rFonts w:ascii="Times New Roman" w:eastAsia="Times New Roman" w:hAnsi="Times New Roman" w:cs="Times New Roman"/>
          <w:i/>
          <w:sz w:val="20"/>
          <w:szCs w:val="20"/>
        </w:rPr>
        <w:t>Los hechos en el derecho</w:t>
      </w:r>
      <w:r>
        <w:rPr>
          <w:rFonts w:ascii="Times New Roman" w:eastAsia="Times New Roman" w:hAnsi="Times New Roman" w:cs="Times New Roman"/>
          <w:sz w:val="20"/>
          <w:szCs w:val="20"/>
        </w:rPr>
        <w:t>, cit., pp. 164 y 165.</w:t>
      </w:r>
    </w:p>
  </w:footnote>
  <w:footnote w:id="719">
    <w:p w14:paraId="4D9ECFC6" w14:textId="77777777" w:rsidR="00DF3B02" w:rsidRDefault="00DF3B02" w:rsidP="00DF3B0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pp. 196 y 197.</w:t>
      </w:r>
    </w:p>
  </w:footnote>
  <w:footnote w:id="720">
    <w:p w14:paraId="6095CB59" w14:textId="77777777" w:rsidR="00DF3B02" w:rsidRDefault="00DF3B02" w:rsidP="00DF3B0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Ferrer Beltrán, Jordi, </w:t>
      </w:r>
      <w:r>
        <w:rPr>
          <w:rFonts w:ascii="Times New Roman" w:eastAsia="Times New Roman" w:hAnsi="Times New Roman" w:cs="Times New Roman"/>
          <w:i/>
          <w:sz w:val="20"/>
          <w:szCs w:val="20"/>
        </w:rPr>
        <w:t>Prueba sin convicción. Estándares de prueba y debido proceso</w:t>
      </w:r>
      <w:r>
        <w:rPr>
          <w:rFonts w:ascii="Times New Roman" w:eastAsia="Times New Roman" w:hAnsi="Times New Roman" w:cs="Times New Roman"/>
          <w:sz w:val="20"/>
          <w:szCs w:val="20"/>
        </w:rPr>
        <w:t>, Madrid, Marcial Pons, 2021, p. 213.</w:t>
      </w:r>
    </w:p>
  </w:footnote>
  <w:footnote w:id="721">
    <w:p w14:paraId="6DA70F2A" w14:textId="77777777" w:rsidR="00DF3B02" w:rsidRDefault="00DF3B02" w:rsidP="00DF3B0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Ferrer Beltrán, </w:t>
      </w:r>
      <w:r>
        <w:rPr>
          <w:rFonts w:ascii="Times New Roman" w:eastAsia="Times New Roman" w:hAnsi="Times New Roman" w:cs="Times New Roman"/>
          <w:i/>
          <w:sz w:val="20"/>
          <w:szCs w:val="20"/>
        </w:rPr>
        <w:t>Prueba sin convicción</w:t>
      </w:r>
      <w:r>
        <w:rPr>
          <w:rFonts w:ascii="Times New Roman" w:eastAsia="Times New Roman" w:hAnsi="Times New Roman" w:cs="Times New Roman"/>
          <w:sz w:val="20"/>
          <w:szCs w:val="20"/>
        </w:rPr>
        <w:t>, cit., p. 231.</w:t>
      </w:r>
    </w:p>
  </w:footnote>
  <w:footnote w:id="722">
    <w:p w14:paraId="3CFDA56F" w14:textId="77777777" w:rsidR="00DF3B02" w:rsidRDefault="00DF3B02" w:rsidP="00DF3B0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Ley General del Sistema de Medios de Impugnación en Materia Electoral, artículos 8, párrafo 1, y 14, párrafo 3.</w:t>
      </w:r>
    </w:p>
  </w:footnote>
  <w:footnote w:id="723">
    <w:p w14:paraId="69C071CE" w14:textId="77777777" w:rsidR="00DF3B02" w:rsidRDefault="00DF3B02" w:rsidP="00DF3B0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Ferrer Beltrán, </w:t>
      </w:r>
      <w:r>
        <w:rPr>
          <w:rFonts w:ascii="Times New Roman" w:eastAsia="Times New Roman" w:hAnsi="Times New Roman" w:cs="Times New Roman"/>
          <w:i/>
          <w:sz w:val="20"/>
          <w:szCs w:val="20"/>
        </w:rPr>
        <w:t>Prueba sin convicción</w:t>
      </w:r>
      <w:r>
        <w:rPr>
          <w:rFonts w:ascii="Times New Roman" w:eastAsia="Times New Roman" w:hAnsi="Times New Roman" w:cs="Times New Roman"/>
          <w:sz w:val="20"/>
          <w:szCs w:val="20"/>
        </w:rPr>
        <w:t>, cit., pp. 233 y 234.</w:t>
      </w:r>
    </w:p>
  </w:footnote>
  <w:footnote w:id="724">
    <w:p w14:paraId="16DAEDEA" w14:textId="77777777" w:rsidR="00DF3B02" w:rsidRDefault="00DF3B02" w:rsidP="00DF3B0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Ley General del Sistema de Medios de Impugnación en Materia Electoral, artículo 21, párrafo 1.</w:t>
      </w:r>
    </w:p>
  </w:footnote>
  <w:footnote w:id="725">
    <w:p w14:paraId="67E5EA12" w14:textId="77777777" w:rsidR="00DF3B02" w:rsidRDefault="00DF3B02" w:rsidP="00DF3B0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Ferrer Beltrán, </w:t>
      </w:r>
      <w:r>
        <w:rPr>
          <w:rFonts w:ascii="Times New Roman" w:eastAsia="Times New Roman" w:hAnsi="Times New Roman" w:cs="Times New Roman"/>
          <w:i/>
          <w:sz w:val="20"/>
          <w:szCs w:val="20"/>
        </w:rPr>
        <w:t>Prueba sin convicción</w:t>
      </w:r>
      <w:r>
        <w:rPr>
          <w:rFonts w:ascii="Times New Roman" w:eastAsia="Times New Roman" w:hAnsi="Times New Roman" w:cs="Times New Roman"/>
          <w:sz w:val="20"/>
          <w:szCs w:val="20"/>
        </w:rPr>
        <w:t>, cit., p. 229.</w:t>
      </w:r>
    </w:p>
  </w:footnote>
  <w:footnote w:id="726">
    <w:p w14:paraId="7A5199FD" w14:textId="77777777" w:rsidR="00DF3B02" w:rsidRDefault="00DF3B02" w:rsidP="00DF3B0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Proyecto de Rodríguez Mondragón, cit., párrafo 127, pp. 100 y 101 del voto.</w:t>
      </w:r>
    </w:p>
  </w:footnote>
  <w:footnote w:id="727">
    <w:p w14:paraId="278D7CDE" w14:textId="77777777" w:rsidR="00DF3B02" w:rsidRDefault="00DF3B02" w:rsidP="00DF3B0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Ley General del Sistema de Medios de Impugnación en Materia Electoral, artículo 14, párrafos 1 y 2.</w:t>
      </w:r>
    </w:p>
  </w:footnote>
  <w:footnote w:id="728">
    <w:p w14:paraId="79FC1129" w14:textId="77777777" w:rsidR="00DF3B02" w:rsidRDefault="00DF3B02" w:rsidP="00DF3B0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Ley General del Sistema de Medios de Impugnación en Materia Electoral, publicada en el </w:t>
      </w:r>
      <w:r>
        <w:rPr>
          <w:rFonts w:ascii="Times New Roman" w:eastAsia="Times New Roman" w:hAnsi="Times New Roman" w:cs="Times New Roman"/>
          <w:i/>
          <w:sz w:val="20"/>
          <w:szCs w:val="20"/>
        </w:rPr>
        <w:t>Diario Oficial de la Federación</w:t>
      </w:r>
      <w:r>
        <w:rPr>
          <w:rFonts w:ascii="Times New Roman" w:eastAsia="Times New Roman" w:hAnsi="Times New Roman" w:cs="Times New Roman"/>
          <w:sz w:val="20"/>
          <w:szCs w:val="20"/>
        </w:rPr>
        <w:t xml:space="preserve"> el 22 de noviembre de 1996. El texto vigente del artículo 16 no registra notas de reforma.</w:t>
      </w:r>
    </w:p>
  </w:footnote>
  <w:footnote w:id="729">
    <w:p w14:paraId="562B3ACB" w14:textId="77777777" w:rsidR="00DF3B02" w:rsidRDefault="00DF3B02" w:rsidP="00DF3B0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Ferrer Beltrán, </w:t>
      </w:r>
      <w:r>
        <w:rPr>
          <w:rFonts w:ascii="Times New Roman" w:eastAsia="Times New Roman" w:hAnsi="Times New Roman" w:cs="Times New Roman"/>
          <w:i/>
          <w:sz w:val="20"/>
          <w:szCs w:val="20"/>
        </w:rPr>
        <w:t>Prueba sin convicción</w:t>
      </w:r>
      <w:r>
        <w:rPr>
          <w:rFonts w:ascii="Times New Roman" w:eastAsia="Times New Roman" w:hAnsi="Times New Roman" w:cs="Times New Roman"/>
          <w:sz w:val="20"/>
          <w:szCs w:val="20"/>
        </w:rPr>
        <w:t>, cit., pp. 110 y 111.</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23B91" w14:textId="77777777" w:rsidR="0075283F" w:rsidRDefault="0075283F">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1626AE" w14:textId="77777777" w:rsidR="0075283F" w:rsidRDefault="0075283F">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5909E" w14:textId="77777777" w:rsidR="0075283F" w:rsidRDefault="0075283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7511E"/>
    <w:multiLevelType w:val="multilevel"/>
    <w:tmpl w:val="5052C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C51A43"/>
    <w:multiLevelType w:val="hybridMultilevel"/>
    <w:tmpl w:val="5B02C4CC"/>
    <w:lvl w:ilvl="0" w:tplc="644A011E">
      <w:start w:val="1"/>
      <w:numFmt w:val="bullet"/>
      <w:lvlText w:val="●"/>
      <w:lvlJc w:val="left"/>
      <w:pPr>
        <w:ind w:left="720" w:hanging="360"/>
      </w:pPr>
    </w:lvl>
    <w:lvl w:ilvl="1" w:tplc="247641DC">
      <w:start w:val="1"/>
      <w:numFmt w:val="bullet"/>
      <w:lvlText w:val="○"/>
      <w:lvlJc w:val="left"/>
      <w:pPr>
        <w:ind w:left="1440" w:hanging="360"/>
      </w:pPr>
    </w:lvl>
    <w:lvl w:ilvl="2" w:tplc="006EEF0C">
      <w:start w:val="1"/>
      <w:numFmt w:val="bullet"/>
      <w:lvlText w:val="■"/>
      <w:lvlJc w:val="left"/>
      <w:pPr>
        <w:ind w:left="2160" w:hanging="360"/>
      </w:pPr>
    </w:lvl>
    <w:lvl w:ilvl="3" w:tplc="5400D3BE">
      <w:start w:val="1"/>
      <w:numFmt w:val="bullet"/>
      <w:lvlText w:val="●"/>
      <w:lvlJc w:val="left"/>
      <w:pPr>
        <w:ind w:left="2880" w:hanging="360"/>
      </w:pPr>
    </w:lvl>
    <w:lvl w:ilvl="4" w:tplc="D93A1800">
      <w:start w:val="1"/>
      <w:numFmt w:val="bullet"/>
      <w:lvlText w:val="○"/>
      <w:lvlJc w:val="left"/>
      <w:pPr>
        <w:ind w:left="3600" w:hanging="360"/>
      </w:pPr>
    </w:lvl>
    <w:lvl w:ilvl="5" w:tplc="140EB2AA">
      <w:start w:val="1"/>
      <w:numFmt w:val="bullet"/>
      <w:lvlText w:val="■"/>
      <w:lvlJc w:val="left"/>
      <w:pPr>
        <w:ind w:left="4320" w:hanging="360"/>
      </w:pPr>
    </w:lvl>
    <w:lvl w:ilvl="6" w:tplc="CE6C8E3A">
      <w:start w:val="1"/>
      <w:numFmt w:val="bullet"/>
      <w:lvlText w:val="●"/>
      <w:lvlJc w:val="left"/>
      <w:pPr>
        <w:ind w:left="5040" w:hanging="360"/>
      </w:pPr>
    </w:lvl>
    <w:lvl w:ilvl="7" w:tplc="D53C170C">
      <w:start w:val="1"/>
      <w:numFmt w:val="bullet"/>
      <w:lvlText w:val="●"/>
      <w:lvlJc w:val="left"/>
      <w:pPr>
        <w:ind w:left="5760" w:hanging="360"/>
      </w:pPr>
    </w:lvl>
    <w:lvl w:ilvl="8" w:tplc="71DA5B78">
      <w:start w:val="1"/>
      <w:numFmt w:val="bullet"/>
      <w:lvlText w:val="●"/>
      <w:lvlJc w:val="left"/>
      <w:pPr>
        <w:ind w:left="6480" w:hanging="360"/>
      </w:pPr>
    </w:lvl>
  </w:abstractNum>
  <w:abstractNum w:abstractNumId="2" w15:restartNumberingAfterBreak="0">
    <w:nsid w:val="379B00EF"/>
    <w:multiLevelType w:val="multilevel"/>
    <w:tmpl w:val="043833B4"/>
    <w:lvl w:ilvl="0">
      <w:start w:val="1"/>
      <w:numFmt w:val="decimal"/>
      <w:lvlText w:val="%1."/>
      <w:lvlJc w:val="left"/>
      <w:pPr>
        <w:ind w:left="585" w:hanging="58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7B4D0E6B"/>
    <w:multiLevelType w:val="multilevel"/>
    <w:tmpl w:val="95648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5476919">
    <w:abstractNumId w:val="1"/>
    <w:lvlOverride w:ilvl="0">
      <w:startOverride w:val="1"/>
    </w:lvlOverride>
  </w:num>
  <w:num w:numId="2" w16cid:durableId="129445810">
    <w:abstractNumId w:val="2"/>
  </w:num>
  <w:num w:numId="3" w16cid:durableId="135028417">
    <w:abstractNumId w:val="0"/>
  </w:num>
  <w:num w:numId="4" w16cid:durableId="1057014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08"/>
  <w:hyphenationZone w:val="425"/>
  <w:characterSpacingControl w:val="doNotCompress"/>
  <w:updateFields w:val="tru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2EF9"/>
    <w:rsid w:val="00003BB7"/>
    <w:rsid w:val="00017B0D"/>
    <w:rsid w:val="00031181"/>
    <w:rsid w:val="00034BD5"/>
    <w:rsid w:val="00045550"/>
    <w:rsid w:val="0007677B"/>
    <w:rsid w:val="000833F2"/>
    <w:rsid w:val="000A1322"/>
    <w:rsid w:val="000E0119"/>
    <w:rsid w:val="000F441C"/>
    <w:rsid w:val="00137B01"/>
    <w:rsid w:val="00150BE3"/>
    <w:rsid w:val="001829B0"/>
    <w:rsid w:val="00207574"/>
    <w:rsid w:val="00224E50"/>
    <w:rsid w:val="00256ADA"/>
    <w:rsid w:val="00275E9A"/>
    <w:rsid w:val="002A606B"/>
    <w:rsid w:val="002C4D33"/>
    <w:rsid w:val="002F44CB"/>
    <w:rsid w:val="002F78F2"/>
    <w:rsid w:val="00306CE4"/>
    <w:rsid w:val="0033791D"/>
    <w:rsid w:val="003419B8"/>
    <w:rsid w:val="003A23CE"/>
    <w:rsid w:val="003A7B8C"/>
    <w:rsid w:val="003D59AF"/>
    <w:rsid w:val="003F7BA1"/>
    <w:rsid w:val="00403A24"/>
    <w:rsid w:val="00416A85"/>
    <w:rsid w:val="004236C6"/>
    <w:rsid w:val="00455438"/>
    <w:rsid w:val="0046344A"/>
    <w:rsid w:val="0047322A"/>
    <w:rsid w:val="00491473"/>
    <w:rsid w:val="00496C7D"/>
    <w:rsid w:val="004A594B"/>
    <w:rsid w:val="004B788E"/>
    <w:rsid w:val="004C7D94"/>
    <w:rsid w:val="004E2A82"/>
    <w:rsid w:val="004F2C30"/>
    <w:rsid w:val="00571D7C"/>
    <w:rsid w:val="00591D08"/>
    <w:rsid w:val="0059208D"/>
    <w:rsid w:val="005A3D72"/>
    <w:rsid w:val="005B5C0A"/>
    <w:rsid w:val="005D4DF8"/>
    <w:rsid w:val="00616EDF"/>
    <w:rsid w:val="0062405A"/>
    <w:rsid w:val="006408AF"/>
    <w:rsid w:val="00647260"/>
    <w:rsid w:val="00657C4E"/>
    <w:rsid w:val="0067010E"/>
    <w:rsid w:val="006B0A89"/>
    <w:rsid w:val="006B6EE1"/>
    <w:rsid w:val="006E43DD"/>
    <w:rsid w:val="006F75DD"/>
    <w:rsid w:val="00710FE8"/>
    <w:rsid w:val="00742357"/>
    <w:rsid w:val="0075283F"/>
    <w:rsid w:val="007570E6"/>
    <w:rsid w:val="00772C56"/>
    <w:rsid w:val="007B6207"/>
    <w:rsid w:val="007B7BC0"/>
    <w:rsid w:val="007E20A3"/>
    <w:rsid w:val="00816622"/>
    <w:rsid w:val="00834F69"/>
    <w:rsid w:val="0086531A"/>
    <w:rsid w:val="00882C75"/>
    <w:rsid w:val="008977A0"/>
    <w:rsid w:val="008C4A16"/>
    <w:rsid w:val="008E32D7"/>
    <w:rsid w:val="008F0525"/>
    <w:rsid w:val="00910AE0"/>
    <w:rsid w:val="00943E92"/>
    <w:rsid w:val="009528E4"/>
    <w:rsid w:val="00964EC4"/>
    <w:rsid w:val="00977ACE"/>
    <w:rsid w:val="009C679B"/>
    <w:rsid w:val="009E0DD7"/>
    <w:rsid w:val="009E5B4D"/>
    <w:rsid w:val="00A019C7"/>
    <w:rsid w:val="00A1368E"/>
    <w:rsid w:val="00A14B68"/>
    <w:rsid w:val="00A32EF9"/>
    <w:rsid w:val="00A7446D"/>
    <w:rsid w:val="00A8652E"/>
    <w:rsid w:val="00A965F7"/>
    <w:rsid w:val="00AA71D1"/>
    <w:rsid w:val="00AC382C"/>
    <w:rsid w:val="00AD08F6"/>
    <w:rsid w:val="00AF1C27"/>
    <w:rsid w:val="00AF3347"/>
    <w:rsid w:val="00B14647"/>
    <w:rsid w:val="00B27AF0"/>
    <w:rsid w:val="00B5675A"/>
    <w:rsid w:val="00B63289"/>
    <w:rsid w:val="00B843F5"/>
    <w:rsid w:val="00B873E1"/>
    <w:rsid w:val="00B87B97"/>
    <w:rsid w:val="00BA0905"/>
    <w:rsid w:val="00BA1C97"/>
    <w:rsid w:val="00BA5A6A"/>
    <w:rsid w:val="00BA62FD"/>
    <w:rsid w:val="00BE4A3B"/>
    <w:rsid w:val="00C377F5"/>
    <w:rsid w:val="00C41C76"/>
    <w:rsid w:val="00C60DC3"/>
    <w:rsid w:val="00C63D74"/>
    <w:rsid w:val="00C82C2D"/>
    <w:rsid w:val="00CA66BB"/>
    <w:rsid w:val="00CB46DD"/>
    <w:rsid w:val="00D20E47"/>
    <w:rsid w:val="00D34259"/>
    <w:rsid w:val="00D53084"/>
    <w:rsid w:val="00D70A5F"/>
    <w:rsid w:val="00D8777C"/>
    <w:rsid w:val="00D907F5"/>
    <w:rsid w:val="00D918D9"/>
    <w:rsid w:val="00DB7096"/>
    <w:rsid w:val="00DC04A8"/>
    <w:rsid w:val="00DC618C"/>
    <w:rsid w:val="00DF3B02"/>
    <w:rsid w:val="00E0113E"/>
    <w:rsid w:val="00E01AF9"/>
    <w:rsid w:val="00E17078"/>
    <w:rsid w:val="00E22D4B"/>
    <w:rsid w:val="00E354C7"/>
    <w:rsid w:val="00E71133"/>
    <w:rsid w:val="00E71482"/>
    <w:rsid w:val="00EB5449"/>
    <w:rsid w:val="00EC7EEF"/>
    <w:rsid w:val="00ED6E86"/>
    <w:rsid w:val="00F12BF5"/>
    <w:rsid w:val="00F204CF"/>
    <w:rsid w:val="00F26C5F"/>
    <w:rsid w:val="00F45A1B"/>
    <w:rsid w:val="00F64188"/>
    <w:rsid w:val="00FA7385"/>
    <w:rsid w:val="00FB3B55"/>
    <w:rsid w:val="00FD18A1"/>
    <w:rsid w:val="00FD34E7"/>
    <w:rsid w:val="00FF4C5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FB8262"/>
  <w15:docId w15:val="{7114851E-F985-486A-85D8-BC07642C46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0" w:after="0" w:line="360" w:lineRule="auto"/>
      <w:jc w:val="both"/>
    </w:pPr>
    <w:rPr>
      <w:rFonts w:ascii="Arial" w:eastAsia="Arial" w:hAnsi="Arial" w:cs="Arial"/>
      <w:sz w:val="24"/>
      <w:szCs w:val="24"/>
    </w:rPr>
  </w:style>
  <w:style w:type="paragraph" w:styleId="Ttulo1">
    <w:name w:val="heading 1"/>
    <w:uiPriority w:val="9"/>
    <w:qFormat/>
    <w:pPr>
      <w:outlineLvl w:val="0"/>
    </w:pPr>
    <w:rPr>
      <w:color w:val="000000"/>
      <w:sz w:val="24"/>
      <w:szCs w:val="24"/>
    </w:rPr>
  </w:style>
  <w:style w:type="paragraph" w:styleId="Ttulo2">
    <w:name w:val="heading 2"/>
    <w:uiPriority w:val="9"/>
    <w:unhideWhenUsed/>
    <w:qFormat/>
    <w:pPr>
      <w:outlineLvl w:val="1"/>
    </w:pPr>
    <w:rPr>
      <w:color w:val="000000"/>
      <w:sz w:val="24"/>
      <w:szCs w:val="24"/>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pPr>
      <w:spacing w:before="0" w:after="0" w:line="240" w:lineRule="auto"/>
      <w:jc w:val="both"/>
    </w:pPr>
    <w:rPr>
      <w:rFonts w:ascii="Times New Roman" w:eastAsia="Times New Roman" w:hAnsi="Times New Roman" w:cs="Times New Roman"/>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2C4D33"/>
    <w:pPr>
      <w:spacing w:after="100"/>
    </w:pPr>
  </w:style>
  <w:style w:type="paragraph" w:styleId="TDC2">
    <w:name w:val="toc 2"/>
    <w:basedOn w:val="Normal"/>
    <w:next w:val="Normal"/>
    <w:autoRedefine/>
    <w:uiPriority w:val="39"/>
    <w:unhideWhenUsed/>
    <w:rsid w:val="002C4D33"/>
    <w:pPr>
      <w:spacing w:after="100"/>
      <w:ind w:left="200"/>
    </w:pPr>
  </w:style>
  <w:style w:type="paragraph" w:styleId="Encabezado">
    <w:name w:val="header"/>
    <w:basedOn w:val="Normal"/>
    <w:link w:val="EncabezadoCar"/>
    <w:uiPriority w:val="99"/>
    <w:unhideWhenUsed/>
    <w:rsid w:val="0075283F"/>
    <w:pPr>
      <w:tabs>
        <w:tab w:val="center" w:pos="4419"/>
        <w:tab w:val="right" w:pos="8838"/>
      </w:tabs>
    </w:pPr>
  </w:style>
  <w:style w:type="character" w:customStyle="1" w:styleId="EncabezadoCar">
    <w:name w:val="Encabezado Car"/>
    <w:basedOn w:val="Fuentedeprrafopredeter"/>
    <w:link w:val="Encabezado"/>
    <w:uiPriority w:val="99"/>
    <w:rsid w:val="0075283F"/>
  </w:style>
  <w:style w:type="paragraph" w:styleId="Piedepgina">
    <w:name w:val="footer"/>
    <w:basedOn w:val="Normal"/>
    <w:link w:val="PiedepginaCar"/>
    <w:uiPriority w:val="99"/>
    <w:unhideWhenUsed/>
    <w:rsid w:val="0075283F"/>
    <w:pPr>
      <w:tabs>
        <w:tab w:val="center" w:pos="4419"/>
        <w:tab w:val="right" w:pos="8838"/>
      </w:tabs>
    </w:pPr>
  </w:style>
  <w:style w:type="character" w:customStyle="1" w:styleId="PiedepginaCar">
    <w:name w:val="Pie de página Car"/>
    <w:basedOn w:val="Fuentedeprrafopredeter"/>
    <w:link w:val="Piedepgina"/>
    <w:uiPriority w:val="99"/>
    <w:rsid w:val="0075283F"/>
  </w:style>
  <w:style w:type="paragraph" w:styleId="NormalWeb">
    <w:name w:val="Normal (Web)"/>
    <w:basedOn w:val="Normal"/>
    <w:uiPriority w:val="99"/>
    <w:unhideWhenUsed/>
    <w:rsid w:val="00BA62FD"/>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81E318E-CA50-491F-86BF-A0073A6F5677}">
  <we:reference id="wa200010453" version="1.0.0.1" store="en-US" storeType="OMEX"/>
  <we:alternateReferences>
    <we:reference id="wa200010453" version="1.0.0.1" store="" storeType="OMEX"/>
  </we:alternateReferences>
  <we:properties>
    <we:property name="claude.fileId" value="&quot;08c29638-f47f-4610-8196-9c7078c2a655&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0</TotalTime>
  <Pages>215</Pages>
  <Words>65433</Words>
  <Characters>360541</Characters>
  <Application>Microsoft Office Word</Application>
  <DocSecurity>0</DocSecurity>
  <Lines>4241</Lines>
  <Paragraphs>910</Paragraphs>
  <ScaleCrop>false</ScaleCrop>
  <Company/>
  <LinksUpToDate>false</LinksUpToDate>
  <CharactersWithSpaces>425064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MDEbenjagomez lemus</cp:lastModifiedBy>
  <cp:revision>2</cp:revision>
  <dcterms:created xsi:type="dcterms:W3CDTF">2026-09-25T07:52:00Z</dcterms:created>
  <dcterms:modified xsi:type="dcterms:W3CDTF">2026-09-25T07:52:00Z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id="Q7krYhfy"/&gt;&lt;style id="http://www.zotero.org/styles/apa-no-ampersand" locale="es-MX" hasBibliography="1" bibliographyStyleHasBeenSet="0"/&gt;&lt;prefs&gt;&lt;pref name="fieldType" value="Field"/&gt;&lt;pref name="au</vt:lpwstr>
  </property>
  <property fmtid="{D5CDD505-2E9C-101B-9397-08002B2CF9AE}" pid="3" name="ZOTERO_PREF_2">
    <vt:lpwstr>tomaticJournalAbbreviations" value="true"/&gt;&lt;/prefs&gt;&lt;/data&gt;</vt:lpwstr>
  </property>
</Properties>
</file>