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Yet it makes sufficiency depend on the judge's conviction, a psychologistic criterion detached from any objective threshold. This hybrid clause has remained largely unchanged in Mexican electoral case law for twenty-five years and undermines the rationality of fact-finding in electoral litigation. The thesis examines the extent to which this absence compromises rational adjudication of the facts. It also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It is complemented by a comparative approach to Spanish, Italian, and Anglo-American procedural doctrine and by a case analysis of ruling SUP-JIN-194/2025. The analysis traced the hybrid clause to its earliest documented judicial application in SUP-JRC-487/2000. The formula persisted virtually unchanged for a quarter of a century, and judicial awareness of the underlying problem emerged only recently in a single dissenting opinion. The study also identified a category mistake between sound criticism and standard of proof in the doctrine on the determinative effect of electoral irregularities. On this basis, the thesis confirms its hypothesis. It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82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93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112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126</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139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140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150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158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166</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166</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173</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179</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186</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192</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Esta disciplina distingue la operación de sopesar el apoyo empírico de una hipótesis fáctica y la operación normativa de fijar el umbral a partir del cual esa hipótesis debe darse por probada. La tradición analítica hispanoamericana e italiana desarrolló principalmente esta distinción. Su relevancia crece en las materias donde la prueba disponible es predominantemente indiciaria, como el contencioso electoral mexicano. En esta materia, la acreditación de irregularidades determinantes para el resultado de una elección depende, en la mayoría de los casos, de la integración razonada de indicios y no de prueba directa. El artículo 16 fija el criterio de valoración mediante una fórmula que combina un vocabulario racionalista, compuesto por la lógica, la sana crítica y la experiencia, con un vocabulario psicologista, que es la convicción del juzgador.</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En su lugar, apela a la convicción del juzgador, una condición mental que no admite control intersubjetivo. Esta sustitución constituye el problema que motiva la investigación. La sustitución compromete la racionalidad del juicio sobre los hechos en el contencioso electoral mexicano, porque remite la suficiencia probatoria a un estado subjetivo del juzgador y no a un criterio objetivo y verificable. De esta constatación deriva la pregunta general del trabajo. La pregunta indaga en qué medida la ausencia de estándares de prueba objetivos en el artículo 16 y su sustitución por la cláusula psicologista de la convicción comprometen esa racionalidad. La misma pregunta indaga qué diseño legislativo permitiría corregir la carencia sin sacrificar la naturaleza indiciaria de la prueba disponible en esta materia.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 los capítulos. La primera afirma que la ausencia de un estándar de prueba objetivo en el artículo 16 de la LGSMIME, y su sustitución por la cláusula psicologista de la convicción, compromete la racionalidad del juicio sobre los hechos en el contencioso electoral mexicano. La segunda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del artículo 16 de la LGSMIME y debe ser compatible con la naturaleza indiciaria de la prueba disponible en esta materia. Este objetivo se despliega en cinco objetivos específicos. El primero es sistematizar el marco teórico de la prueba indiciaria y del estándar de prueba. El segundo es identificar el error de categoría que sirve de puente conceptual entre esa teoría y la doctrina mexicana de la determinancia electoral. El tercero es demostrar la persistencia de la cláusula híbrida a lo largo de veinticinco años de jurisprudencia electoral. El cuarto es exponer el fundamento metodológico que permite justificar la relatividad del estándar de prueba según los bienes en juego. El quinto es formular una propuesta de diseño legislativo compatible con la prueba indiciaria.</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dos operaciones. La valoración de la prueba es una operación epistémica. El estándar de prueba es una operación normativa que fija el umbral de suficiencia. El marco se apoya principalmente en la obra de Jordi Ferrer Beltrán sobre los requisitos metodológicos de un estándar de prueba válido y sobre la relatividad de ese estándar según los bienes en juego. El marco recoge la tradición racionalista de la prueba representada, entre otros, por Michele Taruffo. La investigación contrasta ese marco con la doctrina mexicana sobre la determinancia electoral, que hasta ahora ha abordado su propio problema de suficiencia probatoria sin el aparato conceptual que esa epistemología exige. La investigación no asume que la literatura existente agote este diálogo. Por ello, advierte en el desarrollo de sus capítulos cuándo un planteamiento corresponde a una fuente verificada y cuándo constituye una propuesta original.</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La investigación emplea el método comparado frente a la doctrina procesal española, italiana y angloamericana. Con él contrasta el tratamiento de la sana crítica, la íntima convicción y los estándares de prueba en esas tradiciones con el tratamiento vigente en el derecho electoral mexicano. El método se complementa con el análisis de caso de la sentencia SUP-JIN-194/2025 y con su comparación frente a la sentencia SUP-JRC-487/2000. Esta última se seleccionó porque constituye el primer registro documentado de la aplicación judicial de la cláusula híbrida. El análisis documental y jurisprudencial permitió recopilar y sistematizar las sentencias y la jurisprudencia electoral relevantes para la investigación. El análisis conceptual permitió descomponer las categorías de sana crítica, convicción, adminiculación y determinancia para evidenciar la falta de correspondencia entre ellas.</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w:t>
      </w:r>
    </w:p>
    <w:p>
      <w:pPr>
        <w:spacing w:before="0" w:after="0" w:line="360" w:lineRule="auto"/>
        <w:ind w:firstLine="709"/>
        <w:jc w:val="both"/>
      </w:pPr>
      <w:r>
        <w:rPr>
          <w:rFonts w:ascii="Arial" w:eastAsia="Arial" w:hAnsi="Arial" w:cs="Arial"/>
          <w:color w:val="000000"/>
          <w:sz w:val="24"/>
          <w:szCs w:val="24"/>
        </w:rPr>
        <w:t xml:space="preserve">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El artículo 78 bis de la ley de medios reproduce esa regla.</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El SUP-JRC-165/2008 articuló después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Sala Superior fijó la naturaleza de la presunción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los cuatro elementos de la nulidad por violación a principios constitucionales, que son la existencia de hechos violatorios, su acreditación plena, el grado de afectación y su carácter cualitativa o cuantitativamente determinante.</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la Sala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La previsión es un parámetro mínimo a partir del cual se puede estimar, salvo prueba en contrario, que la violación es determinante. La Sala argumentó que el Constituyente habría evitado el verbo presumir si hubiese querido una regla absoluta.</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Al examinar unos videos difundidos en redes sociales, la Sala sostuvo que no bastaba conocer cuántas veces fueron vistos. Según la Sala, era necesario conocer la influencia que esos videos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la Sala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razonado que la exigencia de probar la influencia sobre el voto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la mayoría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la mayoría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y el tribunal local les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según el cual la duda favorece la validez de la elección.</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ha reconstruido ese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r>
        <w:rPr>
          <w:rFonts w:ascii="Arial" w:eastAsia="Arial" w:hAnsi="Arial" w:cs="Arial"/>
          <w:color w:val="000000"/>
          <w:sz w:val="24"/>
          <w:szCs w:val="24"/>
        </w:rPr>
        <w:t xml:space="preserve">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la figura quedó superada por la reforma constitucional de 2007 al artículo 99.</w:t>
      </w:r>
      <w:r>
        <w:rPr>
          <w:rFonts w:ascii="Arial" w:eastAsia="Arial" w:hAnsi="Arial" w:cs="Arial"/>
          <w:color w:val="000000"/>
          <w:sz w:val="24"/>
          <w:szCs w:val="24"/>
          <w:vertAlign w:val="superscript"/>
        </w:rPr>
        <w:footnoteReference w:id="316"/>
      </w:r>
      <w:r>
        <w:rPr>
          <w:rFonts w:ascii="Arial" w:eastAsia="Arial" w:hAnsi="Arial" w:cs="Arial"/>
          <w:color w:val="000000"/>
          <w:sz w:val="24"/>
          <w:szCs w:val="24"/>
        </w:rPr>
        <w:t xml:space="preserve">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en la ley local y en la ley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la Sala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la Sala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pruebas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w:t>
      </w:r>
      <w:r>
        <w:rPr>
          <w:rFonts w:ascii="Arial" w:eastAsia="Arial" w:hAnsi="Arial" w:cs="Arial"/>
          <w:color w:val="000000"/>
          <w:sz w:val="24"/>
          <w:szCs w:val="24"/>
          <w:vertAlign w:val="superscript"/>
        </w:rPr>
        <w:footnoteReference w:id="332"/>
      </w:r>
      <w:r>
        <w:rPr>
          <w:rFonts w:ascii="Arial" w:eastAsia="Arial" w:hAnsi="Arial" w:cs="Arial"/>
          <w:color w:val="000000"/>
          <w:sz w:val="24"/>
          <w:szCs w:val="24"/>
        </w:rPr>
        <w:t xml:space="preserve">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ese asunto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particular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los disidentes enumeran los nueve elementos que la mayoría tomó en cuenta y responden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Según los disidentes, la ciudadanía estaba mayormente politizada y era menos vulnerable a la influencia de los funcionarios.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Esa afirmación es una máxima de experiencia opuesta a la de la mayoría.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Los actores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al lenguaje del artículo 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La sentencia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La mayoría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La mayoría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apoyó esta construcción en un criterio de la Primera Sala de la Suprema Corte, según el cual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se localizan en los requisitos segundo y cuarto. La sentencia no identifica qué resultado probatorio mínimo debía alcanzarse para tener por probado cada uno de los siete hechos. La sentencia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La mayoría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la inferencia estadística propuesta por la parte actora. 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exigencia de plena acreditación sin precisar qué grado de corroboración la satisface cuando la 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La magistrada afirma que los acordeones evidencian una operación estructural con probable participación de partidos políticos y personas servidoras públicas, aunque sin pruebas plenas de su responsabilidad directa. La magistrada sostiene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 El disidente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El voto explica que esa expresión se refiere al nivel que debe alcanzarse una vez aplicado el estándar correspondiente, de modo que no constituye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El proyecto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Esa formulación remite a una relación entre el acervo y las hipótesis en conflicto, y no a un estado mental. La formulación satisface, por tanto, el primer requisito metodológico. La formulación satisface el segundo requisito,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Lo justifica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El proyecto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Esa diferenciación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 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El disidente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A ese acervo se sumaban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El voto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El voto 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Esa conclusión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Esa experiencia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 El sistema de íntima convicción, asociado al 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El autor 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mismo autor recoge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 El párrafo 3 regula el resto de los medios, desde las documentales privadas y las técnicas hasta las periciales. Ese párrafo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Conforme a esa 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El autor concluyó que, en la mayoría de los casos, los juzgadores solo señalan que tienen por demostrada una afirmación conforme a las reglas de la lógica, sin indicar a qué lógica ni a qué regla se refieren.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Esas jurisprudencias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Esa lectura encuentra apoyo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y decidir si el estándar debe fijarse en la ley, como sugiere el diagnóstico de este capítulo. El capítulo quinto retomará esa cuestión al 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La Primera Sala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El autor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sino que esa sea su única o principal razón de ser. Un estándar diseñado solo para obtener cierta proporción global de errores podría aceptar cualquier fórmula que produzca esa proporción, aunque no permita controlar la decisión de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 ya señalados. El acervo electoral tiende, por tanto, a tener un peso probatorio reducido. En esas 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las encuentra entre las diversas decisiones sobre los hechos que se adoptan a lo largo de un mismo proceso. El autor añade una segunda objeción, que afecta a ambas corrientes, porque presuponen el concepto clásico de conocimiento, mientras que la actitud del juzgador al declarar probado un hecho no es la creencia ni el conocimiento, sino la aceptación. El autor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Pardo explica que la preponderancia de la prueba distribuye el riesgo de error de forma más o menos equitativa entre las partes. El autor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El proyecto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El proyecto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y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En el proceso civil, a diferencia de la materia electoral, los costes recaen 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La Primera Sala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El autor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autor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operaciones que el estándar exige al juzgador y verifica si satisface los cinco criterios enunciados. Finalmente identifica sobre qué parte recae el riesgo del error cuando el estándar no se satisface. La formulación es una propuesta de esta investigación. La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El estándar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y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La formulación satisface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El autor precisa que las lagunas imputables a la parte que se beneficiaría de ellas no deben impedir tener por satisfecho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La adminiculación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La sentencia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La sentencia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El voto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El estándar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