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 xml:space="preserve">What </w:t>
      </w:r>
      <w:proofErr w:type="gramStart"/>
      <w:r>
        <w:t>I’ve</w:t>
      </w:r>
      <w:proofErr w:type="gramEnd"/>
      <w:r>
        <w:t xml:space="preser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 xml:space="preserve">Replicating some textual analysis paper: </w:t>
      </w:r>
      <w:proofErr w:type="spellStart"/>
      <w:r>
        <w:t>tetlock</w:t>
      </w:r>
      <w:proofErr w:type="spellEnd"/>
      <w:r>
        <w:t xml:space="preserve">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w:t>
      </w:r>
      <w:proofErr w:type="gramStart"/>
      <w:r w:rsidRPr="00B50B0F">
        <w:rPr>
          <w:highlight w:val="yellow"/>
        </w:rPr>
        <w:t>contracting:</w:t>
      </w:r>
      <w:proofErr w:type="gramEnd"/>
      <w:r w:rsidRPr="00B50B0F">
        <w:rPr>
          <w:highlight w:val="yellow"/>
        </w:rPr>
        <w:t xml:space="preserve">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w:t>
      </w:r>
      <w:proofErr w:type="spellStart"/>
      <w:r w:rsidRPr="008B3BE3">
        <w:rPr>
          <w:highlight w:val="cyan"/>
        </w:rPr>
        <w:t>TXA+</w:t>
      </w:r>
      <w:r w:rsidR="008B3BE3" w:rsidRPr="008B3BE3">
        <w:rPr>
          <w:highlight w:val="cyan"/>
        </w:rPr>
        <w:t>traits</w:t>
      </w:r>
      <w:proofErr w:type="spellEnd"/>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proofErr w:type="spellStart"/>
      <w:r>
        <w:t>Penalva</w:t>
      </w:r>
      <w:proofErr w:type="spellEnd"/>
      <w:r>
        <w:t xml:space="preserve"> and </w:t>
      </w:r>
      <w:proofErr w:type="spellStart"/>
      <w:r>
        <w:t>Wagenhofer</w:t>
      </w:r>
      <w:proofErr w:type="spellEnd"/>
      <w:r>
        <w:t xml:space="preserve"> (2019) and </w:t>
      </w:r>
      <w:proofErr w:type="spellStart"/>
      <w:r>
        <w:t>Giner</w:t>
      </w:r>
      <w:proofErr w:type="spellEnd"/>
      <w:r>
        <w:t xml:space="preserve">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 xml:space="preserve">Li (2010), Loughran and McDonald (2016), Kravet and </w:t>
      </w:r>
      <w:proofErr w:type="spellStart"/>
      <w:r>
        <w:t>Muslu</w:t>
      </w:r>
      <w:proofErr w:type="spellEnd"/>
      <w:r>
        <w:t xml:space="preserve">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proofErr w:type="gramStart"/>
      <w:r w:rsidR="00327CF3">
        <w:t>more or less good/bad</w:t>
      </w:r>
      <w:proofErr w:type="gramEnd"/>
      <w:r w:rsidR="00327CF3">
        <w:t xml:space="preserve">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xml:space="preserve">, </w:t>
      </w:r>
      <w:proofErr w:type="spellStart"/>
      <w:r w:rsidR="00A56127">
        <w:rPr>
          <w:color w:val="FF0000"/>
        </w:rPr>
        <w:t>Erkens</w:t>
      </w:r>
      <w:proofErr w:type="spellEnd"/>
      <w:r w:rsidR="00A56127">
        <w:rPr>
          <w:color w:val="FF0000"/>
        </w:rPr>
        <w:t xml:space="preserve"> et al. (2014)</w:t>
      </w:r>
      <w:r w:rsidR="007377BC">
        <w:rPr>
          <w:color w:val="FF0000"/>
        </w:rPr>
        <w:t xml:space="preserve"> AFB</w:t>
      </w:r>
      <w:r w:rsidR="00F75127">
        <w:t>)</w:t>
      </w:r>
      <w:r w:rsidR="007377BC">
        <w:t xml:space="preserve"> </w:t>
      </w:r>
      <w:proofErr w:type="spellStart"/>
      <w:r w:rsidR="007377BC">
        <w:t>Luoma</w:t>
      </w:r>
      <w:proofErr w:type="spellEnd"/>
      <w:r w:rsidR="007377BC">
        <w:t xml:space="preserve"> and Goodstein (1999) </w:t>
      </w:r>
      <w:r w:rsidR="001635AC">
        <w:t xml:space="preserve">LENDER MONITORING: BOARD, </w:t>
      </w:r>
      <w:r w:rsidR="00BF179E">
        <w:rPr>
          <w:highlight w:val="green"/>
        </w:rPr>
        <w:t xml:space="preserve">board composition: </w:t>
      </w:r>
      <w:proofErr w:type="spellStart"/>
      <w:r w:rsidR="00BF179E">
        <w:rPr>
          <w:highlight w:val="green"/>
        </w:rPr>
        <w:t>BoardEX</w:t>
      </w:r>
      <w:proofErr w:type="spellEnd"/>
      <w:r w:rsidR="00BF179E" w:rsidRPr="007377BC">
        <w:rPr>
          <w:highlight w:val="green"/>
        </w:rPr>
        <w:t>?</w:t>
      </w:r>
      <w:r w:rsidR="00BF179E">
        <w:t xml:space="preserve"> MORE </w:t>
      </w:r>
      <w:r w:rsidR="001635AC">
        <w:t xml:space="preserve">COVENANTS </w:t>
      </w:r>
      <w:proofErr w:type="spellStart"/>
      <w:r w:rsidR="0065418C">
        <w:rPr>
          <w:highlight w:val="green"/>
        </w:rPr>
        <w:t>C</w:t>
      </w:r>
      <w:r w:rsidR="006875C4" w:rsidRPr="006875C4">
        <w:rPr>
          <w:highlight w:val="green"/>
        </w:rPr>
        <w:t>ovenants</w:t>
      </w:r>
      <w:proofErr w:type="spellEnd"/>
      <w:r w:rsidR="006875C4" w:rsidRPr="006875C4">
        <w:rPr>
          <w:highlight w:val="green"/>
        </w:rPr>
        <w:t xml:space="preserve">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proofErr w:type="spellStart"/>
      <w:r>
        <w:rPr>
          <w:rFonts w:hint="eastAsia"/>
        </w:rPr>
        <w:t>fundations</w:t>
      </w:r>
      <w:proofErr w:type="spellEnd"/>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w:t>
      </w:r>
      <w:proofErr w:type="spellStart"/>
      <w:r w:rsidR="00F31583">
        <w:t>cuz</w:t>
      </w:r>
      <w:proofErr w:type="spellEnd"/>
      <w:r w:rsidR="00F31583">
        <w:t xml:space="preserve"> in Armstrong’s definition, conservatism is not about providing information sooner or later, but whether the firm will </w:t>
      </w:r>
      <w:proofErr w:type="gramStart"/>
      <w:r w:rsidR="00F31583">
        <w:t>actually provide</w:t>
      </w:r>
      <w:proofErr w:type="gramEnd"/>
      <w:r w:rsidR="00F31583">
        <w:t xml:space="preserv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proofErr w:type="spellStart"/>
            <w:r>
              <w:t>v.s</w:t>
            </w:r>
            <w:proofErr w:type="spellEnd"/>
            <w:r>
              <w:t xml:space="preserve">.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proofErr w:type="spellStart"/>
      <w:r>
        <w:t>Radhakrisnan</w:t>
      </w:r>
      <w:proofErr w:type="spellEnd"/>
      <w:r>
        <w:t xml:space="preserve">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 xml:space="preserve">good </w:t>
      </w:r>
      <w:proofErr w:type="spellStart"/>
      <w:r w:rsidRPr="009C57C4">
        <w:rPr>
          <w:highlight w:val="yellow"/>
        </w:rPr>
        <w:t>v.s</w:t>
      </w:r>
      <w:proofErr w:type="spellEnd"/>
      <w:r w:rsidRPr="009C57C4">
        <w:rPr>
          <w:highlight w:val="yellow"/>
        </w:rPr>
        <w:t>.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Presentation on Feb (45 mins): outcome (</w:t>
      </w:r>
      <w:proofErr w:type="gramStart"/>
      <w:r>
        <w:t>final outcome</w:t>
      </w:r>
      <w:proofErr w:type="gramEnd"/>
      <w:r>
        <w:t xml:space="preserv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w:t>
      </w:r>
      <w:proofErr w:type="spellStart"/>
      <w:r w:rsidR="00505FB4">
        <w:t>Pitler</w:t>
      </w:r>
      <w:proofErr w:type="spellEnd"/>
      <w:r w:rsidR="00505FB4">
        <w:t xml:space="preserve"> and </w:t>
      </w:r>
      <w:proofErr w:type="spellStart"/>
      <w:r w:rsidR="00505FB4">
        <w:t>Nenkova</w:t>
      </w:r>
      <w:proofErr w:type="spellEnd"/>
      <w:r w:rsidR="00505FB4">
        <w:t>,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 xml:space="preserve">10-K forms: </w:t>
      </w:r>
      <w:proofErr w:type="spellStart"/>
      <w:r>
        <w:t>i</w:t>
      </w:r>
      <w:proofErr w:type="spellEnd"/>
      <w:r>
        <w:t>) txt ii) html iii)</w:t>
      </w:r>
      <w:r w:rsidR="00BA68A2">
        <w:t xml:space="preserve"> </w:t>
      </w:r>
      <w:proofErr w:type="spellStart"/>
      <w:r>
        <w:t>x</w:t>
      </w:r>
      <w:r w:rsidR="001B5C67">
        <w:t>brl</w:t>
      </w:r>
      <w:proofErr w:type="spellEnd"/>
      <w:r w:rsidR="001B5C67">
        <w:t xml:space="preserve">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w:t>
      </w:r>
      <w:proofErr w:type="spellStart"/>
      <w:r w:rsidR="00613BFD">
        <w:t>masulis</w:t>
      </w:r>
      <w:proofErr w:type="spellEnd"/>
      <w:r w:rsidR="00613BFD">
        <w:t xml:space="preserve"> and </w:t>
      </w:r>
      <w:proofErr w:type="spellStart"/>
      <w:r w:rsidR="00613BFD">
        <w:t>mo</w:t>
      </w:r>
      <w:r w:rsidR="00290922">
        <w:t>b</w:t>
      </w:r>
      <w:r w:rsidR="00613BFD">
        <w:t>bs</w:t>
      </w:r>
      <w:proofErr w:type="spellEnd"/>
      <w:r w:rsidR="00613BFD">
        <w:t>)</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proofErr w:type="gramStart"/>
      <w:r w:rsidR="00C671EB">
        <w:t>more timely</w:t>
      </w:r>
      <w:proofErr w:type="gramEnd"/>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w:t>
      </w:r>
      <w:proofErr w:type="gramStart"/>
      <w:r w:rsidRPr="002860B0">
        <w:rPr>
          <w:highlight w:val="yellow"/>
        </w:rPr>
        <w:t>more timely</w:t>
      </w:r>
      <w:proofErr w:type="gramEnd"/>
      <w:r w:rsidRPr="002860B0">
        <w:rPr>
          <w:highlight w:val="yellow"/>
        </w:rPr>
        <w:t>)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xml:space="preserve">, i.e. good news, under US GAAP firms are not allowed to recognize gains in financial statements for fixed or intangible assets. Revaluation of fixed and intangible assets is permitted under </w:t>
      </w:r>
      <w:proofErr w:type="gramStart"/>
      <w:r w:rsidR="00004599">
        <w:t>IFRS</w:t>
      </w:r>
      <w:proofErr w:type="gramEnd"/>
      <w:r w:rsidR="00004599">
        <w:t xml:space="preserve">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proofErr w:type="gramStart"/>
      <w:r w:rsidR="00B36AC3">
        <w:t>in order to</w:t>
      </w:r>
      <w:proofErr w:type="gramEnd"/>
      <w:r w:rsidR="00B36AC3">
        <w:t xml:space="preserve"> communicate good news in a timely manner. Given the asymmetry treatment of good and bad news in accounting standards applied to numeric </w:t>
      </w:r>
      <w:r w:rsidR="00BB1998">
        <w:t>disclosure</w:t>
      </w:r>
      <w:r w:rsidR="00B36AC3">
        <w:t xml:space="preserve">, </w:t>
      </w:r>
      <w:r w:rsidR="00AC1C6E">
        <w:t xml:space="preserve">I hypothesize that </w:t>
      </w:r>
      <w:proofErr w:type="gramStart"/>
      <w:r w:rsidR="00AC1C6E">
        <w:t xml:space="preserve">in order </w:t>
      </w:r>
      <w:r w:rsidR="00B36AC3">
        <w:t>to</w:t>
      </w:r>
      <w:proofErr w:type="gramEnd"/>
      <w:r w:rsidR="00B36AC3">
        <w:t xml:space="preserve">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xml:space="preserve">: fixed asset </w:t>
      </w:r>
      <w:proofErr w:type="gramStart"/>
      <w:r>
        <w:rPr>
          <w:b/>
          <w:bCs/>
        </w:rPr>
        <w:t>not allowed</w:t>
      </w:r>
      <w:r w:rsidR="00346EFE">
        <w:rPr>
          <w:b/>
          <w:bCs/>
        </w:rPr>
        <w:t>,</w:t>
      </w:r>
      <w:proofErr w:type="gramEnd"/>
      <w:r w:rsidR="00346EFE">
        <w:rPr>
          <w:b/>
          <w:bCs/>
        </w:rPr>
        <w:t xml:space="preserve">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proofErr w:type="gramStart"/>
      <w:r>
        <w:t>:</w:t>
      </w:r>
      <w:r w:rsidR="00337D2B">
        <w:t xml:space="preserve"> </w:t>
      </w:r>
      <w:r w:rsidR="00350D19">
        <w:t>?????????</w:t>
      </w:r>
      <w:proofErr w:type="gramEnd"/>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xml:space="preserve">: fixed asset </w:t>
      </w:r>
      <w:proofErr w:type="gramStart"/>
      <w:r>
        <w:rPr>
          <w:b/>
          <w:bCs/>
        </w:rPr>
        <w:t>allowed,</w:t>
      </w:r>
      <w:proofErr w:type="gramEnd"/>
      <w:r>
        <w:rPr>
          <w:b/>
          <w:bCs/>
        </w:rPr>
        <w:t xml:space="preserve">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proofErr w:type="gramStart"/>
      <w:r>
        <w:t>Footnote;</w:t>
      </w:r>
      <w:proofErr w:type="gramEnd"/>
      <w:r>
        <w:t xml:space="preserv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proofErr w:type="spellStart"/>
      <w:r w:rsidRPr="00341EB8">
        <w:rPr>
          <w:rFonts w:hint="eastAsia"/>
        </w:rPr>
        <w:t>numericals</w:t>
      </w:r>
      <w:proofErr w:type="spellEnd"/>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w:t>
      </w:r>
      <w:proofErr w:type="spellStart"/>
      <w:r>
        <w:t>v.s</w:t>
      </w:r>
      <w:proofErr w:type="spellEnd"/>
      <w:r>
        <w:t>. MDA)</w:t>
      </w:r>
      <w:r w:rsidR="00F77D66">
        <w:t xml:space="preserve"> </w:t>
      </w:r>
      <w:r>
        <w:t>3) Audited (8K</w:t>
      </w:r>
      <w:r w:rsidR="002F4056">
        <w:t>, 10-Q</w:t>
      </w:r>
      <w:r>
        <w:t xml:space="preserve"> </w:t>
      </w:r>
      <w:proofErr w:type="spellStart"/>
      <w:r>
        <w:t>v.s</w:t>
      </w:r>
      <w:proofErr w:type="spellEnd"/>
      <w:r>
        <w:t>.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 xml:space="preserve">Pro: industry specific so that it is easy to associate </w:t>
      </w:r>
      <w:proofErr w:type="gramStart"/>
      <w:r>
        <w:t>a</w:t>
      </w:r>
      <w:proofErr w:type="gramEnd"/>
      <w:r>
        <w:t xml:space="preserve">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proofErr w:type="gramStart"/>
      <w:r w:rsidRPr="00E11F70">
        <w:rPr>
          <w:strike/>
        </w:rPr>
        <w:t>)</w:t>
      </w:r>
      <w:r w:rsidR="00E11F70">
        <w:rPr>
          <w:strike/>
        </w:rPr>
        <w:t xml:space="preserve">  </w:t>
      </w:r>
      <w:r w:rsidR="00E11F70" w:rsidRPr="00E11F70">
        <w:t>(</w:t>
      </w:r>
      <w:proofErr w:type="gramEnd"/>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w:t>
      </w:r>
      <w:proofErr w:type="gramStart"/>
      <w:r w:rsidRPr="00E11F70">
        <w:rPr>
          <w:strike/>
        </w:rPr>
        <w:t>more timely</w:t>
      </w:r>
      <w:proofErr w:type="gramEnd"/>
      <w:r w:rsidRPr="00E11F70">
        <w:rPr>
          <w:strike/>
        </w:rPr>
        <w:t xml:space="preserve">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proofErr w:type="spellStart"/>
      <w:r>
        <w:t>Akram</w:t>
      </w:r>
      <w:proofErr w:type="spellEnd"/>
      <w:r>
        <w:t xml:space="preserve"> – </w:t>
      </w:r>
      <w:proofErr w:type="spellStart"/>
      <w:r>
        <w:t>shortselling</w:t>
      </w:r>
      <w:proofErr w:type="spellEnd"/>
      <w:r>
        <w:t xml:space="preserve">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xml:space="preserve">, AUDIT reports </w:t>
      </w:r>
      <w:proofErr w:type="spellStart"/>
      <w:r w:rsidRPr="002C3E98">
        <w:rPr>
          <w:highlight w:val="yellow"/>
        </w:rPr>
        <w:t>lenthy</w:t>
      </w:r>
      <w:proofErr w:type="spellEnd"/>
    </w:p>
    <w:p w14:paraId="2F937A77" w14:textId="5CE307FB" w:rsidR="00FE016E" w:rsidRPr="00393762" w:rsidRDefault="00FE016E" w:rsidP="00122CB0">
      <w:pPr>
        <w:rPr>
          <w:highlight w:val="yellow"/>
        </w:rPr>
      </w:pPr>
      <w:proofErr w:type="spellStart"/>
      <w:r w:rsidRPr="00393762">
        <w:rPr>
          <w:highlight w:val="yellow"/>
        </w:rPr>
        <w:t>Ramar</w:t>
      </w:r>
      <w:proofErr w:type="spellEnd"/>
      <w:r w:rsidRPr="00393762">
        <w:rPr>
          <w:highlight w:val="yellow"/>
        </w:rPr>
        <w:t xml:space="preserve"> and watts paper good will </w:t>
      </w:r>
      <w:proofErr w:type="gramStart"/>
      <w:r w:rsidRPr="00393762">
        <w:rPr>
          <w:highlight w:val="yellow"/>
        </w:rPr>
        <w:t>impairment</w:t>
      </w:r>
      <w:r w:rsidR="00B9238D" w:rsidRPr="00393762">
        <w:rPr>
          <w:highlight w:val="yellow"/>
        </w:rPr>
        <w:t>;</w:t>
      </w:r>
      <w:proofErr w:type="gramEnd"/>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proofErr w:type="spellStart"/>
      <w:r w:rsidR="00A27F86">
        <w:rPr>
          <w:highlight w:val="yellow"/>
        </w:rPr>
        <w:t>doc_</w:t>
      </w:r>
      <w:r w:rsidRPr="00B24BA3">
        <w:rPr>
          <w:highlight w:val="yellow"/>
        </w:rPr>
        <w:t>measures</w:t>
      </w:r>
      <w:proofErr w:type="spellEnd"/>
      <w:r w:rsidRPr="00B24BA3">
        <w:rPr>
          <w:highlight w:val="yellow"/>
        </w:rPr>
        <w:t>: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A56E53"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proofErr w:type="spellStart"/>
      <w:r w:rsidRPr="004724E5">
        <w:rPr>
          <w:lang w:val="es-ES"/>
        </w:rPr>
        <w:t>Discuss</w:t>
      </w:r>
      <w:proofErr w:type="spellEnd"/>
      <w:r w:rsidRPr="004724E5">
        <w:rPr>
          <w:lang w:val="es-ES"/>
        </w:rPr>
        <w:t xml:space="preserve"> </w:t>
      </w:r>
      <w:proofErr w:type="spellStart"/>
      <w:r w:rsidRPr="004724E5">
        <w:rPr>
          <w:lang w:val="es-ES"/>
        </w:rPr>
        <w:t>D’Augusta</w:t>
      </w:r>
      <w:proofErr w:type="spellEnd"/>
      <w:r w:rsidRPr="004724E5">
        <w:rPr>
          <w:lang w:val="es-ES"/>
        </w:rPr>
        <w:t xml:space="preserve"> et al. 2020 </w:t>
      </w:r>
      <w:proofErr w:type="spellStart"/>
      <w:r w:rsidRPr="004724E5">
        <w:rPr>
          <w:lang w:val="es-ES"/>
        </w:rPr>
        <w:t>paper</w:t>
      </w:r>
      <w:proofErr w:type="spellEnd"/>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 xml:space="preserve">Applying this </w:t>
      </w:r>
      <w:proofErr w:type="spellStart"/>
      <w:r w:rsidRPr="00FB6762">
        <w:rPr>
          <w:highlight w:val="lightGray"/>
        </w:rPr>
        <w:t>abtone</w:t>
      </w:r>
      <w:proofErr w:type="spellEnd"/>
      <w:r w:rsidRPr="00FB6762">
        <w:rPr>
          <w:highlight w:val="lightGray"/>
        </w:rPr>
        <w:t xml:space="preserv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 xml:space="preserve">Read Ball and </w:t>
      </w:r>
      <w:proofErr w:type="spellStart"/>
      <w:r>
        <w:t>Shivakumar</w:t>
      </w:r>
      <w:proofErr w:type="spellEnd"/>
      <w:r>
        <w:t xml:space="preserve">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 xml:space="preserve">Run </w:t>
      </w:r>
      <w:proofErr w:type="gramStart"/>
      <w:r w:rsidRPr="00255765">
        <w:rPr>
          <w:highlight w:val="lightGray"/>
        </w:rPr>
        <w:t>Eq(</w:t>
      </w:r>
      <w:proofErr w:type="gramEnd"/>
      <w:r w:rsidRPr="00255765">
        <w:rPr>
          <w:highlight w:val="lightGray"/>
        </w:rPr>
        <w:t>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proofErr w:type="spellStart"/>
      <w:r>
        <w:t>Tf-i</w:t>
      </w:r>
      <w:r w:rsidR="00D0657E">
        <w:t>d</w:t>
      </w:r>
      <w:r>
        <w:t>f</w:t>
      </w:r>
      <w:proofErr w:type="spellEnd"/>
      <w:r>
        <w:t xml:space="preserve">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A56E53"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w:t>
      </w:r>
      <w:proofErr w:type="gramStart"/>
      <w:r w:rsidRPr="00761860">
        <w:rPr>
          <w:highlight w:val="darkGray"/>
        </w:rPr>
        <w:t>Eq(</w:t>
      </w:r>
      <w:proofErr w:type="gramEnd"/>
      <w:r w:rsidRPr="00761860">
        <w:rPr>
          <w:highlight w:val="darkGray"/>
        </w:rPr>
        <w:t xml:space="preserve">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 xml:space="preserve">Read Ball and </w:t>
      </w:r>
      <w:proofErr w:type="spellStart"/>
      <w:r w:rsidRPr="00A47E1A">
        <w:t>Shivakumar</w:t>
      </w:r>
      <w:proofErr w:type="spellEnd"/>
      <w:r w:rsidRPr="00A47E1A">
        <w:t xml:space="preserve">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proofErr w:type="spellStart"/>
      <w:r>
        <w:t>Tf-idf</w:t>
      </w:r>
      <w:proofErr w:type="spellEnd"/>
      <w:r>
        <w:t xml:space="preserve">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proofErr w:type="spellStart"/>
      <w:r w:rsidRPr="00E562AC">
        <w:t>C</w:t>
      </w:r>
      <w:r>
        <w:t>_</w:t>
      </w:r>
      <w:r w:rsidRPr="00E562AC">
        <w:t>score</w:t>
      </w:r>
      <w:proofErr w:type="spellEnd"/>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w:t>
      </w:r>
      <w:proofErr w:type="gramStart"/>
      <w:r w:rsidR="00244226">
        <w:t>neutrality</w:t>
      </w:r>
      <w:proofErr w:type="gramEnd"/>
      <w:r w:rsidR="00244226">
        <w:t xml:space="preserve"> and timeliness requirement in CS?</w:t>
      </w:r>
      <w:r w:rsidRPr="005D772C">
        <w:t xml:space="preserve"> Timeliness </w:t>
      </w:r>
      <w:proofErr w:type="gramStart"/>
      <w:r w:rsidRPr="005D772C">
        <w:t>definitely fits</w:t>
      </w:r>
      <w:proofErr w:type="gramEnd"/>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w:t>
      </w:r>
      <w:proofErr w:type="gramStart"/>
      <w:r>
        <w:t>size;</w:t>
      </w:r>
      <w:proofErr w:type="gramEnd"/>
      <w:r>
        <w:t xml:space="preserv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 xml:space="preserve">Should we apply the Conceptual Framework properties in theoretical framework? Does our finding contradict the completeness, </w:t>
      </w:r>
      <w:proofErr w:type="gramStart"/>
      <w:r w:rsidRPr="00A3571A">
        <w:rPr>
          <w:rFonts w:ascii="Calibri" w:eastAsia="Times New Roman" w:hAnsi="Calibri" w:cs="Calibri"/>
          <w:color w:val="500050"/>
        </w:rPr>
        <w:t>neutrality</w:t>
      </w:r>
      <w:proofErr w:type="gramEnd"/>
      <w:r w:rsidRPr="00A3571A">
        <w:rPr>
          <w:rFonts w:ascii="Calibri" w:eastAsia="Times New Roman" w:hAnsi="Calibri" w:cs="Calibri"/>
          <w:color w:val="500050"/>
        </w:rPr>
        <w:t xml:space="preserve"> and timeliness requirement in CS? (I realized that neutrality contradicts conservatism and discussed that in footnote </w:t>
      </w:r>
      <w:proofErr w:type="gramStart"/>
      <w:r w:rsidRPr="00A3571A">
        <w:rPr>
          <w:rFonts w:ascii="Calibri" w:eastAsia="Times New Roman" w:hAnsi="Calibri" w:cs="Calibri"/>
          <w:color w:val="500050"/>
        </w:rPr>
        <w:t>12, but</w:t>
      </w:r>
      <w:proofErr w:type="gramEnd"/>
      <w:r w:rsidRPr="00A3571A">
        <w:rPr>
          <w:rFonts w:ascii="Calibri" w:eastAsia="Times New Roman" w:hAnsi="Calibri" w:cs="Calibri"/>
          <w:color w:val="500050"/>
        </w:rPr>
        <w:t xml:space="preserve">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w:t>
      </w:r>
      <w:proofErr w:type="spellStart"/>
      <w:r w:rsidRPr="00A3571A">
        <w:rPr>
          <w:rFonts w:ascii="Arial" w:eastAsia="Times New Roman" w:hAnsi="Arial" w:cs="Arial"/>
          <w:color w:val="222222"/>
          <w:sz w:val="24"/>
          <w:szCs w:val="24"/>
        </w:rPr>
        <w:t>Cascino</w:t>
      </w:r>
      <w:proofErr w:type="spellEnd"/>
      <w:r w:rsidRPr="00A3571A">
        <w:rPr>
          <w:rFonts w:ascii="Arial" w:eastAsia="Times New Roman" w:hAnsi="Arial" w:cs="Arial"/>
          <w:color w:val="222222"/>
          <w:sz w:val="24"/>
          <w:szCs w:val="24"/>
        </w:rPr>
        <w:t xml:space="preserve"> et al. 2014, 2020 papers are on this and we cite this debate), and also, the </w:t>
      </w:r>
      <w:proofErr w:type="spellStart"/>
      <w:r w:rsidRPr="00A3571A">
        <w:rPr>
          <w:rFonts w:ascii="Arial" w:eastAsia="Times New Roman" w:hAnsi="Arial" w:cs="Arial"/>
          <w:color w:val="222222"/>
          <w:sz w:val="24"/>
          <w:szCs w:val="24"/>
        </w:rPr>
        <w:t>extend</w:t>
      </w:r>
      <w:proofErr w:type="spellEnd"/>
      <w:r w:rsidRPr="00A3571A">
        <w:rPr>
          <w:rFonts w:ascii="Arial" w:eastAsia="Times New Roman" w:hAnsi="Arial" w:cs="Arial"/>
          <w:color w:val="222222"/>
          <w:sz w:val="24"/>
          <w:szCs w:val="24"/>
        </w:rPr>
        <w:t xml:space="preserve"> to which conservatism is a desirable property of accounting information (here, work from </w:t>
      </w:r>
      <w:proofErr w:type="spellStart"/>
      <w:r w:rsidRPr="00A3571A">
        <w:rPr>
          <w:rFonts w:ascii="Arial" w:eastAsia="Times New Roman" w:hAnsi="Arial" w:cs="Arial"/>
          <w:color w:val="222222"/>
          <w:sz w:val="24"/>
          <w:szCs w:val="24"/>
        </w:rPr>
        <w:t>Basu</w:t>
      </w:r>
      <w:proofErr w:type="spellEnd"/>
      <w:r w:rsidRPr="00A3571A">
        <w:rPr>
          <w:rFonts w:ascii="Arial" w:eastAsia="Times New Roman" w:hAnsi="Arial" w:cs="Arial"/>
          <w:color w:val="222222"/>
          <w:sz w:val="24"/>
          <w:szCs w:val="24"/>
        </w:rPr>
        <w:t xml:space="preserve">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w:t>
      </w:r>
      <w:proofErr w:type="spellStart"/>
      <w:r w:rsidRPr="00A3571A">
        <w:rPr>
          <w:rFonts w:ascii="Arial" w:eastAsia="Times New Roman" w:hAnsi="Arial" w:cs="Arial"/>
          <w:color w:val="222222"/>
          <w:sz w:val="24"/>
          <w:szCs w:val="24"/>
        </w:rPr>
        <w:t>discus</w:t>
      </w:r>
      <w:proofErr w:type="spellEnd"/>
      <w:r w:rsidRPr="00A3571A">
        <w:rPr>
          <w:rFonts w:ascii="Arial" w:eastAsia="Times New Roman" w:hAnsi="Arial" w:cs="Arial"/>
          <w:color w:val="222222"/>
          <w:sz w:val="24"/>
          <w:szCs w:val="24"/>
        </w:rPr>
        <w:t>.</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This links to </w:t>
      </w:r>
      <w:proofErr w:type="gramStart"/>
      <w:r w:rsidRPr="00A3571A">
        <w:rPr>
          <w:rFonts w:ascii="Arial" w:eastAsia="Times New Roman" w:hAnsi="Arial" w:cs="Arial"/>
          <w:color w:val="222222"/>
          <w:sz w:val="24"/>
          <w:szCs w:val="24"/>
        </w:rPr>
        <w:t>a number of</w:t>
      </w:r>
      <w:proofErr w:type="gramEnd"/>
      <w:r w:rsidRPr="00A3571A">
        <w:rPr>
          <w:rFonts w:ascii="Arial" w:eastAsia="Times New Roman" w:hAnsi="Arial" w:cs="Arial"/>
          <w:color w:val="222222"/>
          <w:sz w:val="24"/>
          <w:szCs w:val="24"/>
        </w:rPr>
        <w:t xml:space="preserve">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w:t>
      </w:r>
      <w:proofErr w:type="gramStart"/>
      <w:r w:rsidRPr="00A3571A">
        <w:rPr>
          <w:rFonts w:ascii="Arial" w:eastAsia="Times New Roman" w:hAnsi="Arial" w:cs="Arial"/>
          <w:color w:val="222222"/>
          <w:sz w:val="24"/>
          <w:szCs w:val="24"/>
        </w:rPr>
        <w:t>, in itself, an</w:t>
      </w:r>
      <w:proofErr w:type="gramEnd"/>
      <w:r w:rsidRPr="00A3571A">
        <w:rPr>
          <w:rFonts w:ascii="Arial" w:eastAsia="Times New Roman" w:hAnsi="Arial" w:cs="Arial"/>
          <w:color w:val="222222"/>
          <w:sz w:val="24"/>
          <w:szCs w:val="24"/>
        </w:rPr>
        <w:t xml:space="preserve">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 xml:space="preserve">Read Ball and </w:t>
      </w:r>
      <w:proofErr w:type="spellStart"/>
      <w:r w:rsidRPr="00A47E1A">
        <w:t>Shivakumar</w:t>
      </w:r>
      <w:proofErr w:type="spellEnd"/>
      <w:r w:rsidRPr="00A47E1A">
        <w:t xml:space="preserve"> 2006</w:t>
      </w:r>
    </w:p>
    <w:p w14:paraId="1FF8B45A" w14:textId="49684C52" w:rsidR="00347AFD" w:rsidRDefault="00347AFD" w:rsidP="0018402A">
      <w:pPr>
        <w:pStyle w:val="ListParagraph"/>
        <w:numPr>
          <w:ilvl w:val="0"/>
          <w:numId w:val="28"/>
        </w:numPr>
      </w:pPr>
      <w:r>
        <w:t xml:space="preserve">Alternative news proxy: Bao et al. 2019 short interest and insider purchase </w:t>
      </w:r>
      <w:proofErr w:type="spellStart"/>
      <w:r>
        <w:t>cohen</w:t>
      </w:r>
      <w:proofErr w:type="spellEnd"/>
      <w:r>
        <w:t xml:space="preserve"> et al. </w:t>
      </w:r>
    </w:p>
    <w:p w14:paraId="4144BE94" w14:textId="6EC8B4E6" w:rsidR="00347AFD" w:rsidRDefault="00347AFD" w:rsidP="00347AFD">
      <w:pPr>
        <w:pStyle w:val="ListParagraph"/>
        <w:numPr>
          <w:ilvl w:val="1"/>
          <w:numId w:val="28"/>
        </w:numPr>
      </w:pPr>
      <w:r>
        <w:t xml:space="preserve">Does it </w:t>
      </w:r>
      <w:proofErr w:type="gramStart"/>
      <w:r>
        <w:t>reveals</w:t>
      </w:r>
      <w:proofErr w:type="gramEnd"/>
      <w:r>
        <w:t xml:space="preserve"> good/bad news?</w:t>
      </w:r>
    </w:p>
    <w:p w14:paraId="025CFFB5" w14:textId="548E6821" w:rsidR="00347AFD" w:rsidRPr="00A47E1A" w:rsidRDefault="00347AFD" w:rsidP="00347AFD">
      <w:pPr>
        <w:pStyle w:val="ListParagraph"/>
        <w:numPr>
          <w:ilvl w:val="1"/>
          <w:numId w:val="28"/>
        </w:numPr>
      </w:pPr>
      <w:r>
        <w:t xml:space="preserve">Does managers know the good/bad </w:t>
      </w:r>
      <w:proofErr w:type="gramStart"/>
      <w:r>
        <w:t>news</w:t>
      </w:r>
      <w:proofErr w:type="gramEnd"/>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proofErr w:type="spellStart"/>
      <w:r>
        <w:t>Tf-idf</w:t>
      </w:r>
      <w:proofErr w:type="spellEnd"/>
      <w:r>
        <w:t xml:space="preserve">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 xml:space="preserve">Relationship between reporting cons. And narrative cons? </w:t>
      </w:r>
      <w:proofErr w:type="spellStart"/>
      <w:r w:rsidRPr="00FD6D63">
        <w:rPr>
          <w:highlight w:val="yellow"/>
        </w:rPr>
        <w:t>C_score</w:t>
      </w:r>
      <w:proofErr w:type="spellEnd"/>
    </w:p>
    <w:p w14:paraId="0706E336" w14:textId="0AFECB7C" w:rsidR="00347AFD" w:rsidRDefault="00347AFD" w:rsidP="0018402A">
      <w:pPr>
        <w:pStyle w:val="ListParagraph"/>
        <w:numPr>
          <w:ilvl w:val="0"/>
          <w:numId w:val="28"/>
        </w:numPr>
      </w:pPr>
      <w:r>
        <w:t xml:space="preserve">Incentive cross sectional tests: </w:t>
      </w:r>
      <w:proofErr w:type="spellStart"/>
      <w:r>
        <w:t>kothari</w:t>
      </w:r>
      <w:proofErr w:type="spellEnd"/>
      <w:r>
        <w:t xml:space="preserve">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6AA0E968" w14:textId="77777777" w:rsidR="00C94EB2" w:rsidRDefault="00C94EB2" w:rsidP="00C94EB2">
      <w:pPr>
        <w:pStyle w:val="ListParagraph"/>
        <w:numPr>
          <w:ilvl w:val="0"/>
          <w:numId w:val="29"/>
        </w:numPr>
      </w:pPr>
      <w:r w:rsidRPr="00A47E1A">
        <w:t xml:space="preserve">Read Ball and </w:t>
      </w:r>
      <w:proofErr w:type="spellStart"/>
      <w:r w:rsidRPr="00A47E1A">
        <w:t>Shivakumar</w:t>
      </w:r>
      <w:proofErr w:type="spellEnd"/>
      <w:r w:rsidRPr="00A47E1A">
        <w:t xml:space="preserve"> 2006</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w:t>
      </w:r>
      <w:proofErr w:type="spellStart"/>
      <w:r w:rsidRPr="00E16FA2">
        <w:rPr>
          <w:highlight w:val="lightGray"/>
        </w:rPr>
        <w:t>cohen</w:t>
      </w:r>
      <w:proofErr w:type="spellEnd"/>
      <w:r w:rsidRPr="00E16FA2">
        <w:rPr>
          <w:highlight w:val="lightGray"/>
        </w:rPr>
        <w:t xml:space="preserve">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proofErr w:type="spellStart"/>
      <w:r>
        <w:t>Tf-idf</w:t>
      </w:r>
      <w:proofErr w:type="spellEnd"/>
      <w:r>
        <w:t xml:space="preserve"> (LM 2011)</w:t>
      </w:r>
    </w:p>
    <w:p w14:paraId="20DB6C8E" w14:textId="77777777" w:rsidR="00C94EB2" w:rsidRDefault="00C94EB2" w:rsidP="00C94EB2">
      <w:pPr>
        <w:pStyle w:val="ListParagraph"/>
        <w:numPr>
          <w:ilvl w:val="0"/>
          <w:numId w:val="29"/>
        </w:numPr>
      </w:pPr>
      <w:r>
        <w:t xml:space="preserve">Adding </w:t>
      </w:r>
      <w:r w:rsidRPr="0015742F">
        <w:t>readability</w:t>
      </w:r>
      <w:r>
        <w:t xml:space="preserve">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proofErr w:type="spellStart"/>
      <w:r w:rsidR="00C31C2C" w:rsidRPr="003213D9">
        <w:rPr>
          <w:highlight w:val="darkYellow"/>
        </w:rPr>
        <w:t>v.s</w:t>
      </w:r>
      <w:proofErr w:type="spellEnd"/>
      <w:r w:rsidR="00C31C2C" w:rsidRPr="003213D9">
        <w:rPr>
          <w:highlight w:val="darkYellow"/>
        </w:rPr>
        <w:t>.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w:t>
      </w:r>
      <w:proofErr w:type="spellStart"/>
      <w:r w:rsidRPr="00F06DE7">
        <w:rPr>
          <w:highlight w:val="darkYellow"/>
        </w:rPr>
        <w:t>C_score</w:t>
      </w:r>
      <w:proofErr w:type="spellEnd"/>
    </w:p>
    <w:p w14:paraId="38DE2539" w14:textId="77777777" w:rsidR="00C94EB2" w:rsidRPr="00647CFC" w:rsidRDefault="00C94EB2" w:rsidP="00C94EB2">
      <w:pPr>
        <w:pStyle w:val="ListParagraph"/>
        <w:numPr>
          <w:ilvl w:val="0"/>
          <w:numId w:val="29"/>
        </w:numPr>
        <w:rPr>
          <w:highlight w:val="yellow"/>
        </w:rPr>
      </w:pPr>
      <w:r w:rsidRPr="00647CFC">
        <w:rPr>
          <w:highlight w:val="yellow"/>
        </w:rPr>
        <w:t xml:space="preserve">Incentive cross sectional tests: </w:t>
      </w:r>
      <w:proofErr w:type="spellStart"/>
      <w:r w:rsidRPr="00647CFC">
        <w:rPr>
          <w:highlight w:val="yellow"/>
        </w:rPr>
        <w:t>kothari</w:t>
      </w:r>
      <w:proofErr w:type="spellEnd"/>
      <w:r w:rsidRPr="00647CFC">
        <w:rPr>
          <w:highlight w:val="yellow"/>
        </w:rPr>
        <w:t xml:space="preserve"> et al 2008</w:t>
      </w:r>
    </w:p>
    <w:p w14:paraId="3D46DB51" w14:textId="77777777" w:rsidR="00C94EB2" w:rsidRPr="00647CFC" w:rsidRDefault="00C94EB2" w:rsidP="00C94EB2">
      <w:pPr>
        <w:pStyle w:val="ListParagraph"/>
        <w:numPr>
          <w:ilvl w:val="1"/>
          <w:numId w:val="29"/>
        </w:numPr>
        <w:rPr>
          <w:highlight w:val="yellow"/>
        </w:rPr>
      </w:pPr>
      <w:r w:rsidRPr="00647CFC">
        <w:rPr>
          <w:highlight w:val="yellow"/>
        </w:rPr>
        <w:t>Litigation (more conservative)</w:t>
      </w:r>
    </w:p>
    <w:p w14:paraId="62588392" w14:textId="77777777" w:rsidR="00C94EB2" w:rsidRPr="00647CFC" w:rsidRDefault="00C94EB2" w:rsidP="00C94EB2">
      <w:pPr>
        <w:pStyle w:val="ListParagraph"/>
        <w:numPr>
          <w:ilvl w:val="1"/>
          <w:numId w:val="29"/>
        </w:numPr>
        <w:rPr>
          <w:highlight w:val="yellow"/>
        </w:rPr>
      </w:pPr>
      <w:r w:rsidRPr="00647CFC">
        <w:rPr>
          <w:highlight w:val="yellow"/>
        </w:rPr>
        <w:t>Option grant (more conservative)</w:t>
      </w:r>
    </w:p>
    <w:p w14:paraId="78BC6D60" w14:textId="77777777" w:rsidR="00C94EB2" w:rsidRPr="00647CFC" w:rsidRDefault="00C94EB2" w:rsidP="00C94EB2">
      <w:pPr>
        <w:pStyle w:val="ListParagraph"/>
        <w:numPr>
          <w:ilvl w:val="1"/>
          <w:numId w:val="29"/>
        </w:numPr>
        <w:rPr>
          <w:highlight w:val="yellow"/>
        </w:rPr>
      </w:pPr>
      <w:r w:rsidRPr="00647CFC">
        <w:rPr>
          <w:highlight w:val="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1076E2F4" w:rsidR="00A56E53" w:rsidRPr="005D772C"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sectPr w:rsidR="00A56E53" w:rsidRPr="005D772C"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F83A1" w14:textId="77777777" w:rsidR="00964675" w:rsidRDefault="00964675" w:rsidP="00012262">
      <w:pPr>
        <w:spacing w:after="0" w:line="240" w:lineRule="auto"/>
      </w:pPr>
      <w:r>
        <w:separator/>
      </w:r>
    </w:p>
  </w:endnote>
  <w:endnote w:type="continuationSeparator" w:id="0">
    <w:p w14:paraId="543929FE" w14:textId="77777777" w:rsidR="00964675" w:rsidRDefault="00964675"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54C5B" w14:textId="77777777" w:rsidR="00964675" w:rsidRDefault="00964675" w:rsidP="00012262">
      <w:pPr>
        <w:spacing w:after="0" w:line="240" w:lineRule="auto"/>
      </w:pPr>
      <w:r>
        <w:separator/>
      </w:r>
    </w:p>
  </w:footnote>
  <w:footnote w:type="continuationSeparator" w:id="0">
    <w:p w14:paraId="5A0BC412" w14:textId="77777777" w:rsidR="00964675" w:rsidRDefault="00964675"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num>
  <w:num w:numId="3">
    <w:abstractNumId w:val="9"/>
  </w:num>
  <w:num w:numId="4">
    <w:abstractNumId w:val="16"/>
  </w:num>
  <w:num w:numId="5">
    <w:abstractNumId w:val="17"/>
  </w:num>
  <w:num w:numId="6">
    <w:abstractNumId w:val="14"/>
  </w:num>
  <w:num w:numId="7">
    <w:abstractNumId w:val="26"/>
  </w:num>
  <w:num w:numId="8">
    <w:abstractNumId w:val="2"/>
  </w:num>
  <w:num w:numId="9">
    <w:abstractNumId w:val="15"/>
  </w:num>
  <w:num w:numId="10">
    <w:abstractNumId w:val="23"/>
  </w:num>
  <w:num w:numId="11">
    <w:abstractNumId w:val="25"/>
  </w:num>
  <w:num w:numId="12">
    <w:abstractNumId w:val="8"/>
  </w:num>
  <w:num w:numId="13">
    <w:abstractNumId w:val="1"/>
  </w:num>
  <w:num w:numId="14">
    <w:abstractNumId w:val="22"/>
  </w:num>
  <w:num w:numId="15">
    <w:abstractNumId w:val="11"/>
  </w:num>
  <w:num w:numId="16">
    <w:abstractNumId w:val="20"/>
  </w:num>
  <w:num w:numId="17">
    <w:abstractNumId w:val="0"/>
  </w:num>
  <w:num w:numId="18">
    <w:abstractNumId w:val="12"/>
  </w:num>
  <w:num w:numId="19">
    <w:abstractNumId w:val="4"/>
  </w:num>
  <w:num w:numId="20">
    <w:abstractNumId w:val="18"/>
  </w:num>
  <w:num w:numId="21">
    <w:abstractNumId w:val="6"/>
  </w:num>
  <w:num w:numId="22">
    <w:abstractNumId w:val="5"/>
  </w:num>
  <w:num w:numId="23">
    <w:abstractNumId w:val="28"/>
  </w:num>
  <w:num w:numId="24">
    <w:abstractNumId w:val="7"/>
  </w:num>
  <w:num w:numId="25">
    <w:abstractNumId w:val="21"/>
  </w:num>
  <w:num w:numId="26">
    <w:abstractNumId w:val="10"/>
  </w:num>
  <w:num w:numId="27">
    <w:abstractNumId w:val="27"/>
  </w:num>
  <w:num w:numId="28">
    <w:abstractNumId w:val="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4599"/>
    <w:rsid w:val="00007D10"/>
    <w:rsid w:val="00010543"/>
    <w:rsid w:val="000109F0"/>
    <w:rsid w:val="00012262"/>
    <w:rsid w:val="0001686B"/>
    <w:rsid w:val="00016D1D"/>
    <w:rsid w:val="000229DC"/>
    <w:rsid w:val="00025E60"/>
    <w:rsid w:val="000313EC"/>
    <w:rsid w:val="0003724C"/>
    <w:rsid w:val="000374C7"/>
    <w:rsid w:val="00040F21"/>
    <w:rsid w:val="00041A54"/>
    <w:rsid w:val="00050A07"/>
    <w:rsid w:val="0007251D"/>
    <w:rsid w:val="000726BF"/>
    <w:rsid w:val="0007633F"/>
    <w:rsid w:val="00076EC8"/>
    <w:rsid w:val="00081F2B"/>
    <w:rsid w:val="00084E53"/>
    <w:rsid w:val="00086138"/>
    <w:rsid w:val="000946D1"/>
    <w:rsid w:val="0009795B"/>
    <w:rsid w:val="000A5150"/>
    <w:rsid w:val="000B4918"/>
    <w:rsid w:val="000C395D"/>
    <w:rsid w:val="000C6D4F"/>
    <w:rsid w:val="000D495B"/>
    <w:rsid w:val="000D5E5D"/>
    <w:rsid w:val="000E00BE"/>
    <w:rsid w:val="00100E3D"/>
    <w:rsid w:val="00114ED7"/>
    <w:rsid w:val="001151BA"/>
    <w:rsid w:val="00122CB0"/>
    <w:rsid w:val="00123A13"/>
    <w:rsid w:val="00127075"/>
    <w:rsid w:val="00131DD5"/>
    <w:rsid w:val="00132107"/>
    <w:rsid w:val="00133C39"/>
    <w:rsid w:val="0013591A"/>
    <w:rsid w:val="001407C2"/>
    <w:rsid w:val="001411F9"/>
    <w:rsid w:val="00141E81"/>
    <w:rsid w:val="00141FD9"/>
    <w:rsid w:val="001537B2"/>
    <w:rsid w:val="00153C35"/>
    <w:rsid w:val="0015742F"/>
    <w:rsid w:val="001616BB"/>
    <w:rsid w:val="001635AC"/>
    <w:rsid w:val="0016775B"/>
    <w:rsid w:val="00167D73"/>
    <w:rsid w:val="0018402A"/>
    <w:rsid w:val="00186157"/>
    <w:rsid w:val="001868DE"/>
    <w:rsid w:val="00194D91"/>
    <w:rsid w:val="001952C2"/>
    <w:rsid w:val="0019648A"/>
    <w:rsid w:val="001A1A09"/>
    <w:rsid w:val="001A1BDC"/>
    <w:rsid w:val="001A6ADC"/>
    <w:rsid w:val="001B3319"/>
    <w:rsid w:val="001B5C67"/>
    <w:rsid w:val="001B5DAA"/>
    <w:rsid w:val="001C0246"/>
    <w:rsid w:val="001F20D7"/>
    <w:rsid w:val="001F4F59"/>
    <w:rsid w:val="002048E1"/>
    <w:rsid w:val="00226308"/>
    <w:rsid w:val="00240179"/>
    <w:rsid w:val="002424BE"/>
    <w:rsid w:val="00242937"/>
    <w:rsid w:val="002429B0"/>
    <w:rsid w:val="00242B91"/>
    <w:rsid w:val="00244226"/>
    <w:rsid w:val="0024583D"/>
    <w:rsid w:val="00246F4F"/>
    <w:rsid w:val="00247E70"/>
    <w:rsid w:val="00255765"/>
    <w:rsid w:val="0025746E"/>
    <w:rsid w:val="00257CCD"/>
    <w:rsid w:val="00274085"/>
    <w:rsid w:val="002860B0"/>
    <w:rsid w:val="00290922"/>
    <w:rsid w:val="002A1069"/>
    <w:rsid w:val="002A2E1D"/>
    <w:rsid w:val="002A3F45"/>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4792"/>
    <w:rsid w:val="003073A6"/>
    <w:rsid w:val="003079AC"/>
    <w:rsid w:val="00314C3E"/>
    <w:rsid w:val="00315AB8"/>
    <w:rsid w:val="00316826"/>
    <w:rsid w:val="00317E9C"/>
    <w:rsid w:val="003213D9"/>
    <w:rsid w:val="00322DB4"/>
    <w:rsid w:val="00324161"/>
    <w:rsid w:val="00326F08"/>
    <w:rsid w:val="00327CF3"/>
    <w:rsid w:val="00331F6E"/>
    <w:rsid w:val="0033341E"/>
    <w:rsid w:val="00334F17"/>
    <w:rsid w:val="00335BD6"/>
    <w:rsid w:val="00337D2B"/>
    <w:rsid w:val="00341EB8"/>
    <w:rsid w:val="00344B8C"/>
    <w:rsid w:val="00346EFE"/>
    <w:rsid w:val="00347AFD"/>
    <w:rsid w:val="00350D19"/>
    <w:rsid w:val="00362024"/>
    <w:rsid w:val="00375919"/>
    <w:rsid w:val="003837E0"/>
    <w:rsid w:val="00383D45"/>
    <w:rsid w:val="0039099B"/>
    <w:rsid w:val="00393762"/>
    <w:rsid w:val="003B2709"/>
    <w:rsid w:val="003B2E0E"/>
    <w:rsid w:val="003B3CEF"/>
    <w:rsid w:val="003B3ECB"/>
    <w:rsid w:val="003C1246"/>
    <w:rsid w:val="003C1DB0"/>
    <w:rsid w:val="003C6A8A"/>
    <w:rsid w:val="003C7607"/>
    <w:rsid w:val="003D2F40"/>
    <w:rsid w:val="003E0240"/>
    <w:rsid w:val="003E2E8A"/>
    <w:rsid w:val="003F10EF"/>
    <w:rsid w:val="003F2CAC"/>
    <w:rsid w:val="003F2F09"/>
    <w:rsid w:val="003F374B"/>
    <w:rsid w:val="003F7012"/>
    <w:rsid w:val="00407024"/>
    <w:rsid w:val="0041657D"/>
    <w:rsid w:val="00425F7A"/>
    <w:rsid w:val="00427AAE"/>
    <w:rsid w:val="00430666"/>
    <w:rsid w:val="004308B8"/>
    <w:rsid w:val="004327DC"/>
    <w:rsid w:val="0043625A"/>
    <w:rsid w:val="0043658F"/>
    <w:rsid w:val="00446C86"/>
    <w:rsid w:val="00454A0E"/>
    <w:rsid w:val="0045644E"/>
    <w:rsid w:val="004627F5"/>
    <w:rsid w:val="00463004"/>
    <w:rsid w:val="00464AFA"/>
    <w:rsid w:val="004724E5"/>
    <w:rsid w:val="0047391B"/>
    <w:rsid w:val="00473991"/>
    <w:rsid w:val="00482DD4"/>
    <w:rsid w:val="0048795E"/>
    <w:rsid w:val="0049410C"/>
    <w:rsid w:val="004A3ADF"/>
    <w:rsid w:val="004A517F"/>
    <w:rsid w:val="004B7A8D"/>
    <w:rsid w:val="004D0257"/>
    <w:rsid w:val="004D0451"/>
    <w:rsid w:val="004D13E6"/>
    <w:rsid w:val="004D6FC4"/>
    <w:rsid w:val="004E0EF6"/>
    <w:rsid w:val="004E3430"/>
    <w:rsid w:val="004E41C2"/>
    <w:rsid w:val="004F01B5"/>
    <w:rsid w:val="004F0C67"/>
    <w:rsid w:val="004F2C6C"/>
    <w:rsid w:val="004F3F9E"/>
    <w:rsid w:val="004F7698"/>
    <w:rsid w:val="00501A07"/>
    <w:rsid w:val="00504476"/>
    <w:rsid w:val="00505FB4"/>
    <w:rsid w:val="00543348"/>
    <w:rsid w:val="005501E3"/>
    <w:rsid w:val="00550C1F"/>
    <w:rsid w:val="00553955"/>
    <w:rsid w:val="00556739"/>
    <w:rsid w:val="00564288"/>
    <w:rsid w:val="00572643"/>
    <w:rsid w:val="005756F6"/>
    <w:rsid w:val="00585E15"/>
    <w:rsid w:val="00586A86"/>
    <w:rsid w:val="005A6969"/>
    <w:rsid w:val="005B1EE7"/>
    <w:rsid w:val="005B2BFF"/>
    <w:rsid w:val="005C7093"/>
    <w:rsid w:val="005C7AAB"/>
    <w:rsid w:val="005D37EC"/>
    <w:rsid w:val="005D51BB"/>
    <w:rsid w:val="005D772C"/>
    <w:rsid w:val="005E3B28"/>
    <w:rsid w:val="005E6037"/>
    <w:rsid w:val="006068AB"/>
    <w:rsid w:val="006074C6"/>
    <w:rsid w:val="00613174"/>
    <w:rsid w:val="00613BFD"/>
    <w:rsid w:val="00614ECD"/>
    <w:rsid w:val="006235F5"/>
    <w:rsid w:val="0062676D"/>
    <w:rsid w:val="00626DB0"/>
    <w:rsid w:val="00627BA6"/>
    <w:rsid w:val="0063171E"/>
    <w:rsid w:val="00636FFD"/>
    <w:rsid w:val="00637669"/>
    <w:rsid w:val="00640A6F"/>
    <w:rsid w:val="00646609"/>
    <w:rsid w:val="00647CFC"/>
    <w:rsid w:val="0065418C"/>
    <w:rsid w:val="00657478"/>
    <w:rsid w:val="006679CC"/>
    <w:rsid w:val="00674748"/>
    <w:rsid w:val="00683AAF"/>
    <w:rsid w:val="006875C4"/>
    <w:rsid w:val="00690B69"/>
    <w:rsid w:val="00691867"/>
    <w:rsid w:val="006A39FB"/>
    <w:rsid w:val="006A4B46"/>
    <w:rsid w:val="006C20F3"/>
    <w:rsid w:val="006C7A03"/>
    <w:rsid w:val="006D250B"/>
    <w:rsid w:val="006D4B09"/>
    <w:rsid w:val="006E0D5D"/>
    <w:rsid w:val="006E1665"/>
    <w:rsid w:val="006E3580"/>
    <w:rsid w:val="006F42F9"/>
    <w:rsid w:val="006F7398"/>
    <w:rsid w:val="00706CCF"/>
    <w:rsid w:val="0071523C"/>
    <w:rsid w:val="00715681"/>
    <w:rsid w:val="007220A7"/>
    <w:rsid w:val="007247AB"/>
    <w:rsid w:val="007377BC"/>
    <w:rsid w:val="007377FD"/>
    <w:rsid w:val="007449C2"/>
    <w:rsid w:val="00745E44"/>
    <w:rsid w:val="0075360C"/>
    <w:rsid w:val="00754777"/>
    <w:rsid w:val="00756692"/>
    <w:rsid w:val="007571D0"/>
    <w:rsid w:val="00761860"/>
    <w:rsid w:val="00762190"/>
    <w:rsid w:val="00772532"/>
    <w:rsid w:val="00776C71"/>
    <w:rsid w:val="00780448"/>
    <w:rsid w:val="00780AEE"/>
    <w:rsid w:val="00781D1E"/>
    <w:rsid w:val="007A0C3E"/>
    <w:rsid w:val="007A786C"/>
    <w:rsid w:val="007C224A"/>
    <w:rsid w:val="007C29AD"/>
    <w:rsid w:val="007D01D4"/>
    <w:rsid w:val="007D12AD"/>
    <w:rsid w:val="007D3267"/>
    <w:rsid w:val="007D366E"/>
    <w:rsid w:val="007D410D"/>
    <w:rsid w:val="007D6AB8"/>
    <w:rsid w:val="007E045D"/>
    <w:rsid w:val="007E611D"/>
    <w:rsid w:val="007F31D3"/>
    <w:rsid w:val="007F41FE"/>
    <w:rsid w:val="007F4F86"/>
    <w:rsid w:val="007F78C0"/>
    <w:rsid w:val="0080134D"/>
    <w:rsid w:val="00810B31"/>
    <w:rsid w:val="00822D2D"/>
    <w:rsid w:val="00824759"/>
    <w:rsid w:val="008251F9"/>
    <w:rsid w:val="00826381"/>
    <w:rsid w:val="00832999"/>
    <w:rsid w:val="00833668"/>
    <w:rsid w:val="00834E6C"/>
    <w:rsid w:val="00841718"/>
    <w:rsid w:val="008448F0"/>
    <w:rsid w:val="00860B14"/>
    <w:rsid w:val="008732D8"/>
    <w:rsid w:val="00881651"/>
    <w:rsid w:val="00884477"/>
    <w:rsid w:val="00884776"/>
    <w:rsid w:val="0088749C"/>
    <w:rsid w:val="00890CCD"/>
    <w:rsid w:val="008A5442"/>
    <w:rsid w:val="008B3BE3"/>
    <w:rsid w:val="008C05EA"/>
    <w:rsid w:val="008C4412"/>
    <w:rsid w:val="008C4502"/>
    <w:rsid w:val="008E434B"/>
    <w:rsid w:val="008E7D2C"/>
    <w:rsid w:val="008F7C3B"/>
    <w:rsid w:val="00911D0F"/>
    <w:rsid w:val="009214B3"/>
    <w:rsid w:val="00931356"/>
    <w:rsid w:val="00931452"/>
    <w:rsid w:val="009425D7"/>
    <w:rsid w:val="00942655"/>
    <w:rsid w:val="00956EAB"/>
    <w:rsid w:val="009633D0"/>
    <w:rsid w:val="00964675"/>
    <w:rsid w:val="00972FCB"/>
    <w:rsid w:val="009867B0"/>
    <w:rsid w:val="00994C61"/>
    <w:rsid w:val="00995BA5"/>
    <w:rsid w:val="009A34D4"/>
    <w:rsid w:val="009A4414"/>
    <w:rsid w:val="009B391F"/>
    <w:rsid w:val="009B5F56"/>
    <w:rsid w:val="009C07CE"/>
    <w:rsid w:val="009C15AB"/>
    <w:rsid w:val="009C1726"/>
    <w:rsid w:val="009C3164"/>
    <w:rsid w:val="009C57C4"/>
    <w:rsid w:val="009C697C"/>
    <w:rsid w:val="009D0FC1"/>
    <w:rsid w:val="009D632A"/>
    <w:rsid w:val="009E48B6"/>
    <w:rsid w:val="009F27EA"/>
    <w:rsid w:val="009F2DE5"/>
    <w:rsid w:val="009F5827"/>
    <w:rsid w:val="00A0335F"/>
    <w:rsid w:val="00A05A39"/>
    <w:rsid w:val="00A12D97"/>
    <w:rsid w:val="00A16019"/>
    <w:rsid w:val="00A1682A"/>
    <w:rsid w:val="00A20ACF"/>
    <w:rsid w:val="00A21855"/>
    <w:rsid w:val="00A2262D"/>
    <w:rsid w:val="00A25584"/>
    <w:rsid w:val="00A273FD"/>
    <w:rsid w:val="00A27F86"/>
    <w:rsid w:val="00A3571A"/>
    <w:rsid w:val="00A428CA"/>
    <w:rsid w:val="00A47E1A"/>
    <w:rsid w:val="00A50075"/>
    <w:rsid w:val="00A56127"/>
    <w:rsid w:val="00A56E53"/>
    <w:rsid w:val="00A70777"/>
    <w:rsid w:val="00A73FD0"/>
    <w:rsid w:val="00A77046"/>
    <w:rsid w:val="00A8054F"/>
    <w:rsid w:val="00A826BD"/>
    <w:rsid w:val="00A87EB3"/>
    <w:rsid w:val="00AA3623"/>
    <w:rsid w:val="00AB3B2F"/>
    <w:rsid w:val="00AC1C6E"/>
    <w:rsid w:val="00AC6F04"/>
    <w:rsid w:val="00AD593A"/>
    <w:rsid w:val="00AD7DE4"/>
    <w:rsid w:val="00AE3CC4"/>
    <w:rsid w:val="00AF46D9"/>
    <w:rsid w:val="00AF5615"/>
    <w:rsid w:val="00B003D8"/>
    <w:rsid w:val="00B022DF"/>
    <w:rsid w:val="00B034F4"/>
    <w:rsid w:val="00B03F2C"/>
    <w:rsid w:val="00B053F8"/>
    <w:rsid w:val="00B05444"/>
    <w:rsid w:val="00B0594D"/>
    <w:rsid w:val="00B1061F"/>
    <w:rsid w:val="00B108AC"/>
    <w:rsid w:val="00B1421E"/>
    <w:rsid w:val="00B20719"/>
    <w:rsid w:val="00B20B35"/>
    <w:rsid w:val="00B24BA3"/>
    <w:rsid w:val="00B36AC3"/>
    <w:rsid w:val="00B43B53"/>
    <w:rsid w:val="00B454E5"/>
    <w:rsid w:val="00B4782F"/>
    <w:rsid w:val="00B50B0F"/>
    <w:rsid w:val="00B56B3D"/>
    <w:rsid w:val="00B61CF4"/>
    <w:rsid w:val="00B645D7"/>
    <w:rsid w:val="00B67528"/>
    <w:rsid w:val="00B67D56"/>
    <w:rsid w:val="00B71252"/>
    <w:rsid w:val="00B83147"/>
    <w:rsid w:val="00B83374"/>
    <w:rsid w:val="00B84E1A"/>
    <w:rsid w:val="00B920D5"/>
    <w:rsid w:val="00B9238D"/>
    <w:rsid w:val="00B94BBF"/>
    <w:rsid w:val="00BA1247"/>
    <w:rsid w:val="00BA3593"/>
    <w:rsid w:val="00BA35A7"/>
    <w:rsid w:val="00BA3C06"/>
    <w:rsid w:val="00BA5287"/>
    <w:rsid w:val="00BA68A2"/>
    <w:rsid w:val="00BB02A1"/>
    <w:rsid w:val="00BB1998"/>
    <w:rsid w:val="00BB6187"/>
    <w:rsid w:val="00BB6D00"/>
    <w:rsid w:val="00BC2EE7"/>
    <w:rsid w:val="00BC6371"/>
    <w:rsid w:val="00BC70FA"/>
    <w:rsid w:val="00BD1EEE"/>
    <w:rsid w:val="00BD2C3C"/>
    <w:rsid w:val="00BE0E30"/>
    <w:rsid w:val="00BE41BB"/>
    <w:rsid w:val="00BE42BC"/>
    <w:rsid w:val="00BE443E"/>
    <w:rsid w:val="00BF179E"/>
    <w:rsid w:val="00C14E24"/>
    <w:rsid w:val="00C16146"/>
    <w:rsid w:val="00C24233"/>
    <w:rsid w:val="00C31C2C"/>
    <w:rsid w:val="00C321EB"/>
    <w:rsid w:val="00C4032E"/>
    <w:rsid w:val="00C44EA4"/>
    <w:rsid w:val="00C45663"/>
    <w:rsid w:val="00C463CD"/>
    <w:rsid w:val="00C513EB"/>
    <w:rsid w:val="00C549D8"/>
    <w:rsid w:val="00C60EF6"/>
    <w:rsid w:val="00C64241"/>
    <w:rsid w:val="00C66401"/>
    <w:rsid w:val="00C671EB"/>
    <w:rsid w:val="00C6784D"/>
    <w:rsid w:val="00C72400"/>
    <w:rsid w:val="00C73907"/>
    <w:rsid w:val="00C73DDB"/>
    <w:rsid w:val="00C74D27"/>
    <w:rsid w:val="00C86FBD"/>
    <w:rsid w:val="00C94EB2"/>
    <w:rsid w:val="00C94EF0"/>
    <w:rsid w:val="00C956CA"/>
    <w:rsid w:val="00CA1243"/>
    <w:rsid w:val="00CA4434"/>
    <w:rsid w:val="00CB4A4F"/>
    <w:rsid w:val="00CB6A32"/>
    <w:rsid w:val="00CC11E4"/>
    <w:rsid w:val="00CC1609"/>
    <w:rsid w:val="00CC3484"/>
    <w:rsid w:val="00CC70EC"/>
    <w:rsid w:val="00CD0122"/>
    <w:rsid w:val="00CD316D"/>
    <w:rsid w:val="00CD53A2"/>
    <w:rsid w:val="00CD7B03"/>
    <w:rsid w:val="00CE012B"/>
    <w:rsid w:val="00CE0160"/>
    <w:rsid w:val="00CE0186"/>
    <w:rsid w:val="00CF15E0"/>
    <w:rsid w:val="00CF78CF"/>
    <w:rsid w:val="00D0035B"/>
    <w:rsid w:val="00D05458"/>
    <w:rsid w:val="00D0657E"/>
    <w:rsid w:val="00D10898"/>
    <w:rsid w:val="00D31116"/>
    <w:rsid w:val="00D52EE1"/>
    <w:rsid w:val="00D55CF9"/>
    <w:rsid w:val="00D5785E"/>
    <w:rsid w:val="00D63523"/>
    <w:rsid w:val="00D6363F"/>
    <w:rsid w:val="00D712D9"/>
    <w:rsid w:val="00D71977"/>
    <w:rsid w:val="00D72A57"/>
    <w:rsid w:val="00D776E7"/>
    <w:rsid w:val="00D815F1"/>
    <w:rsid w:val="00D9526E"/>
    <w:rsid w:val="00D95963"/>
    <w:rsid w:val="00DA04AC"/>
    <w:rsid w:val="00DA1D34"/>
    <w:rsid w:val="00DA36F0"/>
    <w:rsid w:val="00DD559C"/>
    <w:rsid w:val="00DD7F5E"/>
    <w:rsid w:val="00DE0FC7"/>
    <w:rsid w:val="00DE7E27"/>
    <w:rsid w:val="00DF4050"/>
    <w:rsid w:val="00DF4668"/>
    <w:rsid w:val="00E00C68"/>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5125C"/>
    <w:rsid w:val="00E562AC"/>
    <w:rsid w:val="00E61384"/>
    <w:rsid w:val="00E61798"/>
    <w:rsid w:val="00E667C6"/>
    <w:rsid w:val="00E66F8C"/>
    <w:rsid w:val="00E7168A"/>
    <w:rsid w:val="00E7367F"/>
    <w:rsid w:val="00E85871"/>
    <w:rsid w:val="00E94C75"/>
    <w:rsid w:val="00EA0423"/>
    <w:rsid w:val="00EA3115"/>
    <w:rsid w:val="00EA599C"/>
    <w:rsid w:val="00EB004A"/>
    <w:rsid w:val="00EB3D0E"/>
    <w:rsid w:val="00EB44DF"/>
    <w:rsid w:val="00EB6565"/>
    <w:rsid w:val="00EC0744"/>
    <w:rsid w:val="00EC24A2"/>
    <w:rsid w:val="00EC733D"/>
    <w:rsid w:val="00ED0978"/>
    <w:rsid w:val="00ED6E39"/>
    <w:rsid w:val="00EE21CF"/>
    <w:rsid w:val="00EF51B2"/>
    <w:rsid w:val="00F02C49"/>
    <w:rsid w:val="00F06DE7"/>
    <w:rsid w:val="00F247FC"/>
    <w:rsid w:val="00F31583"/>
    <w:rsid w:val="00F32430"/>
    <w:rsid w:val="00F34EB6"/>
    <w:rsid w:val="00F4175D"/>
    <w:rsid w:val="00F43685"/>
    <w:rsid w:val="00F45056"/>
    <w:rsid w:val="00F50FAE"/>
    <w:rsid w:val="00F53DDD"/>
    <w:rsid w:val="00F75127"/>
    <w:rsid w:val="00F77D66"/>
    <w:rsid w:val="00FA094F"/>
    <w:rsid w:val="00FA3A6E"/>
    <w:rsid w:val="00FA7F68"/>
    <w:rsid w:val="00FB3C7C"/>
    <w:rsid w:val="00FB6762"/>
    <w:rsid w:val="00FC0747"/>
    <w:rsid w:val="00FC1B0E"/>
    <w:rsid w:val="00FC7170"/>
    <w:rsid w:val="00FD6D63"/>
    <w:rsid w:val="00FE016E"/>
    <w:rsid w:val="00FE028C"/>
    <w:rsid w:val="00FE0B7B"/>
    <w:rsid w:val="00FE2F2C"/>
    <w:rsid w:val="00FF150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42776</TotalTime>
  <Pages>14</Pages>
  <Words>4555</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20</cp:revision>
  <dcterms:created xsi:type="dcterms:W3CDTF">2019-11-11T19:00:00Z</dcterms:created>
  <dcterms:modified xsi:type="dcterms:W3CDTF">2020-08-27T23:14:00Z</dcterms:modified>
</cp:coreProperties>
</file>