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240"/>
        <w:jc w:val="center"/>
      </w:pPr>
      <w:r>
        <w:drawing>
          <wp:inline distT="0" distB="0" distL="0" distR="0">
            <wp:extent cx="1238250" cy="8667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866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1100" w:line="480" w:lineRule="auto"/>
        <w:jc w:val="center"/>
      </w:pPr>
      <w:r>
        <w:rPr>
          <w:rFonts w:ascii="Arial" w:cs="Arial" w:eastAsia="Arial" w:hAnsi="Arial"/>
          <w:b/>
          <w:bCs/>
          <w:color w:val="3B3B3B"/>
          <w:sz w:val="28"/>
          <w:szCs w:val="28"/>
        </w:rPr>
        <w:t xml:space="preserve">Evaluación de Riesgos de Incendio con el Método MESERI</w:t>
      </w:r>
    </w:p>
    <w:p>
      <w:pPr>
        <w:pBdr>
          <w:bottom w:val="single" w:color="CAD225" w:sz="18" w:space="14"/>
        </w:pBdr>
        <w:spacing w:after="0" w:before="0" w:line="480" w:lineRule="auto"/>
        <w:jc w:val="center"/>
      </w:pPr>
      <w:r>
        <w:rPr>
          <w:rFonts w:ascii="Arial" w:cs="Arial" w:eastAsia="Arial" w:hAnsi="Arial"/>
          <w:b/>
          <w:bCs/>
          <w:color w:val="3B3B3B"/>
          <w:sz w:val="28"/>
          <w:szCs w:val="28"/>
        </w:rPr>
        <w:t xml:space="preserve">en el CEDI D1 Bucaramanga / Lebrija</w:t>
      </w:r>
    </w:p>
    <w:p>
      <w:pPr>
        <w:spacing w:after="0" w:before="480" w:line="480" w:lineRule="auto"/>
        <w:jc w:val="center"/>
      </w:pPr>
      <w:r>
        <w:rPr>
          <w:rFonts w:ascii="Arial" w:cs="Arial" w:eastAsia="Arial" w:hAnsi="Arial"/>
          <w:color w:val="3B3B3B"/>
          <w:sz w:val="22"/>
          <w:szCs w:val="22"/>
        </w:rPr>
        <w:t xml:space="preserve"/>
      </w:r>
    </w:p>
    <w:p>
      <w:pPr>
        <w:spacing w:after="0" w:before="0" w:line="480" w:lineRule="auto"/>
        <w:jc w:val="center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Angely Tatiana Osorio Sánchez</w:t>
      </w:r>
    </w:p>
    <w:p>
      <w:pPr>
        <w:spacing w:after="0" w:before="0" w:line="480" w:lineRule="auto"/>
        <w:jc w:val="center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Unidades Tecnológicas de Santander</w:t>
      </w:r>
    </w:p>
    <w:p>
      <w:pPr>
        <w:spacing w:after="0" w:before="0" w:line="480" w:lineRule="auto"/>
        <w:jc w:val="center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Electiva Complementaria Salud Ocupacional – Grupo E133</w:t>
      </w:r>
    </w:p>
    <w:p>
      <w:pPr>
        <w:spacing w:after="0" w:before="0" w:line="480" w:lineRule="auto"/>
        <w:jc w:val="center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Docente: Jhonny Mauricio Ceron Cifuentes</w:t>
      </w:r>
    </w:p>
    <w:p>
      <w:pPr>
        <w:spacing w:after="0" w:before="0" w:line="480" w:lineRule="auto"/>
        <w:jc w:val="center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Octubre de 2026</w:t>
      </w:r>
    </w:p>
    <w:p>
      <w:pPr>
        <w:pStyle w:val="Heading1"/>
        <w:keepNext/>
        <w:pageBreakBefore/>
      </w:pPr>
      <w:r>
        <w:t xml:space="preserve">Introducción</w:t>
      </w:r>
    </w:p>
    <w:p>
      <w:pPr>
        <w:spacing w:after="0" w:before="0" w:line="480" w:lineRule="auto"/>
        <w:ind w:firstLine="720"/>
        <w:jc w:val="left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Este informe evalúa el riesgo de incendio del Centro de Distribución (CEDI) de Tiendas D1 en Lebrija, Santander, mediante el Método MESERI. Los coeficientes se asignaron a partir de una inspección fotográfica de las instalaciones realizada entre marzo y octubre de 2026.</w:t>
      </w:r>
    </w:p>
    <w:p>
      <w:pPr>
        <w:keepNext/>
        <w:spacing w:after="0" w:before="240" w:line="480"/>
      </w:pPr>
      <w:r>
        <w:rPr>
          <w:rFonts w:ascii="Arial" w:cs="Arial" w:eastAsia="Arial" w:hAnsi="Arial"/>
          <w:b/>
          <w:bCs/>
          <w:color w:val="3B3B3B"/>
          <w:sz w:val="22"/>
          <w:szCs w:val="22"/>
        </w:rPr>
        <w:t xml:space="preserve">Tabla 1</w:t>
      </w:r>
    </w:p>
    <w:p>
      <w:pPr>
        <w:keepNext/>
        <w:spacing w:after="60" w:line="480"/>
      </w:pPr>
      <w:r>
        <w:rPr>
          <w:rFonts w:ascii="Arial" w:cs="Arial" w:eastAsia="Arial" w:hAnsi="Arial"/>
          <w:i/>
          <w:iCs/>
          <w:color w:val="3B3B3B"/>
          <w:sz w:val="22"/>
          <w:szCs w:val="22"/>
        </w:rPr>
        <w:t xml:space="preserve">Ficha técnica del CEDI evaluado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200"/>
        <w:gridCol w:w="7160"/>
      </w:tblGrid>
      <w:tr>
        <w:trPr>
          <w:cantSplit/>
        </w:trPr>
        <w:tc>
          <w:tcPr>
            <w:tcW w:type="dxa" w:w="22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Empresa</w:t>
            </w:r>
          </w:p>
        </w:tc>
        <w:tc>
          <w:tcPr>
            <w:tcW w:type="dxa" w:w="71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Tiendas D1 – Koba Colombia S.A.S.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FFFFF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Ubicación</w:t>
            </w:r>
          </w:p>
        </w:tc>
        <w:tc>
          <w:tcPr>
            <w:tcW w:type="dxa" w:w="71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FFFFF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Sector San Pablo, Lebrija (Santander), vía Bucaramanga–Barrancabermeja. A 15 min de Bucaramanga y 2,5 km del aeropuerto Palonegro.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Actividad</w:t>
            </w:r>
          </w:p>
        </w:tc>
        <w:tc>
          <w:tcPr>
            <w:tcW w:type="dxa" w:w="71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Recepción, almacenamiento y despacho de alimentos, bebidas y productos de aseo.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FFFFF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Área cubierta</w:t>
            </w:r>
          </w:p>
        </w:tc>
        <w:tc>
          <w:tcPr>
            <w:tcW w:type="dxa" w:w="71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FFFFF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17.432 m² (medición en Google Maps), sin sectorización comprobada.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Altura</w:t>
            </w:r>
          </w:p>
        </w:tc>
        <w:tc>
          <w:tcPr>
            <w:tcW w:type="dxa" w:w="71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18 m libres en el interior; 21 m por el exterior.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FFFFF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Estructura</w:t>
            </w:r>
          </w:p>
        </w:tc>
        <w:tc>
          <w:tcPr>
            <w:tcW w:type="dxa" w:w="71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FFFFF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Columnas de concreto y acero, cerchas y cubierta metálicas, muros de bloque.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Áreas</w:t>
            </w:r>
          </w:p>
        </w:tc>
        <w:tc>
          <w:tcPr>
            <w:tcW w:type="dxa" w:w="71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Bodega con racks, cava (frío), muelles, zonas de servicio y mezanine con oficinas, sala de capacitación y comedor.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FFFFF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Protección</w:t>
            </w:r>
          </w:p>
        </w:tc>
        <w:tc>
          <w:tcPr>
            <w:tcW w:type="dxa" w:w="71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FFFFF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Rociadores automáticos, gabinetes BIE, hidrante exterior, detección, extintores y cuarto de bombas.</w:t>
            </w:r>
          </w:p>
        </w:tc>
      </w:tr>
    </w:tbl>
    <w:p>
      <w:pPr>
        <w:spacing w:after="240" w:before="100"/>
      </w:pPr>
      <w:r>
        <w:rPr>
          <w:rFonts w:ascii="Arial" w:cs="Arial" w:eastAsia="Arial" w:hAnsi="Arial"/>
          <w:i/>
          <w:iCs/>
          <w:color w:val="3B3B3B"/>
          <w:sz w:val="18"/>
          <w:szCs w:val="18"/>
        </w:rPr>
        <w:t xml:space="preserve">Nota. </w:t>
      </w:r>
      <w:r>
        <w:rPr>
          <w:rFonts w:ascii="Arial" w:cs="Arial" w:eastAsia="Arial" w:hAnsi="Arial"/>
          <w:color w:val="3B3B3B"/>
          <w:sz w:val="18"/>
          <w:szCs w:val="18"/>
        </w:rPr>
        <w:t xml:space="preserve">Elaboración propia con datos del Fondo Inmobiliario Colombia (s. f.) y de la inspección en sitio.</w:t>
      </w:r>
    </w:p>
    <w:p>
      <w:pPr>
        <w:pStyle w:val="Heading1"/>
        <w:keepNext/>
      </w:pPr>
      <w:r>
        <w:t xml:space="preserve">Metodología</w:t>
      </w:r>
    </w:p>
    <w:p>
      <w:pPr>
        <w:spacing w:after="0" w:before="0" w:line="480" w:lineRule="auto"/>
        <w:ind w:firstLine="720"/>
        <w:jc w:val="left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El Método MESERI (Fundación MAPFRE, s. f.) califica por separado dos grupos de factores y los combina en un coeficiente de protección P, de 0 a 10 (Unidades Tecnológicas de Santander, s. f.):</w:t>
      </w:r>
    </w:p>
    <w:p>
      <w:pPr>
        <w:pStyle w:val="ListParagraph"/>
        <w:numPr>
          <w:ilvl w:val="0"/>
          <w:numId w:val="2"/>
        </w:numPr>
        <w:spacing w:after="0" w:line="480" w:lineRule="auto"/>
      </w:pPr>
      <w:r>
        <w:rPr>
          <w:rFonts w:ascii="Arial" w:cs="Arial" w:eastAsia="Arial" w:hAnsi="Arial"/>
          <w:b/>
          <w:bCs/>
          <w:color w:val="3B3B3B"/>
          <w:sz w:val="22"/>
          <w:szCs w:val="22"/>
        </w:rPr>
        <w:t xml:space="preserve">X – Factores propios de las instalaciones: </w:t>
      </w:r>
      <w:r>
        <w:rPr>
          <w:rFonts w:ascii="Arial" w:cs="Arial" w:eastAsia="Arial" w:hAnsi="Arial"/>
          <w:color w:val="3B3B3B"/>
          <w:sz w:val="22"/>
          <w:szCs w:val="22"/>
        </w:rPr>
        <w:t xml:space="preserve">construcción, situación, procesos, concentración, propagabilidad y destructibilidad (máximo 129 puntos).</w:t>
      </w:r>
    </w:p>
    <w:p>
      <w:pPr>
        <w:pStyle w:val="ListParagraph"/>
        <w:numPr>
          <w:ilvl w:val="0"/>
          <w:numId w:val="2"/>
        </w:numPr>
        <w:spacing w:after="0" w:line="480" w:lineRule="auto"/>
      </w:pPr>
      <w:r>
        <w:rPr>
          <w:rFonts w:ascii="Arial" w:cs="Arial" w:eastAsia="Arial" w:hAnsi="Arial"/>
          <w:b/>
          <w:bCs/>
          <w:color w:val="3B3B3B"/>
          <w:sz w:val="22"/>
          <w:szCs w:val="22"/>
        </w:rPr>
        <w:t xml:space="preserve">Y – Factores de protección: </w:t>
      </w:r>
      <w:r>
        <w:rPr>
          <w:rFonts w:ascii="Arial" w:cs="Arial" w:eastAsia="Arial" w:hAnsi="Arial"/>
          <w:color w:val="3B3B3B"/>
          <w:sz w:val="22"/>
          <w:szCs w:val="22"/>
        </w:rPr>
        <w:t xml:space="preserve">extintores, BIE, hidrantes, detección, rociadores e instalaciones especiales (máximo 26 puntos).</w:t>
      </w:r>
    </w:p>
    <w:p>
      <w:pPr>
        <w:pStyle w:val="ListParagraph"/>
        <w:numPr>
          <w:ilvl w:val="0"/>
          <w:numId w:val="2"/>
        </w:numPr>
        <w:spacing w:after="0" w:line="480" w:lineRule="auto"/>
      </w:pPr>
      <w:r>
        <w:rPr>
          <w:rFonts w:ascii="Arial" w:cs="Arial" w:eastAsia="Arial" w:hAnsi="Arial"/>
          <w:b/>
          <w:bCs/>
          <w:color w:val="3B3B3B"/>
          <w:sz w:val="22"/>
          <w:szCs w:val="22"/>
        </w:rPr>
        <w:t xml:space="preserve">BCI – Brigada contra incendios: </w:t>
      </w:r>
      <w:r>
        <w:rPr>
          <w:rFonts w:ascii="Arial" w:cs="Arial" w:eastAsia="Arial" w:hAnsi="Arial"/>
          <w:color w:val="3B3B3B"/>
          <w:sz w:val="22"/>
          <w:szCs w:val="22"/>
        </w:rPr>
        <w:t xml:space="preserve">1 punto si existe, 0 si no.</w:t>
      </w:r>
    </w:p>
    <w:p>
      <w:pPr>
        <w:spacing w:after="1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360"/>
      </w:tblGrid>
      <w:tr>
        <w:tc>
          <w:tcPr>
            <w:tcW w:type="dxa" w:w="9360"/>
            <w:tcBorders>
              <w:top w:val="single" w:color="CAD225" w:sz="12"/>
              <w:left w:val="single" w:color="CAD225" w:sz="12"/>
              <w:bottom w:val="single" w:color="CAD225" w:sz="12"/>
              <w:right w:val="single" w:color="CAD225" w:sz="12"/>
            </w:tcBorders>
            <w:shd w:fill="F4F7D3" w:color="auto" w:val="clear"/>
            <w:tcMar>
              <w:top w:type="dxa" w:w="160"/>
              <w:left w:type="dxa" w:w="200"/>
              <w:bottom w:type="dxa" w:w="160"/>
              <w:right w:type="dxa" w:w="2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28"/>
                <w:szCs w:val="28"/>
              </w:rPr>
              <w:t xml:space="preserve">P = 5X / 129  +  5Y / 26  +  BCI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Un valor de P igual o superior a 5 se considera aceptable.</w:t>
            </w:r>
          </w:p>
        </w:tc>
      </w:tr>
    </w:tbl>
    <w:p>
      <w:pPr>
        <w:keepNext/>
        <w:spacing w:after="0" w:before="240" w:line="480"/>
      </w:pPr>
      <w:r>
        <w:rPr>
          <w:rFonts w:ascii="Arial" w:cs="Arial" w:eastAsia="Arial" w:hAnsi="Arial"/>
          <w:b/>
          <w:bCs/>
          <w:color w:val="3B3B3B"/>
          <w:sz w:val="22"/>
          <w:szCs w:val="22"/>
        </w:rPr>
        <w:t xml:space="preserve">Tabla 2</w:t>
      </w:r>
    </w:p>
    <w:p>
      <w:pPr>
        <w:keepNext/>
        <w:spacing w:after="60" w:line="480"/>
      </w:pPr>
      <w:r>
        <w:rPr>
          <w:rFonts w:ascii="Arial" w:cs="Arial" w:eastAsia="Arial" w:hAnsi="Arial"/>
          <w:i/>
          <w:iCs/>
          <w:color w:val="3B3B3B"/>
          <w:sz w:val="22"/>
          <w:szCs w:val="22"/>
        </w:rPr>
        <w:t xml:space="preserve">Escala de calificación del riesgo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6D5D1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24"/>
                <w:szCs w:val="24"/>
              </w:rPr>
              <w:t xml:space="preserve">&lt; 3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Muy malo</w:t>
            </w:r>
          </w:p>
        </w:tc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BE5C4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24"/>
                <w:szCs w:val="24"/>
              </w:rPr>
              <w:t xml:space="preserve">3 – 5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Malo</w:t>
            </w:r>
          </w:p>
        </w:tc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24"/>
                <w:szCs w:val="24"/>
              </w:rPr>
              <w:t xml:space="preserve">5 – 8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Bueno</w:t>
            </w:r>
          </w:p>
        </w:tc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CAD225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24"/>
                <w:szCs w:val="24"/>
              </w:rPr>
              <w:t xml:space="preserve">&gt; 8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Muy bueno</w:t>
            </w:r>
          </w:p>
        </w:tc>
      </w:tr>
    </w:tbl>
    <w:p>
      <w:pPr>
        <w:pStyle w:val="Heading1"/>
        <w:keepNext/>
      </w:pPr>
      <w:r>
        <w:t xml:space="preserve">Factores Propios de las Instalaciones (X)</w:t>
      </w:r>
    </w:p>
    <w:p>
      <w:pPr>
        <w:spacing w:after="0" w:before="0" w:line="480" w:lineRule="auto"/>
        <w:ind w:firstLine="720"/>
        <w:jc w:val="left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Cada factor se calificó con la tabla del método según lo observado en la inspección. Los factores con coeficiente 0 son los que más aumentan el riesgo.</w:t>
      </w:r>
    </w:p>
    <w:p>
      <w:pPr>
        <w:keepNext/>
        <w:spacing w:after="0" w:before="240" w:line="480"/>
      </w:pPr>
      <w:r>
        <w:rPr>
          <w:rFonts w:ascii="Arial" w:cs="Arial" w:eastAsia="Arial" w:hAnsi="Arial"/>
          <w:b/>
          <w:bCs/>
          <w:color w:val="3B3B3B"/>
          <w:sz w:val="22"/>
          <w:szCs w:val="22"/>
        </w:rPr>
        <w:t xml:space="preserve">Tabla 3</w:t>
      </w:r>
    </w:p>
    <w:p>
      <w:pPr>
        <w:keepNext/>
        <w:spacing w:after="60" w:line="480"/>
      </w:pPr>
      <w:r>
        <w:rPr>
          <w:rFonts w:ascii="Arial" w:cs="Arial" w:eastAsia="Arial" w:hAnsi="Arial"/>
          <w:i/>
          <w:iCs/>
          <w:color w:val="3B3B3B"/>
          <w:sz w:val="22"/>
          <w:szCs w:val="22"/>
        </w:rPr>
        <w:t xml:space="preserve">Factores propios de las instalaciones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1050"/>
        <w:gridCol w:w="3610"/>
        <w:gridCol w:w="2700"/>
      </w:tblGrid>
      <w:tr>
        <w:trPr>
          <w:tblHeader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FACTOR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COEF.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JUSTIFICACIÓN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EVIDENCIA</w:t>
            </w:r>
          </w:p>
        </w:tc>
      </w:tr>
      <w:tr>
        <w:trPr>
          <w:cantSplit/>
        </w:trPr>
        <w:tc>
          <w:tcPr>
            <w:tcW w:type="dxa" w:w="9360"/>
            <w:gridSpan w:val="4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CAD225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7"/>
                <w:szCs w:val="17"/>
              </w:rPr>
              <w:t xml:space="preserve">1.1  CONSTRUCCIÓN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1.1.1 Altura del edificio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1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Altura libre interior de 18 m (21 m por fuera). Rango de 15 a 30 m.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600200" cy="1200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1.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Fachada principal.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1.1.2 Mayor sector de incendio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0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Superficie de 17.432 m² medida en Google Maps (Google, s. f.), sin muros cortafuego. Supera los 4.500 m².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600200" cy="1200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2.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Medición en Google Maps.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1.1.3 Resistencia al fuego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5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Cerchas y cubierta metálicas sobre columnas de concreto: estructura no combustible.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600200" cy="1200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3.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Columnas y cubierta.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1.1.4 Falsos techos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5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La bodega no tiene cielo raso. Solo las oficinas y el comedor del mezanine lo tienen, una parte pequeña del edificio. Se toma sin falsos techos.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81050" cy="5905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1050" cy="590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distT="0" distB="0" distL="0" distR="0">
                  <wp:extent cx="781050" cy="5905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1050" cy="590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4.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Bodega: cubierta a la vista.</w:t>
            </w:r>
          </w:p>
          <w:p>
            <w:pPr>
              <w:spacing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5.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Comedor: cielo raso.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7E8410"/>
                <w:sz w:val="13"/>
                <w:szCs w:val="13"/>
              </w:rPr>
              <w:t xml:space="preserve">(ampliadas en el Anexo A)</w:t>
            </w:r>
          </w:p>
        </w:tc>
      </w:tr>
      <w:tr>
        <w:trPr>
          <w:cantSplit/>
        </w:trPr>
        <w:tc>
          <w:tcPr>
            <w:tcW w:type="dxa" w:w="9360"/>
            <w:gridSpan w:val="4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CAD225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7"/>
                <w:szCs w:val="17"/>
              </w:rPr>
              <w:t xml:space="preserve">1.2  FACTORES DE SITUACIÓN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1.2.1 Distancia de los bomberos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10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Ruta desde la Estación de Bomberos de Lebrija: 3,4 km y 5 min (Google, s. f.). Menos de 5 km.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600200" cy="819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819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6.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Ruta desde la estación de bomberos.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1.2.2 Accesibilidad del edificio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5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Acceso pavimentado de más de 4 m, apto para tractomulas, y vía perimetral alrededor de la nave. Accesibilidad buena.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600200" cy="1200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7.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Portería de ingreso.</w:t>
            </w:r>
          </w:p>
        </w:tc>
      </w:tr>
      <w:tr>
        <w:trPr>
          <w:cantSplit/>
        </w:trPr>
        <w:tc>
          <w:tcPr>
            <w:tcW w:type="dxa" w:w="9360"/>
            <w:gridSpan w:val="4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CAD225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7"/>
                <w:szCs w:val="17"/>
              </w:rPr>
              <w:t xml:space="preserve">1.3  PROCESOS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1.3.1 Peligro de activación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5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Sin llama abierta. Fuentes de ignición: carga de baterías de montacargas en la bodega y equipos eléctricos de la cocina del comedor, con cableado expuesto. Peligro medio.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81050" cy="5905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1050" cy="590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distT="0" distB="0" distL="0" distR="0">
                  <wp:extent cx="781050" cy="5905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1050" cy="590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8.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Carga de montacargas.</w:t>
            </w:r>
          </w:p>
          <w:p>
            <w:pPr>
              <w:spacing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9.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Cocina: cableado expuesto.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7E8410"/>
                <w:sz w:val="13"/>
                <w:szCs w:val="13"/>
              </w:rPr>
              <w:t xml:space="preserve">(ampliadas en el Anexo A)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1.3.2 Carga térmica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2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Gran volumen de alimentos y bebidas empacados en cartón y plástico: carga alta (2.000 a 5.000 MJ/m²).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600200" cy="1200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10.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Mercancía almacenada.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1.3.3 Inflamabilidad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3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Predominan sólidos combustibles (cartón, plástico, madera). Inflamabilidad media.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600200" cy="1200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11.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Estibas y embalajes.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1.3.4 Orden y limpieza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5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Pasillos de bodega y corredores de oficinas despejados y señalizados; acumulación de estibas en zonas de servicio. Nivel medio.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81050" cy="5905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1050" cy="590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distT="0" distB="0" distL="0" distR="0">
                  <wp:extent cx="781050" cy="5905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1050" cy="590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12.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Pasillo de la bodega.</w:t>
            </w:r>
          </w:p>
          <w:p>
            <w:pPr>
              <w:spacing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13.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Corredor de oficinas.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7E8410"/>
                <w:sz w:val="13"/>
                <w:szCs w:val="13"/>
              </w:rPr>
              <w:t xml:space="preserve">(ampliadas en el Anexo A)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1.3.5 Almacenamiento en altura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0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Estanterías de unos 10 m de alto, por encima del límite de 6 m.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600200" cy="1200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14.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Estanterías de almacenamiento.</w:t>
            </w:r>
          </w:p>
        </w:tc>
      </w:tr>
      <w:tr>
        <w:trPr>
          <w:cantSplit/>
        </w:trPr>
        <w:tc>
          <w:tcPr>
            <w:tcW w:type="dxa" w:w="9360"/>
            <w:gridSpan w:val="4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CAD225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7"/>
                <w:szCs w:val="17"/>
              </w:rPr>
              <w:t xml:space="preserve">1.4  CONCENTRACIÓN DE VALORES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1.4.1 Concentración de valores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0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Inventario y equipos ≈ 500.000 millones COP ÷ 17.432 m² ≈ 28,7 millones COP/m² (≈ 1.060.000 pts/m²). Supera 200.000 pts/m².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600200" cy="1200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15.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Almacén visto desde el mezanine.</w:t>
            </w:r>
          </w:p>
        </w:tc>
      </w:tr>
      <w:tr>
        <w:trPr>
          <w:cantSplit/>
        </w:trPr>
        <w:tc>
          <w:tcPr>
            <w:tcW w:type="dxa" w:w="9360"/>
            <w:gridSpan w:val="4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CAD225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7"/>
                <w:szCs w:val="17"/>
              </w:rPr>
              <w:t xml:space="preserve">1.5  PROPAGABILIDAD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1.5.1 Horizontal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3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Bloques de almacenamiento separados por pasillos, sin muros cortafuego. Media.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600200" cy="1200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16.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Pasillos entre bloques.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1.5.2 Vertical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0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Cajas de cartón y plástico apiladas nivel sobre nivel hasta cerca del techo; el fuego puede subir de un nivel a otro. Alta.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600200" cy="1200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17.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Mercancía apilada en altura.</w:t>
            </w:r>
          </w:p>
        </w:tc>
      </w:tr>
      <w:tr>
        <w:trPr>
          <w:cantSplit/>
        </w:trPr>
        <w:tc>
          <w:tcPr>
            <w:tcW w:type="dxa" w:w="9360"/>
            <w:gridSpan w:val="4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CAD225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7"/>
                <w:szCs w:val="17"/>
              </w:rPr>
              <w:t xml:space="preserve">1.6  DESTRUCTIBILIDAD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1.6.1 Calor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0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Cava de frío y alimentos muy sensibles al calor. Alta.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600200" cy="1200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18.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Zona de cava (frío).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1.6.2 Humo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0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Alimentos empacados en cajas y bebidas: el humo y el hollín contaminan empaques y producto, que ya no puede venderse. Alta.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600200" cy="1200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19.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Cajas de alimentos almacenadas.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1.6.3 Corrosión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5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Productos de aseo, conservas y enlatados en parte del inventario. Media.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600200" cy="1200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20.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Productos envasados.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1.6.4 Agua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5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El cartón se daña con el agua; bebidas y enlatados la resisten. Media.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600200" cy="1200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21.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Cajas sobre estibas.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TOTAL X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CAD225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54</w:t>
            </w:r>
          </w:p>
        </w:tc>
        <w:tc>
          <w:tcPr>
            <w:tcW w:type="dxa" w:w="6310"/>
            <w:gridSpan w:val="2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FFFFFF"/>
                <w:sz w:val="18"/>
                <w:szCs w:val="18"/>
              </w:rPr>
              <w:t xml:space="preserve">de 129 puntos posibles (42 %)</w:t>
            </w:r>
          </w:p>
        </w:tc>
      </w:tr>
    </w:tbl>
    <w:p>
      <w:pPr>
        <w:spacing w:after="240" w:before="100"/>
      </w:pPr>
      <w:r>
        <w:rPr>
          <w:rFonts w:ascii="Arial" w:cs="Arial" w:eastAsia="Arial" w:hAnsi="Arial"/>
          <w:i/>
          <w:iCs/>
          <w:color w:val="3B3B3B"/>
          <w:sz w:val="18"/>
          <w:szCs w:val="18"/>
        </w:rPr>
        <w:t xml:space="preserve">Nota. </w:t>
      </w:r>
      <w:r>
        <w:rPr>
          <w:rFonts w:ascii="Arial" w:cs="Arial" w:eastAsia="Arial" w:hAnsi="Arial"/>
          <w:color w:val="3B3B3B"/>
          <w:sz w:val="18"/>
          <w:szCs w:val="18"/>
        </w:rPr>
        <w:t xml:space="preserve">Coeficientes asignados según la tabla del Método MESERI (Fundación MAPFRE, s. f.; Unidades Tecnológicas de Santander, s. f.). La altura de las estanterías, el acceso pavimentado y el valor del inventario los informó el personal del CEDI (comunicación personal, octubre de 2026).</w:t>
      </w:r>
    </w:p>
    <w:p>
      <w:pPr>
        <w:pStyle w:val="Heading1"/>
        <w:keepNext/>
      </w:pPr>
      <w:r>
        <w:t xml:space="preserve">Factores de Protección (Y)</w:t>
      </w:r>
    </w:p>
    <w:p>
      <w:pPr>
        <w:spacing w:after="0" w:before="0" w:line="480" w:lineRule="auto"/>
        <w:ind w:firstLine="720"/>
        <w:jc w:val="left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Cada medio de protección se califica según exista con vigilancia (CV) o sin ella (SV).</w:t>
      </w:r>
    </w:p>
    <w:p>
      <w:pPr>
        <w:keepNext/>
        <w:spacing w:after="0" w:before="240" w:line="480"/>
      </w:pPr>
      <w:r>
        <w:rPr>
          <w:rFonts w:ascii="Arial" w:cs="Arial" w:eastAsia="Arial" w:hAnsi="Arial"/>
          <w:b/>
          <w:bCs/>
          <w:color w:val="3B3B3B"/>
          <w:sz w:val="22"/>
          <w:szCs w:val="22"/>
        </w:rPr>
        <w:t xml:space="preserve">Tabla 4</w:t>
      </w:r>
    </w:p>
    <w:p>
      <w:pPr>
        <w:keepNext/>
        <w:spacing w:after="60" w:line="480"/>
      </w:pPr>
      <w:r>
        <w:rPr>
          <w:rFonts w:ascii="Arial" w:cs="Arial" w:eastAsia="Arial" w:hAnsi="Arial"/>
          <w:i/>
          <w:iCs/>
          <w:color w:val="3B3B3B"/>
          <w:sz w:val="22"/>
          <w:szCs w:val="22"/>
        </w:rPr>
        <w:t xml:space="preserve">Factores de protección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00"/>
        <w:gridCol w:w="1100"/>
        <w:gridCol w:w="3460"/>
        <w:gridCol w:w="2900"/>
      </w:tblGrid>
      <w:tr>
        <w:trPr>
          <w:tblHeader/>
        </w:trPr>
        <w:tc>
          <w:tcPr>
            <w:tcW w:type="dxa" w:w="19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FACTOR</w:t>
            </w:r>
          </w:p>
        </w:tc>
        <w:tc>
          <w:tcPr>
            <w:tcW w:type="dxa" w:w="11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COEF.</w:t>
            </w:r>
          </w:p>
        </w:tc>
        <w:tc>
          <w:tcPr>
            <w:tcW w:type="dxa" w:w="34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JUSTIFICACIÓN</w:t>
            </w:r>
          </w:p>
        </w:tc>
        <w:tc>
          <w:tcPr>
            <w:tcW w:type="dxa" w:w="29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EVIDENCIA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Extintores portátiles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b/>
                <w:bCs/>
                <w:color w:val="7E8410"/>
                <w:sz w:val="16"/>
                <w:szCs w:val="16"/>
              </w:rPr>
              <w:t xml:space="preserve">EXT</w:t>
            </w:r>
          </w:p>
        </w:tc>
        <w:tc>
          <w:tcPr>
            <w:tcW w:type="dxa" w:w="11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2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CV</w:t>
            </w:r>
          </w:p>
        </w:tc>
        <w:tc>
          <w:tcPr>
            <w:tcW w:type="dxa" w:w="34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Extintores en bodega, muelles, corredores y comedor, señalizados, demarcados y con mantenimiento.</w:t>
            </w:r>
          </w:p>
        </w:tc>
        <w:tc>
          <w:tcPr>
            <w:tcW w:type="dxa" w:w="29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066800" cy="800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66800" cy="800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22.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Extintor de CO₂ demarcado.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Bocas de incendio equipadas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b/>
                <w:bCs/>
                <w:color w:val="7E8410"/>
                <w:sz w:val="16"/>
                <w:szCs w:val="16"/>
              </w:rPr>
              <w:t xml:space="preserve">BIE</w:t>
            </w:r>
          </w:p>
        </w:tc>
        <w:tc>
          <w:tcPr>
            <w:tcW w:type="dxa" w:w="11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4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CV</w:t>
            </w:r>
          </w:p>
        </w:tc>
        <w:tc>
          <w:tcPr>
            <w:tcW w:type="dxa" w:w="34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Gabinetes con manguera, válvula y extintor, señalizados y conectados a la red del cuarto de bombas.</w:t>
            </w:r>
          </w:p>
        </w:tc>
        <w:tc>
          <w:tcPr>
            <w:tcW w:type="dxa" w:w="29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066800" cy="800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66800" cy="800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23.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Gabinete contra incendio.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Columnas hidrantes exteriores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b/>
                <w:bCs/>
                <w:color w:val="7E8410"/>
                <w:sz w:val="16"/>
                <w:szCs w:val="16"/>
              </w:rPr>
              <w:t xml:space="preserve">CHE</w:t>
            </w:r>
          </w:p>
        </w:tc>
        <w:tc>
          <w:tcPr>
            <w:tcW w:type="dxa" w:w="11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4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CV</w:t>
            </w:r>
          </w:p>
        </w:tc>
        <w:tc>
          <w:tcPr>
            <w:tcW w:type="dxa" w:w="34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Hidrante junto al muro exterior, conectado a la red, con válvulas y salidas para manguera de bomberos.</w:t>
            </w:r>
          </w:p>
        </w:tc>
        <w:tc>
          <w:tcPr>
            <w:tcW w:type="dxa" w:w="29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066800" cy="800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66800" cy="800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24.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Hidrante exterior.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Detección automática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b/>
                <w:bCs/>
                <w:color w:val="7E8410"/>
                <w:sz w:val="16"/>
                <w:szCs w:val="16"/>
              </w:rPr>
              <w:t xml:space="preserve">DET</w:t>
            </w:r>
          </w:p>
        </w:tc>
        <w:tc>
          <w:tcPr>
            <w:tcW w:type="dxa" w:w="11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4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CV</w:t>
            </w:r>
          </w:p>
        </w:tc>
        <w:tc>
          <w:tcPr>
            <w:tcW w:type="dxa" w:w="34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Detectores de humo y alarmas bajo la cubierta y en áreas operativas.</w:t>
            </w:r>
          </w:p>
        </w:tc>
        <w:tc>
          <w:tcPr>
            <w:tcW w:type="dxa" w:w="29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066800" cy="800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66800" cy="800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25.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Detección y alarma.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Rociadores automáticos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b/>
                <w:bCs/>
                <w:color w:val="7E8410"/>
                <w:sz w:val="16"/>
                <w:szCs w:val="16"/>
              </w:rPr>
              <w:t xml:space="preserve">ROC</w:t>
            </w:r>
          </w:p>
        </w:tc>
        <w:tc>
          <w:tcPr>
            <w:tcW w:type="dxa" w:w="11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8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CV</w:t>
            </w:r>
          </w:p>
        </w:tc>
        <w:tc>
          <w:tcPr>
            <w:tcW w:type="dxa" w:w="34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Rociadores bajo toda la cubierta, con válvulas de control y cuarto de bombas.</w:t>
            </w:r>
          </w:p>
        </w:tc>
        <w:tc>
          <w:tcPr>
            <w:tcW w:type="dxa" w:w="29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066800" cy="800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66800" cy="800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26.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Red de rociadores.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Extinción por agentes gaseosos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b/>
                <w:bCs/>
                <w:color w:val="7E8410"/>
                <w:sz w:val="16"/>
                <w:szCs w:val="16"/>
              </w:rPr>
              <w:t xml:space="preserve">IFE</w:t>
            </w:r>
          </w:p>
        </w:tc>
        <w:tc>
          <w:tcPr>
            <w:tcW w:type="dxa" w:w="11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0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SV</w:t>
            </w:r>
          </w:p>
        </w:tc>
        <w:tc>
          <w:tcPr>
            <w:tcW w:type="dxa" w:w="34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No hay sistemas de agentes gaseosos; no aplican en la bodega.</w:t>
            </w:r>
          </w:p>
        </w:tc>
        <w:tc>
          <w:tcPr>
            <w:tcW w:type="dxa" w:w="29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i/>
                <w:iCs/>
                <w:color w:val="6B6B6B"/>
                <w:sz w:val="18"/>
                <w:szCs w:val="18"/>
              </w:rPr>
              <w:t xml:space="preserve">No aplica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TOTAL Y</w:t>
            </w:r>
          </w:p>
        </w:tc>
        <w:tc>
          <w:tcPr>
            <w:tcW w:type="dxa" w:w="11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CAD225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22</w:t>
            </w:r>
          </w:p>
        </w:tc>
        <w:tc>
          <w:tcPr>
            <w:tcW w:type="dxa" w:w="6360"/>
            <w:gridSpan w:val="2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FFFFFF"/>
                <w:sz w:val="18"/>
                <w:szCs w:val="18"/>
              </w:rPr>
              <w:t xml:space="preserve">de 26 puntos posibles (85 %)</w:t>
            </w:r>
          </w:p>
        </w:tc>
      </w:tr>
    </w:tbl>
    <w:p>
      <w:pPr>
        <w:spacing w:after="240" w:before="100"/>
      </w:pPr>
      <w:r>
        <w:rPr>
          <w:rFonts w:ascii="Arial" w:cs="Arial" w:eastAsia="Arial" w:hAnsi="Arial"/>
          <w:i/>
          <w:iCs/>
          <w:color w:val="3B3B3B"/>
          <w:sz w:val="18"/>
          <w:szCs w:val="18"/>
        </w:rPr>
        <w:t xml:space="preserve">Nota. </w:t>
      </w:r>
      <w:r>
        <w:rPr>
          <w:rFonts w:ascii="Arial" w:cs="Arial" w:eastAsia="Arial" w:hAnsi="Arial"/>
          <w:color w:val="3B3B3B"/>
          <w:sz w:val="18"/>
          <w:szCs w:val="18"/>
        </w:rPr>
        <w:t xml:space="preserve">CV = con vigilancia; SV = sin vigilancia. El personal del CEDI identificó la toma exterior como hidrante (comunicación personal, octubre de 2026).</w:t>
      </w:r>
    </w:p>
    <w:p>
      <w:pPr>
        <w:pStyle w:val="Heading1"/>
        <w:keepNext/>
      </w:pPr>
      <w:r>
        <w:t xml:space="preserve">Resultados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F2F2F2" w:color="auto" w:val="clear"/>
            <w:tcMar>
              <w:top w:type="dxa" w:w="140"/>
              <w:left w:type="dxa" w:w="80"/>
              <w:bottom w:type="dxa" w:w="1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20"/>
                <w:sz w:val="16"/>
                <w:szCs w:val="16"/>
              </w:rPr>
              <w:t xml:space="preserve">FACTORES X</w:t>
            </w:r>
          </w:p>
          <w:p>
            <w:pPr>
              <w:spacing w:after="2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48"/>
                <w:szCs w:val="48"/>
              </w:rPr>
              <w:t xml:space="preserve">54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3B3B3B"/>
                <w:sz w:val="16"/>
                <w:szCs w:val="16"/>
              </w:rPr>
              <w:t xml:space="preserve">de 129 puntos</w:t>
            </w:r>
          </w:p>
        </w:tc>
        <w:tc>
          <w:tcPr>
            <w:tcW w:type="dxa" w:w="234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F2F2F2" w:color="auto" w:val="clear"/>
            <w:tcMar>
              <w:top w:type="dxa" w:w="140"/>
              <w:left w:type="dxa" w:w="80"/>
              <w:bottom w:type="dxa" w:w="1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20"/>
                <w:sz w:val="16"/>
                <w:szCs w:val="16"/>
              </w:rPr>
              <w:t xml:space="preserve">FACTORES Y</w:t>
            </w:r>
          </w:p>
          <w:p>
            <w:pPr>
              <w:spacing w:after="2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48"/>
                <w:szCs w:val="48"/>
              </w:rPr>
              <w:t xml:space="preserve">22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3B3B3B"/>
                <w:sz w:val="16"/>
                <w:szCs w:val="16"/>
              </w:rPr>
              <w:t xml:space="preserve">de 26 puntos</w:t>
            </w:r>
          </w:p>
        </w:tc>
        <w:tc>
          <w:tcPr>
            <w:tcW w:type="dxa" w:w="234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F2F2F2" w:color="auto" w:val="clear"/>
            <w:tcMar>
              <w:top w:type="dxa" w:w="140"/>
              <w:left w:type="dxa" w:w="80"/>
              <w:bottom w:type="dxa" w:w="1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20"/>
                <w:sz w:val="16"/>
                <w:szCs w:val="16"/>
              </w:rPr>
              <w:t xml:space="preserve">BRIGADA (BCI)</w:t>
            </w:r>
          </w:p>
          <w:p>
            <w:pPr>
              <w:spacing w:after="2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48"/>
                <w:szCs w:val="48"/>
              </w:rPr>
              <w:t xml:space="preserve">0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3B3B3B"/>
                <w:sz w:val="16"/>
                <w:szCs w:val="16"/>
              </w:rPr>
              <w:t xml:space="preserve">no existe</w:t>
            </w:r>
          </w:p>
        </w:tc>
        <w:tc>
          <w:tcPr>
            <w:tcW w:type="dxa" w:w="234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CAD225" w:color="auto" w:val="clear"/>
            <w:tcMar>
              <w:top w:type="dxa" w:w="140"/>
              <w:left w:type="dxa" w:w="80"/>
              <w:bottom w:type="dxa" w:w="1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20"/>
                <w:sz w:val="16"/>
                <w:szCs w:val="16"/>
              </w:rPr>
              <w:t xml:space="preserve">RESULTADO P</w:t>
            </w:r>
          </w:p>
          <w:p>
            <w:pPr>
              <w:spacing w:after="2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48"/>
                <w:szCs w:val="48"/>
              </w:rPr>
              <w:t xml:space="preserve">6,32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3B3B3B"/>
                <w:sz w:val="16"/>
                <w:szCs w:val="16"/>
              </w:rPr>
              <w:t xml:space="preserve">Riesgo bueno</w:t>
            </w:r>
          </w:p>
        </w:tc>
      </w:tr>
    </w:tbl>
    <w:p>
      <w:pPr>
        <w:spacing w:after="2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360"/>
      </w:tblGrid>
      <w:tr>
        <w:tc>
          <w:tcPr>
            <w:tcW w:type="dxa" w:w="9360"/>
            <w:tcBorders>
              <w:top w:val="single" w:color="CAD225" w:sz="12"/>
              <w:left w:val="single" w:color="CAD225" w:sz="12"/>
              <w:bottom w:val="single" w:color="CAD225" w:sz="12"/>
              <w:right w:val="single" w:color="CAD225" w:sz="12"/>
            </w:tcBorders>
            <w:shd w:fill="F4F7D3" w:color="auto" w:val="clear"/>
            <w:tcMar>
              <w:top w:type="dxa" w:w="160"/>
              <w:left w:type="dxa" w:w="200"/>
              <w:bottom w:type="dxa" w:w="160"/>
              <w:right w:type="dxa" w:w="2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28"/>
                <w:szCs w:val="28"/>
              </w:rPr>
              <w:t xml:space="preserve">P = 5(54) / 129  +  5(22) / 26  +  0  =  2,093 + 4,231 + 0  =  6,32</w:t>
            </w:r>
          </w:p>
        </w:tc>
      </w:tr>
    </w:tbl>
    <w:p>
      <w:pPr>
        <w:spacing w:after="280"/>
      </w:pPr>
    </w:p>
    <w:p>
      <w:pPr>
        <w:spacing w:after="0" w:before="0" w:line="480" w:lineRule="auto"/>
        <w:ind w:firstLine="720"/>
        <w:jc w:val="left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El CEDI obtiene </w:t>
      </w:r>
      <w:r>
        <w:rPr>
          <w:rFonts w:ascii="Arial" w:cs="Arial" w:eastAsia="Arial" w:hAnsi="Arial"/>
          <w:b/>
          <w:bCs/>
          <w:color w:val="3B3B3B"/>
          <w:sz w:val="22"/>
          <w:szCs w:val="22"/>
        </w:rPr>
        <w:t xml:space="preserve">P = 6,32</w:t>
      </w:r>
      <w:r>
        <w:rPr>
          <w:rFonts w:ascii="Arial" w:cs="Arial" w:eastAsia="Arial" w:hAnsi="Arial"/>
          <w:color w:val="3B3B3B"/>
          <w:sz w:val="22"/>
          <w:szCs w:val="22"/>
        </w:rPr>
        <w:t xml:space="preserve">, por encima del mínimo aceptable de 5, lo que lo ubica en la categoría </w:t>
      </w:r>
      <w:r>
        <w:rPr>
          <w:rFonts w:ascii="Arial" w:cs="Arial" w:eastAsia="Arial" w:hAnsi="Arial"/>
          <w:b/>
          <w:bCs/>
          <w:color w:val="3B3B3B"/>
          <w:sz w:val="22"/>
          <w:szCs w:val="22"/>
        </w:rPr>
        <w:t xml:space="preserve">bueno</w:t>
      </w:r>
      <w:r>
        <w:rPr>
          <w:rFonts w:ascii="Arial" w:cs="Arial" w:eastAsia="Arial" w:hAnsi="Arial"/>
          <w:color w:val="3B3B3B"/>
          <w:sz w:val="22"/>
          <w:szCs w:val="22"/>
        </w:rPr>
        <w:t xml:space="preserve">. El CEDI no cuenta con brigada contra incendios, por lo que BCI = 0; la Tabla 5 muestra cómo mejoraría el resultado si se conformara una.</w:t>
      </w:r>
    </w:p>
    <w:p>
      <w:pPr>
        <w:keepNext/>
        <w:spacing w:after="0" w:before="240" w:line="480"/>
      </w:pPr>
      <w:r>
        <w:rPr>
          <w:rFonts w:ascii="Arial" w:cs="Arial" w:eastAsia="Arial" w:hAnsi="Arial"/>
          <w:b/>
          <w:bCs/>
          <w:color w:val="3B3B3B"/>
          <w:sz w:val="22"/>
          <w:szCs w:val="22"/>
        </w:rPr>
        <w:t xml:space="preserve">Tabla 5</w:t>
      </w:r>
    </w:p>
    <w:p>
      <w:pPr>
        <w:keepNext/>
        <w:spacing w:after="60" w:line="480"/>
      </w:pPr>
      <w:r>
        <w:rPr>
          <w:rFonts w:ascii="Arial" w:cs="Arial" w:eastAsia="Arial" w:hAnsi="Arial"/>
          <w:i/>
          <w:iCs/>
          <w:color w:val="3B3B3B"/>
          <w:sz w:val="22"/>
          <w:szCs w:val="22"/>
        </w:rPr>
        <w:t xml:space="preserve">Escenarios del coeficiente de protección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60"/>
        <w:gridCol w:w="800"/>
        <w:gridCol w:w="800"/>
        <w:gridCol w:w="800"/>
        <w:gridCol w:w="2200"/>
        <w:gridCol w:w="1500"/>
      </w:tblGrid>
      <w:tr>
        <w:trPr>
          <w:tblHeader/>
        </w:trPr>
        <w:tc>
          <w:tcPr>
            <w:tcW w:type="dxa" w:w="32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ESCENARIO</w:t>
            </w:r>
          </w:p>
        </w:tc>
        <w:tc>
          <w:tcPr>
            <w:tcW w:type="dxa" w:w="8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X</w:t>
            </w:r>
          </w:p>
        </w:tc>
        <w:tc>
          <w:tcPr>
            <w:tcW w:type="dxa" w:w="8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Y</w:t>
            </w:r>
          </w:p>
        </w:tc>
        <w:tc>
          <w:tcPr>
            <w:tcW w:type="dxa" w:w="8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BCI</w:t>
            </w:r>
          </w:p>
        </w:tc>
        <w:tc>
          <w:tcPr>
            <w:tcW w:type="dxa" w:w="22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CÁLCULO</w:t>
            </w:r>
          </w:p>
        </w:tc>
        <w:tc>
          <w:tcPr>
            <w:tcW w:type="dxa" w:w="15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</w:t>
            </w:r>
          </w:p>
        </w:tc>
      </w:tr>
      <w:tr>
        <w:tc>
          <w:tcPr>
            <w:tcW w:type="dxa" w:w="32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Actual (EXT, BIE, CHE, DET, ROC)</w:t>
            </w:r>
          </w:p>
        </w:tc>
        <w:tc>
          <w:tcPr>
            <w:tcW w:type="dxa" w:w="8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54</w:t>
            </w:r>
          </w:p>
        </w:tc>
        <w:tc>
          <w:tcPr>
            <w:tcW w:type="dxa" w:w="8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22</w:t>
            </w:r>
          </w:p>
        </w:tc>
        <w:tc>
          <w:tcPr>
            <w:tcW w:type="dxa" w:w="8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0</w:t>
            </w:r>
          </w:p>
        </w:tc>
        <w:tc>
          <w:tcPr>
            <w:tcW w:type="dxa" w:w="22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color w:val="3B3B3B"/>
                <w:sz w:val="16"/>
                <w:szCs w:val="16"/>
              </w:rPr>
              <w:t xml:space="preserve">5(54)/129 + 5(22)/26 + 0</w:t>
            </w:r>
          </w:p>
        </w:tc>
        <w:tc>
          <w:tcPr>
            <w:tcW w:type="dxa" w:w="15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22"/>
                <w:szCs w:val="22"/>
              </w:rPr>
              <w:t xml:space="preserve">6,32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Bueno</w:t>
            </w:r>
          </w:p>
        </w:tc>
      </w:tr>
      <w:tr>
        <w:tc>
          <w:tcPr>
            <w:tcW w:type="dxa" w:w="32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B3B3B"/>
                <w:sz w:val="18"/>
                <w:szCs w:val="18"/>
              </w:rPr>
              <w:t xml:space="preserve">Si se conforma una brigada</w:t>
            </w:r>
          </w:p>
        </w:tc>
        <w:tc>
          <w:tcPr>
            <w:tcW w:type="dxa" w:w="8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54</w:t>
            </w:r>
          </w:p>
        </w:tc>
        <w:tc>
          <w:tcPr>
            <w:tcW w:type="dxa" w:w="8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22</w:t>
            </w:r>
          </w:p>
        </w:tc>
        <w:tc>
          <w:tcPr>
            <w:tcW w:type="dxa" w:w="8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1</w:t>
            </w:r>
          </w:p>
        </w:tc>
        <w:tc>
          <w:tcPr>
            <w:tcW w:type="dxa" w:w="22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color w:val="3B3B3B"/>
                <w:sz w:val="16"/>
                <w:szCs w:val="16"/>
              </w:rPr>
              <w:t xml:space="preserve">5(54)/129 + 5(22)/26 + 1</w:t>
            </w:r>
          </w:p>
        </w:tc>
        <w:tc>
          <w:tcPr>
            <w:tcW w:type="dxa" w:w="15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22"/>
                <w:szCs w:val="22"/>
              </w:rPr>
              <w:t xml:space="preserve">7,32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Bueno</w:t>
            </w:r>
          </w:p>
        </w:tc>
      </w:tr>
    </w:tbl>
    <w:p>
      <w:pPr>
        <w:spacing w:after="240" w:before="100"/>
      </w:pPr>
      <w:r>
        <w:rPr>
          <w:rFonts w:ascii="Arial" w:cs="Arial" w:eastAsia="Arial" w:hAnsi="Arial"/>
          <w:i/>
          <w:iCs/>
          <w:color w:val="3B3B3B"/>
          <w:sz w:val="18"/>
          <w:szCs w:val="18"/>
        </w:rPr>
        <w:t xml:space="preserve">Nota. </w:t>
      </w:r>
      <w:r>
        <w:rPr>
          <w:rFonts w:ascii="Arial" w:cs="Arial" w:eastAsia="Arial" w:hAnsi="Arial"/>
          <w:color w:val="3B3B3B"/>
          <w:sz w:val="18"/>
          <w:szCs w:val="18"/>
        </w:rPr>
        <w:t xml:space="preserve">La brigada contra incendios (BCI) suma 1 punto directamente a P. La ausencia de brigada la informó el personal del CEDI (comunicación personal, octubre de 2026).</w:t>
      </w:r>
    </w:p>
    <w:p>
      <w:pPr>
        <w:pStyle w:val="Heading1"/>
        <w:keepNext/>
      </w:pPr>
      <w:r>
        <w:t xml:space="preserve">Conclusiones y Recomendaciones</w:t>
      </w:r>
    </w:p>
    <w:p>
      <w:pPr>
        <w:spacing w:after="0" w:before="0" w:line="480" w:lineRule="auto"/>
        <w:ind w:firstLine="720"/>
        <w:jc w:val="left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El riesgo de incendio del CEDI D1 Lebrija es </w:t>
      </w:r>
      <w:r>
        <w:rPr>
          <w:rFonts w:ascii="Arial" w:cs="Arial" w:eastAsia="Arial" w:hAnsi="Arial"/>
          <w:b/>
          <w:bCs/>
          <w:color w:val="3B3B3B"/>
          <w:sz w:val="22"/>
          <w:szCs w:val="22"/>
        </w:rPr>
        <w:t xml:space="preserve">bueno (P = 6,32)</w:t>
      </w:r>
      <w:r>
        <w:rPr>
          <w:rFonts w:ascii="Arial" w:cs="Arial" w:eastAsia="Arial" w:hAnsi="Arial"/>
          <w:color w:val="3B3B3B"/>
          <w:sz w:val="22"/>
          <w:szCs w:val="22"/>
        </w:rPr>
        <w:t xml:space="preserve">. Las instalaciones por sí solas son desfavorables, pero los sistemas de protección compensan buena parte de esa vulnerabilidad.</w:t>
      </w:r>
    </w:p>
    <w:p>
      <w:pPr>
        <w:pStyle w:val="Heading2"/>
        <w:keepNext/>
      </w:pPr>
      <w:r>
        <w:t xml:space="preserve">Factores que aumentan el riesgo</w:t>
      </w:r>
    </w:p>
    <w:p>
      <w:pPr>
        <w:pStyle w:val="ListParagraph"/>
        <w:numPr>
          <w:ilvl w:val="0"/>
          <w:numId w:val="2"/>
        </w:numPr>
        <w:spacing w:after="0" w:line="480" w:lineRule="auto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Un solo sector de incendio de más de 4.500 m², sin muros cortafuego.</w:t>
      </w:r>
    </w:p>
    <w:p>
      <w:pPr>
        <w:pStyle w:val="ListParagraph"/>
        <w:numPr>
          <w:ilvl w:val="0"/>
          <w:numId w:val="2"/>
        </w:numPr>
        <w:spacing w:after="0" w:line="480" w:lineRule="auto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Almacenamiento de unos 10 m de alto, que favorece la propagación vertical.</w:t>
      </w:r>
    </w:p>
    <w:p>
      <w:pPr>
        <w:pStyle w:val="ListParagraph"/>
        <w:numPr>
          <w:ilvl w:val="0"/>
          <w:numId w:val="2"/>
        </w:numPr>
        <w:spacing w:after="0" w:line="480" w:lineRule="auto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Cocina del comedor con equipos eléctricos y cableado expuesto.</w:t>
      </w:r>
    </w:p>
    <w:p>
      <w:pPr>
        <w:pStyle w:val="ListParagraph"/>
        <w:numPr>
          <w:ilvl w:val="0"/>
          <w:numId w:val="2"/>
        </w:numPr>
        <w:spacing w:after="0" w:line="480" w:lineRule="auto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Carga térmica alta y mercancía muy sensible al calor y al humo.</w:t>
      </w:r>
    </w:p>
    <w:p>
      <w:pPr>
        <w:pStyle w:val="ListParagraph"/>
        <w:numPr>
          <w:ilvl w:val="0"/>
          <w:numId w:val="2"/>
        </w:numPr>
        <w:spacing w:after="0" w:line="480" w:lineRule="auto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Alta concentración de valores: cerca de 28,7 millones de pesos por m².</w:t>
      </w:r>
    </w:p>
    <w:p>
      <w:pPr>
        <w:pStyle w:val="ListParagraph"/>
        <w:numPr>
          <w:ilvl w:val="0"/>
          <w:numId w:val="2"/>
        </w:numPr>
        <w:spacing w:after="0" w:line="480" w:lineRule="auto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No existe brigada contra incendios.</w:t>
      </w:r>
    </w:p>
    <w:p>
      <w:pPr>
        <w:pStyle w:val="Heading2"/>
        <w:keepNext/>
      </w:pPr>
      <w:r>
        <w:t xml:space="preserve">Factores que lo reducen</w:t>
      </w:r>
    </w:p>
    <w:p>
      <w:pPr>
        <w:pStyle w:val="ListParagraph"/>
        <w:numPr>
          <w:ilvl w:val="0"/>
          <w:numId w:val="2"/>
        </w:numPr>
        <w:spacing w:after="0" w:line="480" w:lineRule="auto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Rociadores automáticos en toda la nave (8 puntos).</w:t>
      </w:r>
    </w:p>
    <w:p>
      <w:pPr>
        <w:pStyle w:val="ListParagraph"/>
        <w:numPr>
          <w:ilvl w:val="0"/>
          <w:numId w:val="2"/>
        </w:numPr>
        <w:spacing w:after="0" w:line="480" w:lineRule="auto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Detección automática, gabinetes BIE e hidrante exterior (4 puntos cada uno).</w:t>
      </w:r>
    </w:p>
    <w:p>
      <w:pPr>
        <w:pStyle w:val="ListParagraph"/>
        <w:numPr>
          <w:ilvl w:val="0"/>
          <w:numId w:val="2"/>
        </w:numPr>
        <w:spacing w:after="0" w:line="480" w:lineRule="auto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Extintores portátiles con mantenimiento y cuarto de bombas propio.</w:t>
      </w:r>
    </w:p>
    <w:p>
      <w:pPr>
        <w:pStyle w:val="ListParagraph"/>
        <w:numPr>
          <w:ilvl w:val="0"/>
          <w:numId w:val="2"/>
        </w:numPr>
        <w:spacing w:after="0" w:line="480" w:lineRule="auto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Extintores y rutas de evacuación señalizadas también en oficinas y comedor.</w:t>
      </w:r>
    </w:p>
    <w:p>
      <w:pPr>
        <w:pStyle w:val="ListParagraph"/>
        <w:numPr>
          <w:ilvl w:val="0"/>
          <w:numId w:val="2"/>
        </w:numPr>
        <w:spacing w:after="0" w:line="480" w:lineRule="auto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Estación de bomberos a solo 3,4 km (5 min) por carretera.</w:t>
      </w:r>
    </w:p>
    <w:p>
      <w:pPr>
        <w:pStyle w:val="Heading2"/>
        <w:keepNext/>
      </w:pPr>
      <w:r>
        <w:t xml:space="preserve">Recomendaciones</w:t>
      </w:r>
    </w:p>
    <w:p>
      <w:pPr>
        <w:pStyle w:val="ListParagraph"/>
        <w:numPr>
          <w:ilvl w:val="0"/>
          <w:numId w:val="2"/>
        </w:numPr>
        <w:spacing w:after="0" w:line="480" w:lineRule="auto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Mantener la inspección y prueba periódica de rociadores, bombas y válvulas.</w:t>
      </w:r>
    </w:p>
    <w:p>
      <w:pPr>
        <w:pStyle w:val="ListParagraph"/>
        <w:numPr>
          <w:ilvl w:val="0"/>
          <w:numId w:val="2"/>
        </w:numPr>
        <w:spacing w:after="0" w:line="480" w:lineRule="auto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Conformar y capacitar una brigada contra incendios: P subiría a 7,32.</w:t>
      </w:r>
    </w:p>
    <w:p>
      <w:pPr>
        <w:pStyle w:val="ListParagraph"/>
        <w:numPr>
          <w:ilvl w:val="0"/>
          <w:numId w:val="2"/>
        </w:numPr>
        <w:spacing w:after="0" w:line="480" w:lineRule="auto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Mantener el hidrante exterior señalizado, despejado y con prueba periódica.</w:t>
      </w:r>
    </w:p>
    <w:p>
      <w:pPr>
        <w:pStyle w:val="ListParagraph"/>
        <w:numPr>
          <w:ilvl w:val="0"/>
          <w:numId w:val="2"/>
        </w:numPr>
        <w:spacing w:after="0" w:line="480" w:lineRule="auto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Controlar la acumulación de estibas y evaluar muros cortafuego en futuras ampliaciones.</w:t>
      </w:r>
    </w:p>
    <w:p>
      <w:pPr>
        <w:pStyle w:val="ListParagraph"/>
        <w:numPr>
          <w:ilvl w:val="0"/>
          <w:numId w:val="2"/>
        </w:numPr>
        <w:spacing w:after="0" w:line="480" w:lineRule="auto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Corregir el cableado expuesto en la cocina del comedor.</w:t>
      </w:r>
    </w:p>
    <w:p>
      <w:pPr>
        <w:pStyle w:val="ListParagraph"/>
        <w:numPr>
          <w:ilvl w:val="0"/>
          <w:numId w:val="2"/>
        </w:numPr>
        <w:spacing w:after="0" w:line="480" w:lineRule="auto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Capacitar al personal en uso de extintores y evacuación.</w:t>
      </w:r>
    </w:p>
    <w:p>
      <w:pPr>
        <w:pStyle w:val="Heading1"/>
        <w:keepNext/>
        <w:pageBreakBefore/>
      </w:pPr>
      <w:r>
        <w:t xml:space="preserve">Referencias</w:t>
      </w:r>
    </w:p>
    <w:p>
      <w:pPr>
        <w:spacing w:after="0" w:line="480" w:lineRule="auto"/>
        <w:ind w:left="720" w:hanging="720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Fondo Inmobiliario Colombia. (s. f.). </w:t>
      </w:r>
      <w:r>
        <w:rPr>
          <w:rFonts w:ascii="Arial" w:cs="Arial" w:eastAsia="Arial" w:hAnsi="Arial"/>
          <w:i/>
          <w:iCs/>
          <w:color w:val="3B3B3B"/>
          <w:sz w:val="22"/>
          <w:szCs w:val="22"/>
        </w:rPr>
        <w:t xml:space="preserve">Ficha CEDI Bucaramanga / Lebrija</w:t>
      </w:r>
      <w:r>
        <w:rPr>
          <w:rFonts w:ascii="Arial" w:cs="Arial" w:eastAsia="Arial" w:hAnsi="Arial"/>
          <w:color w:val="3B3B3B"/>
          <w:sz w:val="22"/>
          <w:szCs w:val="22"/>
        </w:rPr>
        <w:t xml:space="preserve">.</w:t>
      </w:r>
    </w:p>
    <w:p>
      <w:pPr>
        <w:spacing w:after="0" w:line="480" w:lineRule="auto"/>
        <w:ind w:left="720" w:hanging="720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Fundación MAPFRE. (s. f.). </w:t>
      </w:r>
      <w:r>
        <w:rPr>
          <w:rFonts w:ascii="Arial" w:cs="Arial" w:eastAsia="Arial" w:hAnsi="Arial"/>
          <w:i/>
          <w:iCs/>
          <w:color w:val="3B3B3B"/>
          <w:sz w:val="22"/>
          <w:szCs w:val="22"/>
        </w:rPr>
        <w:t xml:space="preserve">Método simplificado de evaluación del riesgo de incendio: MESERI</w:t>
      </w:r>
      <w:r>
        <w:rPr>
          <w:rFonts w:ascii="Arial" w:cs="Arial" w:eastAsia="Arial" w:hAnsi="Arial"/>
          <w:color w:val="3B3B3B"/>
          <w:sz w:val="22"/>
          <w:szCs w:val="22"/>
        </w:rPr>
        <w:t xml:space="preserve">.</w:t>
      </w:r>
    </w:p>
    <w:p>
      <w:pPr>
        <w:spacing w:after="0" w:line="480" w:lineRule="auto"/>
        <w:ind w:left="720" w:hanging="720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Google. (s. f.). [Medición de la superficie del CEDI D1 Lebrija y ruta desde la Estación de Bomberos de Lebrija, Santander]. </w:t>
      </w:r>
      <w:r>
        <w:rPr>
          <w:rFonts w:ascii="Arial" w:cs="Arial" w:eastAsia="Arial" w:hAnsi="Arial"/>
          <w:i/>
          <w:iCs/>
          <w:color w:val="3B3B3B"/>
          <w:sz w:val="22"/>
          <w:szCs w:val="22"/>
        </w:rPr>
        <w:t xml:space="preserve">Google Maps</w:t>
      </w:r>
      <w:r>
        <w:rPr>
          <w:rFonts w:ascii="Arial" w:cs="Arial" w:eastAsia="Arial" w:hAnsi="Arial"/>
          <w:color w:val="3B3B3B"/>
          <w:sz w:val="22"/>
          <w:szCs w:val="22"/>
        </w:rPr>
        <w:t xml:space="preserve">. Recuperado el 23 de octubre de 2026, de https://maps.google.com</w:t>
      </w:r>
    </w:p>
    <w:p>
      <w:pPr>
        <w:spacing w:after="0" w:line="480" w:lineRule="auto"/>
        <w:ind w:left="720" w:hanging="720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Unidades Tecnológicas de Santander. (s. f.). </w:t>
      </w:r>
      <w:r>
        <w:rPr>
          <w:rFonts w:ascii="Arial" w:cs="Arial" w:eastAsia="Arial" w:hAnsi="Arial"/>
          <w:i/>
          <w:iCs/>
          <w:color w:val="3B3B3B"/>
          <w:sz w:val="22"/>
          <w:szCs w:val="22"/>
        </w:rPr>
        <w:t xml:space="preserve">Metodología: evaluación del riesgo de incendio MESERI</w:t>
      </w:r>
      <w:r>
        <w:rPr>
          <w:rFonts w:ascii="Arial" w:cs="Arial" w:eastAsia="Arial" w:hAnsi="Arial"/>
          <w:color w:val="3B3B3B"/>
          <w:sz w:val="22"/>
          <w:szCs w:val="22"/>
        </w:rPr>
        <w:t xml:space="preserve"> [Diapositivas de clase]. Electiva Complementaria Salud Ocupacional.</w:t>
      </w:r>
    </w:p>
    <w:p>
      <w:pPr>
        <w:pStyle w:val="Heading1"/>
        <w:keepNext/>
        <w:pageBreakBefore/>
      </w:pPr>
      <w:r>
        <w:t xml:space="preserve">Anexo A</w:t>
      </w:r>
    </w:p>
    <w:p>
      <w:pPr>
        <w:spacing w:after="0" w:line="480"/>
        <w:jc w:val="center"/>
      </w:pPr>
      <w:r>
        <w:rPr>
          <w:rFonts w:ascii="Arial" w:cs="Arial" w:eastAsia="Arial" w:hAnsi="Arial"/>
          <w:b/>
          <w:bCs/>
          <w:color w:val="3B3B3B"/>
          <w:sz w:val="22"/>
          <w:szCs w:val="22"/>
        </w:rPr>
        <w:t xml:space="preserve">Registro Fotográfico Complementario</w:t>
      </w:r>
    </w:p>
    <w:p>
      <w:pPr>
        <w:keepNext/>
        <w:spacing w:after="80" w:before="200"/>
      </w:pPr>
      <w:r>
        <w:rPr>
          <w:rFonts w:ascii="Arial" w:cs="Arial" w:eastAsia="Arial" w:hAnsi="Arial"/>
          <w:b/>
          <w:bCs/>
          <w:color w:val="3B3B3B"/>
          <w:sz w:val="22"/>
          <w:szCs w:val="22"/>
        </w:rPr>
        <w:t xml:space="preserve">Figuras Ampliadas de la Tabla 3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680"/>
        <w:gridCol w:w="4680"/>
      </w:tblGrid>
      <w:tr>
        <w:trPr>
          <w:cantSplit/>
        </w:trPr>
        <w:tc>
          <w:tcPr>
            <w:tcW w:type="dxa" w:w="468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2095500" cy="15716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95500" cy="1571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4.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Bodega: cubierta a la vista.</w:t>
            </w:r>
          </w:p>
        </w:tc>
        <w:tc>
          <w:tcPr>
            <w:tcW w:type="dxa" w:w="468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2095500" cy="15716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95500" cy="1571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5.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Comedor: cielo raso.</w:t>
            </w:r>
          </w:p>
        </w:tc>
      </w:tr>
      <w:tr>
        <w:trPr>
          <w:cantSplit/>
        </w:trPr>
        <w:tc>
          <w:tcPr>
            <w:tcW w:type="dxa" w:w="468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2095500" cy="15716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95500" cy="1571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8.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Carga de montacargas.</w:t>
            </w:r>
          </w:p>
        </w:tc>
        <w:tc>
          <w:tcPr>
            <w:tcW w:type="dxa" w:w="468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2095500" cy="15716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95500" cy="1571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9.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Cocina: cableado expuesto.</w:t>
            </w:r>
          </w:p>
        </w:tc>
      </w:tr>
      <w:tr>
        <w:trPr>
          <w:cantSplit/>
        </w:trPr>
        <w:tc>
          <w:tcPr>
            <w:tcW w:type="dxa" w:w="468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2095500" cy="15716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95500" cy="1571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12.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Pasillo de la bodega.</w:t>
            </w:r>
          </w:p>
        </w:tc>
        <w:tc>
          <w:tcPr>
            <w:tcW w:type="dxa" w:w="468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2095500" cy="15716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95500" cy="1571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13.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Corredor de oficinas.</w:t>
            </w:r>
          </w:p>
        </w:tc>
      </w:tr>
    </w:tbl>
    <w:p>
      <w:pPr>
        <w:keepNext/>
        <w:spacing w:after="80" w:before="200"/>
      </w:pPr>
      <w:r>
        <w:rPr>
          <w:rFonts w:ascii="Arial" w:cs="Arial" w:eastAsia="Arial" w:hAnsi="Arial"/>
          <w:b/>
          <w:bCs/>
          <w:color w:val="3B3B3B"/>
          <w:sz w:val="22"/>
          <w:szCs w:val="22"/>
        </w:rPr>
        <w:t xml:space="preserve">Mezanine Administrativo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340"/>
        <w:gridCol w:w="2340"/>
        <w:gridCol w:w="2340"/>
        <w:gridCol w:w="2340"/>
      </w:tblGrid>
      <w:tr>
        <w:trPr>
          <w:cantSplit/>
        </w:trPr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371600" cy="1028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028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A1.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Acceso a oficinas.</w:t>
            </w:r>
          </w:p>
        </w:tc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371600" cy="1028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028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A2.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Corredor interno.</w:t>
            </w:r>
          </w:p>
        </w:tc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371600" cy="1028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028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A3.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Sala de capacitación.</w:t>
            </w:r>
          </w:p>
        </w:tc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371600" cy="1028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028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A4.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Señal de extintor.</w:t>
            </w:r>
          </w:p>
        </w:tc>
      </w:tr>
    </w:tbl>
    <w:p>
      <w:pPr>
        <w:keepNext/>
        <w:spacing w:after="80" w:before="200"/>
      </w:pPr>
      <w:r>
        <w:rPr>
          <w:rFonts w:ascii="Arial" w:cs="Arial" w:eastAsia="Arial" w:hAnsi="Arial"/>
          <w:b/>
          <w:bCs/>
          <w:color w:val="3B3B3B"/>
          <w:sz w:val="22"/>
          <w:szCs w:val="22"/>
        </w:rPr>
        <w:t xml:space="preserve">Sistema de Bombeo Contra Incendio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340"/>
        <w:gridCol w:w="2340"/>
        <w:gridCol w:w="2340"/>
        <w:gridCol w:w="2340"/>
      </w:tblGrid>
      <w:tr>
        <w:trPr>
          <w:cantSplit/>
        </w:trPr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371600" cy="1028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028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A5.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Bomba principal.</w:t>
            </w:r>
          </w:p>
        </w:tc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371600" cy="1028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028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A6.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Bomba jockey.</w:t>
            </w:r>
          </w:p>
        </w:tc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371600" cy="1028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028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A7.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Válvulas de la red.</w:t>
            </w:r>
          </w:p>
        </w:tc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371600" cy="1028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028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A8.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Tanque hidroneumático.</w:t>
            </w:r>
          </w:p>
        </w:tc>
      </w:tr>
    </w:tbl>
    <w:p>
      <w:pPr>
        <w:keepNext/>
        <w:spacing w:after="80" w:before="200"/>
      </w:pPr>
      <w:r>
        <w:rPr>
          <w:rFonts w:ascii="Arial" w:cs="Arial" w:eastAsia="Arial" w:hAnsi="Arial"/>
          <w:b/>
          <w:bCs/>
          <w:color w:val="3B3B3B"/>
          <w:sz w:val="22"/>
          <w:szCs w:val="22"/>
        </w:rPr>
        <w:t xml:space="preserve">Equipos de Protección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340"/>
        <w:gridCol w:w="2340"/>
        <w:gridCol w:w="2340"/>
        <w:gridCol w:w="2340"/>
      </w:tblGrid>
      <w:tr>
        <w:trPr>
          <w:cantSplit/>
        </w:trPr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371600" cy="1028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028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A9.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Gabinete y salida de emergencia.</w:t>
            </w:r>
          </w:p>
        </w:tc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371600" cy="1028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028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A10.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Montantes y válvulas.</w:t>
            </w:r>
          </w:p>
        </w:tc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371600" cy="1028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028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A11.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Extintor en corredor.</w:t>
            </w:r>
          </w:p>
        </w:tc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371600" cy="1028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028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A12.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Extintor en el comedor.</w:t>
            </w:r>
          </w:p>
        </w:tc>
      </w:tr>
    </w:tbl>
    <w:p>
      <w:pPr>
        <w:keepNext/>
        <w:spacing w:after="80" w:before="200"/>
      </w:pPr>
      <w:r>
        <w:rPr>
          <w:rFonts w:ascii="Arial" w:cs="Arial" w:eastAsia="Arial" w:hAnsi="Arial"/>
          <w:b/>
          <w:bCs/>
          <w:color w:val="3B3B3B"/>
          <w:sz w:val="22"/>
          <w:szCs w:val="22"/>
        </w:rPr>
        <w:t xml:space="preserve">Bodega y Muelles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340"/>
        <w:gridCol w:w="2340"/>
        <w:gridCol w:w="2340"/>
        <w:gridCol w:w="2340"/>
      </w:tblGrid>
      <w:tr>
        <w:trPr>
          <w:cantSplit/>
        </w:trPr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371600" cy="1028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028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A13.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Rociadores en el mezanine.</w:t>
            </w:r>
          </w:p>
        </w:tc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371600" cy="1028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028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A14.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Interior de la cava.</w:t>
            </w:r>
          </w:p>
        </w:tc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371600" cy="1028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028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A15.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Acumulación de estibas.</w:t>
            </w:r>
          </w:p>
        </w:tc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371600" cy="1028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028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A16.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Muelles de cargue.</w:t>
            </w:r>
          </w:p>
        </w:tc>
      </w:tr>
    </w:tbl>
    <w:sectPr>
      <w:headerReference w:type="default" r:id="rId7"/>
      <w:headerReference w:type="first" r:id="rId8"/>
      <w:footerReference w:type="default" r:id="rId9"/>
      <w:footerReference w:type="first" r:id="rId10"/>
      <w:pgSz w:w="12240" w:h="15840" w:orient="portrait"/>
      <w:pgMar w:top="1440" w:right="1440" w:bottom="1440" w:left="1440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C9C9" w:sz="6" w:space="6"/>
      </w:pBdr>
      <w:jc w:val="center"/>
    </w:pPr>
    <w:r>
      <w:rPr>
        <w:rFonts w:ascii="Arial" w:cs="Arial" w:eastAsia="Arial" w:hAnsi="Arial"/>
        <w:color w:val="6B6B6B"/>
        <w:sz w:val="16"/>
        <w:szCs w:val="16"/>
      </w:rPr>
      <w:t xml:space="preserve">Evaluación de Riesgos de Incendio – Método MESERI · CEDI D1 Lebrija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AD225" w:sz="12" w:space="6"/>
      </w:pBdr>
      <w:tabs>
        <w:tab w:val="right" w:pos="9360"/>
      </w:tabs>
    </w:pPr>
    <w:r>
      <w:drawing>
        <wp:inline distT="0" distB="0" distL="0" distR="0">
          <wp:extent cx="323850" cy="2286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23850" cy="2286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 xml:space="preserve">	</w:t>
    </w:r>
    <w:r>
      <w:rPr>
        <w:rFonts w:ascii="Arial" w:cs="Arial" w:eastAsia="Arial" w:hAnsi="Arial"/>
        <w:color w:val="3B3B3B"/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3B3B3B"/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■"/>
      <w:lvlJc w:val="left"/>
      <w:pPr>
        <w:ind w:left="560" w:hanging="300"/>
      </w:pPr>
      <w:rPr>
        <w:color w:val="CAD225"/>
        <w:sz w:val="16"/>
        <w:szCs w:val="16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3B3B3B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0" w:before="360" w:line="480"/>
      <w:jc w:val="center"/>
      <w:outlineLvl w:val="0"/>
    </w:pPr>
    <w:rPr>
      <w:rFonts w:ascii="Arial" w:cs="Arial" w:eastAsia="Arial" w:hAnsi="Arial"/>
      <w:b/>
      <w:bCs/>
      <w:color w:val="3B3B3B"/>
      <w:sz w:val="22"/>
      <w:szCs w:val="22"/>
    </w:rPr>
  </w:style>
  <w:style w:type="paragraph" w:styleId="Heading2">
    <w:name w:val="Heading 2"/>
    <w:basedOn w:val="Normal"/>
    <w:next w:val="Normal"/>
    <w:qFormat/>
    <w:pPr>
      <w:keepNext/>
      <w:spacing w:after="0" w:before="120" w:line="480"/>
      <w:jc w:val="left"/>
      <w:outlineLvl w:val="1"/>
    </w:pPr>
    <w:rPr>
      <w:rFonts w:ascii="Arial" w:cs="Arial" w:eastAsia="Arial" w:hAnsi="Arial"/>
      <w:b/>
      <w:bCs/>
      <w:color w:val="3B3B3B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cec7767423571e44399f80317da09f83bd960d12.png"/><Relationship Id="rId12" Type="http://schemas.openxmlformats.org/officeDocument/2006/relationships/image" Target="media/cb5ca1a99486506f6648eba90f7c4f4a6a315abb.jpg"/><Relationship Id="rId13" Type="http://schemas.openxmlformats.org/officeDocument/2006/relationships/image" Target="media/7de187e903c463034a070588c63180027b998f4a.jpg"/><Relationship Id="rId14" Type="http://schemas.openxmlformats.org/officeDocument/2006/relationships/image" Target="media/89bc142259407c5d56bb7a1abc103884b840c91b.jpg"/><Relationship Id="rId15" Type="http://schemas.openxmlformats.org/officeDocument/2006/relationships/image" Target="media/9a2152f264ff0b8d47426670e0325a8f16a81d57.jpg"/><Relationship Id="rId16" Type="http://schemas.openxmlformats.org/officeDocument/2006/relationships/image" Target="media/db27d87def3db46cd62879d3739518bc2920b65f.jpg"/><Relationship Id="rId17" Type="http://schemas.openxmlformats.org/officeDocument/2006/relationships/image" Target="media/421f5e514b8831187701a9ecf2b9240b1d8b5923.jpg"/><Relationship Id="rId18" Type="http://schemas.openxmlformats.org/officeDocument/2006/relationships/image" Target="media/5fa581d7bb723f1a63d63cea0f393f538761de0c.jpg"/><Relationship Id="rId19" Type="http://schemas.openxmlformats.org/officeDocument/2006/relationships/image" Target="media/cfb687fb5ed71ff778d0112e458230228f62dabc.jpg"/><Relationship Id="rId20" Type="http://schemas.openxmlformats.org/officeDocument/2006/relationships/image" Target="media/5a5a419eaca7fb6484dc7d0e6ea8b426d41f9057.jpg"/><Relationship Id="rId21" Type="http://schemas.openxmlformats.org/officeDocument/2006/relationships/image" Target="media/5e5500b961be8a3c2d41a8fc5dbdf285431d5ce4.jpg"/><Relationship Id="rId22" Type="http://schemas.openxmlformats.org/officeDocument/2006/relationships/image" Target="media/cf9d995420f237e5f467e32b92536250228cd216.jpg"/><Relationship Id="rId23" Type="http://schemas.openxmlformats.org/officeDocument/2006/relationships/image" Target="media/0f9be68fdb19beb564ec0b3af42998b7a2c7ccdd.jpg"/><Relationship Id="rId24" Type="http://schemas.openxmlformats.org/officeDocument/2006/relationships/image" Target="media/b03d6cadaf050bdacc990d15903ff23af349e0fa.jpg"/><Relationship Id="rId25" Type="http://schemas.openxmlformats.org/officeDocument/2006/relationships/image" Target="media/a1ad16adc5098955d99da07ffbbfee9dcd0c4642.jpg"/><Relationship Id="rId26" Type="http://schemas.openxmlformats.org/officeDocument/2006/relationships/image" Target="media/4432effcc5f6f44b9178831efdaf2338c658c36d.jpg"/><Relationship Id="rId27" Type="http://schemas.openxmlformats.org/officeDocument/2006/relationships/image" Target="media/243786a2a3f8f18fc6f75f1b05bb388cf3af794f.jpg"/><Relationship Id="rId28" Type="http://schemas.openxmlformats.org/officeDocument/2006/relationships/image" Target="media/76f8587993153e602b205aa5cc865ba93f33b81e.jpg"/><Relationship Id="rId29" Type="http://schemas.openxmlformats.org/officeDocument/2006/relationships/image" Target="media/50e8892188ab26e17d2505d4da272193ea7de849.jpg"/><Relationship Id="rId30" Type="http://schemas.openxmlformats.org/officeDocument/2006/relationships/image" Target="media/1c8b8ddcd71a93f158a982417d38c0a99a77b696.jpg"/><Relationship Id="rId31" Type="http://schemas.openxmlformats.org/officeDocument/2006/relationships/image" Target="media/2123fca6546a1776189094adebe92e282d15b090.jpg"/><Relationship Id="rId32" Type="http://schemas.openxmlformats.org/officeDocument/2006/relationships/image" Target="media/befc82a2b9de96697ebdf701f482262dd44f8378.jpg"/><Relationship Id="rId33" Type="http://schemas.openxmlformats.org/officeDocument/2006/relationships/image" Target="media/a1b5d34746f3686ac3a8e9a111e40288901d08af.jpg"/><Relationship Id="rId34" Type="http://schemas.openxmlformats.org/officeDocument/2006/relationships/image" Target="media/c8cca60513b0002deb672cee14e46bfcc35d2b37.jpg"/><Relationship Id="rId35" Type="http://schemas.openxmlformats.org/officeDocument/2006/relationships/image" Target="media/1d6619b9674b2919b64f6a187c1e743bb151c83b.jpg"/><Relationship Id="rId36" Type="http://schemas.openxmlformats.org/officeDocument/2006/relationships/image" Target="media/ec1f03383798701c9a5ed9754b996512c79eb037.jpg"/><Relationship Id="rId37" Type="http://schemas.openxmlformats.org/officeDocument/2006/relationships/image" Target="media/c584303f0fdd04cf5355595cb89d78c10f830161.jpg"/><Relationship Id="rId38" Type="http://schemas.openxmlformats.org/officeDocument/2006/relationships/image" Target="media/357b00b66262ba7685acbda355fb8c006501ea4f.jpg"/><Relationship Id="rId39" Type="http://schemas.openxmlformats.org/officeDocument/2006/relationships/image" Target="media/e00865220f506dee2d9fe1e970d1f06c1907c6f0.jpg"/><Relationship Id="rId40" Type="http://schemas.openxmlformats.org/officeDocument/2006/relationships/image" Target="media/7f3dc5d50fcbb727dab8d4aaa693d622054b540b.jpg"/><Relationship Id="rId41" Type="http://schemas.openxmlformats.org/officeDocument/2006/relationships/image" Target="media/98944a46b070bad5773fbb0d72e7dd7d52c4e2a8.jpg"/><Relationship Id="rId42" Type="http://schemas.openxmlformats.org/officeDocument/2006/relationships/image" Target="media/275428c780a97e874d547e74178b053dcf0db269.jpg"/><Relationship Id="rId43" Type="http://schemas.openxmlformats.org/officeDocument/2006/relationships/image" Target="media/4fac5df6c9686d2d0b3fa093c5cf6aa1ea074e94.jpg"/><Relationship Id="rId44" Type="http://schemas.openxmlformats.org/officeDocument/2006/relationships/image" Target="media/946269947347a0943640007d8aea13d51398d542.jpg"/><Relationship Id="rId45" Type="http://schemas.openxmlformats.org/officeDocument/2006/relationships/image" Target="media/ed249e4e051821d61838c1729b4f7b430f370a24.jpg"/><Relationship Id="rId46" Type="http://schemas.openxmlformats.org/officeDocument/2006/relationships/image" Target="media/f0513aacbbecd59a42bf025f1857b6834a2ea207.jpg"/><Relationship Id="rId47" Type="http://schemas.openxmlformats.org/officeDocument/2006/relationships/image" Target="media/6b7110c80222de0817ccf621184546041a7264cf.jpg"/><Relationship Id="rId48" Type="http://schemas.openxmlformats.org/officeDocument/2006/relationships/image" Target="media/9a91da3da36eab67f490a95fda49e159d3e2fe4a.jpg"/><Relationship Id="rId49" Type="http://schemas.openxmlformats.org/officeDocument/2006/relationships/image" Target="media/a47d3ecd60e7840161a954afc6c2650a4bb183ed.jpg"/><Relationship Id="rId50" Type="http://schemas.openxmlformats.org/officeDocument/2006/relationships/image" Target="media/c988c5b6dd0ff60bc665709bd79fef102e876b64.jpg"/><Relationship Id="rId51" Type="http://schemas.openxmlformats.org/officeDocument/2006/relationships/image" Target="media/667eb30d4702357feba5c50b68c89bb1941915d5.jpg"/><Relationship Id="rId52" Type="http://schemas.openxmlformats.org/officeDocument/2006/relationships/image" Target="media/e4b36bb6e9766dc60d914e198fe2648485a122fb.jpg"/><Relationship Id="rId5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cec7767423571e44399f80317da09f83bd960d12.png"/></Relationships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Evaluación de Riesgos de Incendio – Método MESERI – CEDI D1 Lebrija</dc:title>
  <dc:creator>Estudiante UTS</dc:creator>
  <cp:lastModifiedBy>Un-named</cp:lastModifiedBy>
  <cp:revision>1</cp:revision>
  <dcterms:created xsi:type="dcterms:W3CDTF">2026-10-23T18:45:35.387Z</dcterms:created>
  <dcterms:modified xsi:type="dcterms:W3CDTF">2026-10-23T18:45:35.393Z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