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"/>
        <w:jc w:val="center"/>
      </w:pPr>
      <w:r>
        <w:drawing>
          <wp:inline distT="0" distB="0" distL="0" distR="0">
            <wp:extent cx="123825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10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Evaluación de Riesgos de Incendio con el Método MESERI</w:t>
      </w:r>
    </w:p>
    <w:p>
      <w:pPr>
        <w:pBdr>
          <w:bottom w:val="single" w:color="CAD225" w:sz="18" w:space="14"/>
        </w:pBdr>
        <w:spacing w:after="0" w:before="0" w:line="480" w:lineRule="auto"/>
        <w:jc w:val="center"/>
      </w:pPr>
      <w:r>
        <w:rPr>
          <w:rFonts w:ascii="Arial" w:cs="Arial" w:eastAsia="Arial" w:hAnsi="Arial"/>
          <w:b/>
          <w:bCs/>
          <w:color w:val="3B3B3B"/>
          <w:sz w:val="28"/>
          <w:szCs w:val="28"/>
        </w:rPr>
        <w:t xml:space="preserve">en el CEDI D1 Bucaramanga / Lebrija</w:t>
      </w:r>
    </w:p>
    <w:p>
      <w:pPr>
        <w:spacing w:after="0" w:before="48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/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Angely Tatiana Osorio Sánchez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Electiva Complementaria Salud Ocupacional – Grupo E133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Docente: Jhonny Mauricio Ceron Cifuentes</w:t>
      </w:r>
    </w:p>
    <w:p>
      <w:pPr>
        <w:spacing w:after="0" w:before="0" w:line="480" w:lineRule="auto"/>
        <w:jc w:val="center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Octubre de 2026</w:t>
      </w:r>
    </w:p>
    <w:p>
      <w:pPr>
        <w:pStyle w:val="Heading1"/>
        <w:keepNext/>
        <w:pageBreakBefore/>
      </w:pPr>
      <w:r>
        <w:t xml:space="preserve">Introducción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1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gabinetes BIE, hidrante exterior, detección, extintores y cuarto de bombas.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Elaboración propia con datos del Fondo Inmobiliario Colombia (s. f.) y de la inspección en sitio.</w:t>
      </w:r>
    </w:p>
    <w:p>
      <w:pPr>
        <w:pStyle w:val="Heading1"/>
        <w:keepNext/>
      </w:pPr>
      <w:r>
        <w:t xml:space="preserve">Metodología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MAPFRE, s. f.) califica por separado dos grupos de factores y los combina en un coeficiente de protección P, de 0 a 10 (Unidades Tecnológicas de Santander, s. f.):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2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Factores Propios de las Instalaciones (X)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3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de 17.432 m² medida en Google Maps (Google, s. f.),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La bodega no tiene cielo raso. Solo las oficinas y el comedor del mezanine lo tienen, una parte pequeña del edificio. Se toma sin falsos techos.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desde la Estación de Bomberos de Lebrija: 3,4 km y 5 min (Google, s. f.).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Fuentes de ignición: carga de baterías de montacargas en la bodega y equipos eléctricos de la cocina del comedor, con cableado expuesto.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Gran volumen de alimentos y bebidas empacados en cartón y plástico: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 bodega y corredores de oficinas despejados y señalizados;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81050" cy="590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  <w:p>
            <w:pPr>
              <w:spacing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7E8410"/>
                <w:sz w:val="13"/>
                <w:szCs w:val="13"/>
              </w:rPr>
              <w:t xml:space="preserve">(ampliadas en el Anexo A)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Estanterías de unos 10 m de alto, por encima del límite de 6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Estanterías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Inventario y equipos ≈ 500.000 millones COP ÷ 17.432 m² ≈ 28,7 millones COP/m² (≈ 1.060.000 pts/m²). Supera 200.000 pts/m².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almacenamiento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Cajas de cartón y plástico apiladas nivel sobre nivel hasta cerca del techo; el fuego puede subir de un nivel a otro.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apilada en altura.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 empacados en cajas y bebidas: el humo y el hollín contaminan empaques y producto, que ya no puede venderse.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de alimentos almacenadas.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54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(42 %)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Coeficientes asignados según la tabla del Método MESERI (Fundación MAPFRE, s. f.; Unidades Tecnológicas de Santander, s. f.). La altura de las estanterías, el acceso pavimentado y el valor del inventario los informó el personal del CEDI (comunicación personal, octubre de 2026).</w:t>
      </w:r>
    </w:p>
    <w:p>
      <w:pPr>
        <w:pStyle w:val="Heading1"/>
        <w:keepNext/>
      </w:pPr>
      <w:r>
        <w:t xml:space="preserve">Factores de Protección (Y)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4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100"/>
        <w:gridCol w:w="3460"/>
        <w:gridCol w:w="2900"/>
      </w:tblGrid>
      <w:tr>
        <w:trPr>
          <w:tblHeader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bodega, muelles, corredores y comedor, señalizados, demarcados y con mantenimiento.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de CO₂ demarcado.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Gabinetes con manguera, válvula y extintor, señalizados y conectados a la red del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contra incendio.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Hidrante junto al muro exterior, conectado a la red, con válvulas y salidas para manguera de bomberos.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 exterior.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34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1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22</w:t>
            </w:r>
          </w:p>
        </w:tc>
        <w:tc>
          <w:tcPr>
            <w:tcW w:type="dxa" w:w="636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(85 %)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CV = con vigilancia; SV = sin vigilancia. El personal del CEDI identificó la toma exterior como hidrante (comunicación personal, octubre de 2026).</w:t>
      </w:r>
    </w:p>
    <w:p>
      <w:pPr>
        <w:pStyle w:val="Heading1"/>
        <w:keepNext/>
      </w:pPr>
      <w:r>
        <w:t xml:space="preserve">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5(54) / 129  +  5(22) / 26  +  0  =  2,093 + 4,231 + 0  =  6,32</w:t>
            </w:r>
          </w:p>
        </w:tc>
      </w:tr>
    </w:tbl>
    <w:p>
      <w:pPr>
        <w:spacing w:after="280"/>
      </w:pP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6,32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certifica la brigada contra incendios.</w:t>
      </w:r>
    </w:p>
    <w:p>
      <w:pPr>
        <w:keepNext/>
        <w:spacing w:after="0" w:before="240" w:line="48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Tabla 5</w:t>
      </w:r>
    </w:p>
    <w:p>
      <w:pPr>
        <w:keepNext/>
        <w:spacing w:after="60" w:line="480"/>
      </w:pP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CHE,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54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5(54)/129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7,32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40" w:before="100"/>
      </w:pPr>
      <w:r>
        <w:rPr>
          <w:rFonts w:ascii="Arial" w:cs="Arial" w:eastAsia="Arial" w:hAnsi="Arial"/>
          <w:i/>
          <w:iCs/>
          <w:color w:val="3B3B3B"/>
          <w:sz w:val="18"/>
          <w:szCs w:val="18"/>
        </w:rPr>
        <w:t xml:space="preserve">Nota. </w:t>
      </w:r>
      <w:r>
        <w:rPr>
          <w:rFonts w:ascii="Arial" w:cs="Arial" w:eastAsia="Arial" w:hAnsi="Arial"/>
          <w:color w:val="3B3B3B"/>
          <w:sz w:val="18"/>
          <w:szCs w:val="18"/>
        </w:rPr>
        <w:t xml:space="preserve">La brigada contra incendios (BCI) suma 1 punto directamente a P.</w:t>
      </w:r>
    </w:p>
    <w:p>
      <w:pPr>
        <w:pStyle w:val="Heading1"/>
        <w:keepNext/>
      </w:pPr>
      <w:r>
        <w:t xml:space="preserve">Conclusiones y Recomendaciones</w:t>
      </w:r>
    </w:p>
    <w:p>
      <w:pPr>
        <w:spacing w:after="0" w:before="0" w:line="480" w:lineRule="auto"/>
        <w:ind w:firstLine="720"/>
        <w:jc w:val="left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6,32)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pStyle w:val="Heading2"/>
        <w:keepNext/>
      </w:pPr>
      <w: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de unos 10 m de alto, que favorece la propagación vertical.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Cocina del comedor con equipos eléctricos y cableado expuesto.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Alta concentración de valores: cerca de 28,7 millones de pesos por m².</w:t>
      </w:r>
    </w:p>
    <w:p>
      <w:pPr>
        <w:pStyle w:val="Heading2"/>
        <w:keepNext/>
      </w:pPr>
      <w: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automática, gabinetes BIE e hidrante exterior (4 puntos cada uno).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y rutas de evacuación señalizadas también en oficinas y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pStyle w:val="Heading2"/>
        <w:keepNext/>
      </w:pPr>
      <w: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7,32.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el hidrante exterior señalizado, despejado y con prueba periódica.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0" w:line="48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  <w:pageBreakBefore/>
      </w:pPr>
      <w:r>
        <w:t xml:space="preserve">Referencias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Google. (s. f.). [Medición de la superficie del CEDI D1 Lebrija y ruta desde la Estación de Bomberos de Lebrija, Santander].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Google Maps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Recuperado el 23 de octubre de 2026, de https://maps.google.com</w:t>
      </w:r>
    </w:p>
    <w:p>
      <w:pPr>
        <w:spacing w:after="0" w:line="480" w:lineRule="auto"/>
        <w:ind w:left="720" w:hanging="720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Unidades Tecnológicas de Santander. (s. f.). </w:t>
      </w:r>
      <w:r>
        <w:rPr>
          <w:rFonts w:ascii="Arial" w:cs="Arial" w:eastAsia="Arial" w:hAnsi="Arial"/>
          <w:i/>
          <w:iCs/>
          <w:color w:val="3B3B3B"/>
          <w:sz w:val="22"/>
          <w:szCs w:val="22"/>
        </w:rPr>
        <w:t xml:space="preserve">Metodología: evaluación del riesgo de incendio MESERI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 [Diapositivas de clase]. Electiva Complementaria Salud Ocupacional.</w:t>
      </w:r>
    </w:p>
    <w:p>
      <w:pPr>
        <w:pStyle w:val="Heading1"/>
        <w:keepNext/>
        <w:pageBreakBefore/>
      </w:pPr>
      <w:r>
        <w:t xml:space="preserve">Anexo A</w:t>
      </w:r>
    </w:p>
    <w:p>
      <w:pPr>
        <w:spacing w:after="0" w:line="480"/>
        <w:jc w:val="center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Registro Fotográfico Complementario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Figuras Ampliadas de la Tabla 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Bodega: cubierta a la vista.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Comedor: cielo raso.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de la bodega.</w:t>
            </w:r>
          </w:p>
        </w:tc>
        <w:tc>
          <w:tcPr>
            <w:tcW w:type="dxa" w:w="468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2095500" cy="1571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oficinas.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Equipos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y salida de emergencia.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corredor.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el comedor.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Figura A16.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jc w:val="center"/>
    </w:pP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 · CEDI D1 Lebrija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3B3B3B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360" w:line="480"/>
      <w:jc w:val="center"/>
      <w:outlineLvl w:val="0"/>
    </w:pPr>
    <w:rPr>
      <w:rFonts w:ascii="Arial" w:cs="Arial" w:eastAsia="Arial" w:hAnsi="Arial"/>
      <w:b/>
      <w:bCs/>
      <w:color w:val="3B3B3B"/>
      <w:sz w:val="22"/>
      <w:szCs w:val="22"/>
    </w:rPr>
  </w:style>
  <w:style w:type="paragraph" w:styleId="Heading2">
    <w:name w:val="Heading 2"/>
    <w:basedOn w:val="Normal"/>
    <w:next w:val="Normal"/>
    <w:qFormat/>
    <w:pPr>
      <w:keepNext/>
      <w:spacing w:after="0" w:before="120" w:line="480"/>
      <w:jc w:val="left"/>
      <w:outlineLvl w:val="1"/>
    </w:pPr>
    <w:rPr>
      <w:rFonts w:ascii="Arial" w:cs="Arial" w:eastAsia="Arial" w:hAnsi="Arial"/>
      <w:b/>
      <w:bCs/>
      <w:color w:val="3B3B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db27d87def3db46cd62879d3739518bc2920b65f.jpg"/><Relationship Id="rId17" Type="http://schemas.openxmlformats.org/officeDocument/2006/relationships/image" Target="media/421f5e514b8831187701a9ecf2b9240b1d8b5923.jpg"/><Relationship Id="rId18" Type="http://schemas.openxmlformats.org/officeDocument/2006/relationships/image" Target="media/5fa581d7bb723f1a63d63cea0f393f538761de0c.jpg"/><Relationship Id="rId19" Type="http://schemas.openxmlformats.org/officeDocument/2006/relationships/image" Target="media/cfb687fb5ed71ff778d0112e458230228f62dabc.jpg"/><Relationship Id="rId20" Type="http://schemas.openxmlformats.org/officeDocument/2006/relationships/image" Target="media/5a5a419eaca7fb6484dc7d0e6ea8b426d41f9057.jpg"/><Relationship Id="rId21" Type="http://schemas.openxmlformats.org/officeDocument/2006/relationships/image" Target="media/5e5500b961be8a3c2d41a8fc5dbdf285431d5ce4.jpg"/><Relationship Id="rId22" Type="http://schemas.openxmlformats.org/officeDocument/2006/relationships/image" Target="media/cf9d995420f237e5f467e32b92536250228cd216.jpg"/><Relationship Id="rId23" Type="http://schemas.openxmlformats.org/officeDocument/2006/relationships/image" Target="media/0f9be68fdb19beb564ec0b3af42998b7a2c7ccdd.jpg"/><Relationship Id="rId24" Type="http://schemas.openxmlformats.org/officeDocument/2006/relationships/image" Target="media/b03d6cadaf050bdacc990d15903ff23af349e0fa.jpg"/><Relationship Id="rId25" Type="http://schemas.openxmlformats.org/officeDocument/2006/relationships/image" Target="media/a1ad16adc5098955d99da07ffbbfee9dcd0c4642.jpg"/><Relationship Id="rId26" Type="http://schemas.openxmlformats.org/officeDocument/2006/relationships/image" Target="media/4432effcc5f6f44b9178831efdaf2338c658c36d.jpg"/><Relationship Id="rId27" Type="http://schemas.openxmlformats.org/officeDocument/2006/relationships/image" Target="media/243786a2a3f8f18fc6f75f1b05bb388cf3af794f.jpg"/><Relationship Id="rId28" Type="http://schemas.openxmlformats.org/officeDocument/2006/relationships/image" Target="media/76f8587993153e602b205aa5cc865ba93f33b81e.jpg"/><Relationship Id="rId29" Type="http://schemas.openxmlformats.org/officeDocument/2006/relationships/image" Target="media/50e8892188ab26e17d2505d4da272193ea7de849.jpg"/><Relationship Id="rId30" Type="http://schemas.openxmlformats.org/officeDocument/2006/relationships/image" Target="media/1c8b8ddcd71a93f158a982417d38c0a99a77b696.jpg"/><Relationship Id="rId31" Type="http://schemas.openxmlformats.org/officeDocument/2006/relationships/image" Target="media/2123fca6546a1776189094adebe92e282d15b090.jpg"/><Relationship Id="rId32" Type="http://schemas.openxmlformats.org/officeDocument/2006/relationships/image" Target="media/befc82a2b9de96697ebdf701f482262dd44f8378.jpg"/><Relationship Id="rId33" Type="http://schemas.openxmlformats.org/officeDocument/2006/relationships/image" Target="media/a1b5d34746f3686ac3a8e9a111e40288901d08af.jpg"/><Relationship Id="rId34" Type="http://schemas.openxmlformats.org/officeDocument/2006/relationships/image" Target="media/c8cca60513b0002deb672cee14e46bfcc35d2b37.jpg"/><Relationship Id="rId35" Type="http://schemas.openxmlformats.org/officeDocument/2006/relationships/image" Target="media/1d6619b9674b2919b64f6a187c1e743bb151c83b.jpg"/><Relationship Id="rId36" Type="http://schemas.openxmlformats.org/officeDocument/2006/relationships/image" Target="media/ec1f03383798701c9a5ed9754b996512c79eb037.jpg"/><Relationship Id="rId37" Type="http://schemas.openxmlformats.org/officeDocument/2006/relationships/image" Target="media/c584303f0fdd04cf5355595cb89d78c10f830161.jpg"/><Relationship Id="rId38" Type="http://schemas.openxmlformats.org/officeDocument/2006/relationships/image" Target="media/357b00b66262ba7685acbda355fb8c006501ea4f.jpg"/><Relationship Id="rId39" Type="http://schemas.openxmlformats.org/officeDocument/2006/relationships/image" Target="media/e00865220f506dee2d9fe1e970d1f06c1907c6f0.jpg"/><Relationship Id="rId40" Type="http://schemas.openxmlformats.org/officeDocument/2006/relationships/image" Target="media/7f3dc5d50fcbb727dab8d4aaa693d622054b540b.jpg"/><Relationship Id="rId41" Type="http://schemas.openxmlformats.org/officeDocument/2006/relationships/image" Target="media/98944a46b070bad5773fbb0d72e7dd7d52c4e2a8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4fac5df6c9686d2d0b3fa093c5cf6aa1ea074e94.jpg"/><Relationship Id="rId44" Type="http://schemas.openxmlformats.org/officeDocument/2006/relationships/image" Target="media/946269947347a0943640007d8aea13d51398d542.jpg"/><Relationship Id="rId45" Type="http://schemas.openxmlformats.org/officeDocument/2006/relationships/image" Target="media/ed249e4e051821d61838c1729b4f7b430f370a24.jpg"/><Relationship Id="rId46" Type="http://schemas.openxmlformats.org/officeDocument/2006/relationships/image" Target="media/f0513aacbbecd59a42bf025f1857b6834a2ea207.jpg"/><Relationship Id="rId47" Type="http://schemas.openxmlformats.org/officeDocument/2006/relationships/image" Target="media/6b7110c80222de0817ccf621184546041a7264cf.jpg"/><Relationship Id="rId48" Type="http://schemas.openxmlformats.org/officeDocument/2006/relationships/image" Target="media/9a91da3da36eab67f490a95fda49e159d3e2fe4a.jpg"/><Relationship Id="rId49" Type="http://schemas.openxmlformats.org/officeDocument/2006/relationships/image" Target="media/a47d3ecd60e7840161a954afc6c2650a4bb183ed.jpg"/><Relationship Id="rId50" Type="http://schemas.openxmlformats.org/officeDocument/2006/relationships/image" Target="media/c988c5b6dd0ff60bc665709bd79fef102e876b64.jpg"/><Relationship Id="rId51" Type="http://schemas.openxmlformats.org/officeDocument/2006/relationships/image" Target="media/667eb30d4702357feba5c50b68c89bb1941915d5.jpg"/><Relationship Id="rId52" Type="http://schemas.openxmlformats.org/officeDocument/2006/relationships/image" Target="media/e4b36bb6e9766dc60d914e198fe2648485a122fb.jpg"/><Relationship Id="rId5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2026-10-23T18:34:01.756Z</dcterms:created>
  <dcterms:modified xsi:type="dcterms:W3CDTF">2026-10-23T18:34:01.757Z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