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520"/>
        <w:gridCol w:w="8420"/>
      </w:tblGrid>
      <w:tr>
        <w:trPr>
          <w:trHeight w:val="12900" w:hRule="exact"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8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200"/>
            </w:pPr>
            <w:r>
              <w:drawing>
                <wp:inline distT="0" distB="0" distL="0" distR="0">
                  <wp:extent cx="1428750" cy="1000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20"/>
            </w:pPr>
            <w:r>
              <w:rPr>
                <w:rFonts w:ascii="Arial" w:cs="Arial" w:eastAsia="Arial" w:hAnsi="Arial"/>
                <w:b/>
                <w:bCs/>
                <w:color w:val="3B3B3B"/>
                <w:spacing w:val="20"/>
                <w:sz w:val="20"/>
                <w:szCs w:val="20"/>
              </w:rPr>
              <w:t xml:space="preserve">UNIDADES TECNOLÓGICAS DE SANTANDER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Bucaramanga, Santander</w:t>
            </w:r>
          </w:p>
          <w:p>
            <w:pPr>
              <w:spacing w:after="120" w:before="1500"/>
            </w:pPr>
            <w:r>
              <w:rPr>
                <w:rFonts w:ascii="Arial" w:cs="Arial" w:eastAsia="Arial" w:hAnsi="Arial"/>
                <w:b/>
                <w:bCs/>
                <w:color w:val="7E8410"/>
                <w:spacing w:val="30"/>
                <w:sz w:val="18"/>
                <w:szCs w:val="18"/>
              </w:rPr>
              <w:t xml:space="preserve">INFORME TÉCNICO · SALUD OCUPACIONAL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Evaluación de Riesgos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de Incendio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7E8410"/>
                <w:sz w:val="36"/>
                <w:szCs w:val="36"/>
              </w:rPr>
              <w:t xml:space="preserve">Método MESERI</w:t>
            </w:r>
          </w:p>
          <w:p>
            <w:pPr>
              <w:pBdr>
                <w:bottom w:val="single" w:color="CAD225" w:sz="24" w:space="12"/>
              </w:pBdr>
              <w:spacing w:after="0"/>
            </w:pPr>
            <w:r>
              <w:rPr>
                <w:rFonts w:ascii="Arial" w:cs="Arial" w:eastAsia="Arial" w:hAnsi="Arial"/>
                <w:color w:val="6B6B6B"/>
                <w:sz w:val="24"/>
                <w:szCs w:val="24"/>
              </w:rPr>
              <w:t xml:space="preserve">Centro de Distribución D1 · Bucaramanga / Lebrija</w:t>
            </w:r>
          </w:p>
          <w:p>
            <w:pPr>
              <w:spacing w:after="0" w:before="1400"/>
            </w:pPr>
          </w:p>
          <w:tbl>
            <w:tblPr>
              <w:tblW w:type="dxa" w:w="79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00"/>
              <w:gridCol w:w="5600"/>
            </w:tblGrid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Estudiante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estudiante]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Docente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docente]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Asignatura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Electiva Complementaria Salud Ocupacional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Evaluación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Parcial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Fecha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Octubre de 2026</w:t>
                  </w:r>
                </w:p>
              </w:tc>
            </w:tr>
          </w:tbl>
          <w:p/>
        </w:tc>
      </w:tr>
    </w:tbl>
    <w:p>
      <w:pPr>
        <w:pageBreakBefore/>
        <w:spacing w:after="0"/>
      </w:pPr>
    </w:p>
    <w:p>
      <w:pPr>
        <w:pStyle w:val="Heading1"/>
        <w:keepNext/>
      </w:pPr>
      <w:r>
        <w:t xml:space="preserve">1. Introducción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1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gabinetes BIE, hidrante exterior, detección, extintores y cuarto de bombas.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Información del Fondo Inmobiliario Colombia y de la inspección en sitio.</w:t>
      </w:r>
    </w:p>
    <w:p>
      <w:pPr>
        <w:pStyle w:val="Heading1"/>
        <w:keepNext/>
      </w:pPr>
      <w:r>
        <w:t xml:space="preserve">2. Metodología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MAPFRE) califica por separado dos grupos de factores y los combina en un coeficiente de protección P, de 0 a 10: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2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3. Factores propios de las instalaciones (X)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3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Altura libre interior de 18 m (21 m por fuera). Rango de 15 a 30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medida en Google Maps: 17.432 m²,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Cerchas y cubierta metálicas sobre columnas de concreto: estructura no combustible.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Cubierta metálica a la vista, sin cielorraso.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Cubierta a la vista.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 en Google Maps desde la Estación de Bomberos de Lebrija: 3,4 km y 5 min. Menos de 5 km.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Ruta desde la estación de bomberos.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Acceso pavimentado de más de 4 m, apto para tractomulas, y vía perimetral alrededor de la nave. Accesibilidad buena.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abierta. La principal fuente de ignición es la zona de carga de baterías de los montacargas eléctricos.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Gran volumen de alimentos y bebidas empacados en cartón y plástico: carga alta (2.000 a 5.000 MJ/m²).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Inflamabilidad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Predominan sólidos combustibles (cartón, plástico, madera). Inflamabilidad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y piso despejados y señalizados;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despejado entre racks.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Racks de más de 6 m de altura.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Racks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Mercancía de consumo masivo y bajo valor: menos de 600 €/m².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Almacén visto desde el mezanine.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racks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Los racks apilan mercancía en cajas de cartón y plástico, nivel sobre nivel, hasta cerca del techo; el fuego puede subir de un nivel a otro.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Niveles de los racks.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 empacados en cajas y bebidas: el humo y el hollín contaminan empaques y producto, que ya no puede venderse.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de alimentos en racks.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Productos de aseo, conservas y enlatados en parte del inventario.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57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(44 %)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Coeficientes asignados según la tabla del Método MESERI (Fundación MAPFRE).</w:t>
      </w:r>
    </w:p>
    <w:p>
      <w:pPr>
        <w:pStyle w:val="Heading1"/>
        <w:keepNext/>
      </w:pPr>
      <w:r>
        <w:t xml:space="preserve">4. Factores de protección (Y)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4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100"/>
        <w:gridCol w:w="34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bodega, muelles, corredores y comedor, señalizados, demarcados y con mantenimiento.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de CO₂ demarcado.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Gabinetes con manguera, válvula y extintor, señalizados y conectados a la red del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contra incendio.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Hidrante junto al muro exterior, conectado a la red, con válvulas y salidas para manguera de bomberos.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 exterior.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22</w:t>
            </w:r>
          </w:p>
        </w:tc>
        <w:tc>
          <w:tcPr>
            <w:tcW w:type="dxa" w:w="636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(85 %)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CV = con vigilancia; SV = sin vigilancia.</w:t>
      </w:r>
    </w:p>
    <w:p>
      <w:pPr>
        <w:pStyle w:val="Heading1"/>
        <w:keepNext/>
      </w:pPr>
      <w:r>
        <w:t xml:space="preserve">5.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22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por confirmar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5(57) / 129  +  5(22) / 26  +  0  =  2,209 + 4,231 + 0  =  6,44</w:t>
            </w:r>
          </w:p>
        </w:tc>
      </w:tr>
    </w:tbl>
    <w:p>
      <w:pPr>
        <w:spacing w:after="280"/>
      </w:pP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6,44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 Tabla 5 muestra cómo mejoraría el resultado si se certifica la brigada contra incendios.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5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CHE,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certificada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La brigada contra incendios (BCI) suma 1 punto directamente a P.</w:t>
      </w:r>
    </w:p>
    <w:p>
      <w:pPr>
        <w:pStyle w:val="Heading1"/>
        <w:keepNext/>
      </w:pPr>
      <w:r>
        <w:t xml:space="preserve">6. Conclusiones y recomendaciones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6,44)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keepNext/>
        <w:spacing w:after="120" w:before="20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en racks de más de 6 m, que favorece la propagación vertical.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y mercancía muy sensible al calor y al humo.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toda la nave (8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automática, gabinetes BIE e hidrante exterior (4 puntos cada uno).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Estación de bomberos a solo 3,4 km (5 min) por carretera.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Certificar la brigada contra incendios: P subiría a 7,44.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el hidrante exterior señalizado, despejado y con prueba periódica.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</w:pPr>
      <w:r>
        <w:t xml:space="preserve">Referencias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Google. (2026).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Google Maps: medición de la superficie del CEDI D1 Lebrija y ruta desde la Estación de Bomberos de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https://maps.google.com</w:t>
      </w:r>
    </w:p>
    <w:p>
      <w:pPr>
        <w:pStyle w:val="Heading1"/>
        <w:keepNext/>
        <w:pageBreakBefore/>
      </w:pPr>
      <w:r>
        <w:t xml:space="preserve">Anexo. Registro fotográfico complementario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Equipos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y salida de emergencia.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corredor.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el comedor.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Mezanine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evacuación.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300" w:right="1440" w:bottom="1200" w:left="144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tabs>
        <w:tab w:val="right" w:pos="9360"/>
      </w:tabs>
    </w:pPr>
    <w:r>
      <w:rPr>
        <w:rFonts w:ascii="Arial" w:cs="Arial" w:eastAsia="Arial" w:hAnsi="Arial"/>
        <w:color w:val="6B6B6B"/>
        <w:sz w:val="16"/>
        <w:szCs w:val="16"/>
      </w:rPr>
      <w:t xml:space="preserve">CEDI D1 Lebrija · Electiva Complementaria Salud Ocupacional</w:t>
    </w:r>
    <w:r>
      <w:t xml:space="preserve">	</w:t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  Unidades Tecnológicas de Santander</w:t>
    </w:r>
    <w: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left w:val="single" w:color="CAD225" w:sz="36" w:space="10"/>
      </w:pBdr>
      <w:spacing w:after="220" w:before="600"/>
      <w:ind w:left="200"/>
      <w:outlineLvl w:val="0"/>
    </w:pPr>
    <w:rPr>
      <w:rFonts w:ascii="Arial" w:cs="Arial" w:eastAsia="Arial" w:hAnsi="Arial"/>
      <w:b/>
      <w:bCs/>
      <w:color w:val="3B3B3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421f5e514b8831187701a9ecf2b9240b1d8b5923.jpg"/><Relationship Id="rId17" Type="http://schemas.openxmlformats.org/officeDocument/2006/relationships/image" Target="media/5fa581d7bb723f1a63d63cea0f393f538761de0c.jpg"/><Relationship Id="rId18" Type="http://schemas.openxmlformats.org/officeDocument/2006/relationships/image" Target="media/cfb687fb5ed71ff778d0112e458230228f62dabc.jpg"/><Relationship Id="rId19" Type="http://schemas.openxmlformats.org/officeDocument/2006/relationships/image" Target="media/5e5500b961be8a3c2d41a8fc5dbdf285431d5ce4.jpg"/><Relationship Id="rId20" Type="http://schemas.openxmlformats.org/officeDocument/2006/relationships/image" Target="media/cf9d995420f237e5f467e32b92536250228cd216.jpg"/><Relationship Id="rId21" Type="http://schemas.openxmlformats.org/officeDocument/2006/relationships/image" Target="media/0f9be68fdb19beb564ec0b3af42998b7a2c7ccdd.jpg"/><Relationship Id="rId22" Type="http://schemas.openxmlformats.org/officeDocument/2006/relationships/image" Target="media/a1ad16adc5098955d99da07ffbbfee9dcd0c4642.jpg"/><Relationship Id="rId23" Type="http://schemas.openxmlformats.org/officeDocument/2006/relationships/image" Target="media/4432effcc5f6f44b9178831efdaf2338c658c36d.jpg"/><Relationship Id="rId24" Type="http://schemas.openxmlformats.org/officeDocument/2006/relationships/image" Target="media/243786a2a3f8f18fc6f75f1b05bb388cf3af794f.jpg"/><Relationship Id="rId25" Type="http://schemas.openxmlformats.org/officeDocument/2006/relationships/image" Target="media/76f8587993153e602b205aa5cc865ba93f33b81e.jpg"/><Relationship Id="rId26" Type="http://schemas.openxmlformats.org/officeDocument/2006/relationships/image" Target="media/50e8892188ab26e17d2505d4da272193ea7de849.jpg"/><Relationship Id="rId27" Type="http://schemas.openxmlformats.org/officeDocument/2006/relationships/image" Target="media/1c8b8ddcd71a93f158a982417d38c0a99a77b696.jpg"/><Relationship Id="rId28" Type="http://schemas.openxmlformats.org/officeDocument/2006/relationships/image" Target="media/2123fca6546a1776189094adebe92e282d15b090.jpg"/><Relationship Id="rId29" Type="http://schemas.openxmlformats.org/officeDocument/2006/relationships/image" Target="media/befc82a2b9de96697ebdf701f482262dd44f8378.jpg"/><Relationship Id="rId30" Type="http://schemas.openxmlformats.org/officeDocument/2006/relationships/image" Target="media/a1b5d34746f3686ac3a8e9a111e40288901d08af.jpg"/><Relationship Id="rId31" Type="http://schemas.openxmlformats.org/officeDocument/2006/relationships/image" Target="media/c8cca60513b0002deb672cee14e46bfcc35d2b37.jpg"/><Relationship Id="rId32" Type="http://schemas.openxmlformats.org/officeDocument/2006/relationships/image" Target="media/1d6619b9674b2919b64f6a187c1e743bb151c83b.jpg"/><Relationship Id="rId33" Type="http://schemas.openxmlformats.org/officeDocument/2006/relationships/image" Target="media/ec1f03383798701c9a5ed9754b996512c79eb037.jpg"/><Relationship Id="rId34" Type="http://schemas.openxmlformats.org/officeDocument/2006/relationships/image" Target="media/98944a46b070bad5773fbb0d72e7dd7d52c4e2a8.jpg"/><Relationship Id="rId35" Type="http://schemas.openxmlformats.org/officeDocument/2006/relationships/image" Target="media/275428c780a97e874d547e74178b053dcf0db269.jpg"/><Relationship Id="rId36" Type="http://schemas.openxmlformats.org/officeDocument/2006/relationships/image" Target="media/4fac5df6c9686d2d0b3fa093c5cf6aa1ea074e94.jpg"/><Relationship Id="rId37" Type="http://schemas.openxmlformats.org/officeDocument/2006/relationships/image" Target="media/946269947347a0943640007d8aea13d51398d542.jpg"/><Relationship Id="rId38" Type="http://schemas.openxmlformats.org/officeDocument/2006/relationships/image" Target="media/ed249e4e051821d61838c1729b4f7b430f370a24.jpg"/><Relationship Id="rId39" Type="http://schemas.openxmlformats.org/officeDocument/2006/relationships/image" Target="media/f0513aacbbecd59a42bf025f1857b6834a2ea207.jpg"/><Relationship Id="rId40" Type="http://schemas.openxmlformats.org/officeDocument/2006/relationships/image" Target="media/6b7110c80222de0817ccf621184546041a7264cf.jpg"/><Relationship Id="rId41" Type="http://schemas.openxmlformats.org/officeDocument/2006/relationships/image" Target="media/9a91da3da36eab67f490a95fda49e159d3e2fe4a.jpg"/><Relationship Id="rId42" Type="http://schemas.openxmlformats.org/officeDocument/2006/relationships/image" Target="media/a47d3ecd60e7840161a954afc6c2650a4bb183ed.jpg"/><Relationship Id="rId43" Type="http://schemas.openxmlformats.org/officeDocument/2006/relationships/image" Target="media/c988c5b6dd0ff60bc665709bd79fef102e876b64.jpg"/><Relationship Id="rId44" Type="http://schemas.openxmlformats.org/officeDocument/2006/relationships/image" Target="media/667eb30d4702357feba5c50b68c89bb1941915d5.jpg"/><Relationship Id="rId45" Type="http://schemas.openxmlformats.org/officeDocument/2006/relationships/image" Target="media/e4b36bb6e9766dc60d914e198fe2648485a122fb.jpg"/><Relationship Id="rId46" Type="http://schemas.openxmlformats.org/officeDocument/2006/relationships/image" Target="media/b03d6cadaf050bdacc990d15903ff23af349e0fa.jpg"/><Relationship Id="rId47" Type="http://schemas.openxmlformats.org/officeDocument/2006/relationships/image" Target="media/e00865220f506dee2d9fe1e970d1f06c1907c6f0.jpg"/><Relationship Id="rId48" Type="http://schemas.openxmlformats.org/officeDocument/2006/relationships/image" Target="media/db27d87def3db46cd62879d3739518bc2920b65f.jpg"/><Relationship Id="rId49" Type="http://schemas.openxmlformats.org/officeDocument/2006/relationships/image" Target="media/5a5a419eaca7fb6484dc7d0e6ea8b426d41f9057.jpg"/><Relationship Id="rId5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2026-10-23T17:35:46.266Z</dcterms:created>
  <dcterms:modified xsi:type="dcterms:W3CDTF">2026-10-23T17:35:46.271Z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