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"/>
        <w:gridCol w:w="520"/>
        <w:gridCol w:w="8420"/>
      </w:tblGrid>
      <w:tr>
        <w:trPr>
          <w:trHeight w:val="12900" w:hRule="exact"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/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/>
        </w:tc>
        <w:tc>
          <w:tcPr>
            <w:tcW w:type="dxa" w:w="8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200"/>
            </w:pPr>
            <w:r>
              <w:drawing>
                <wp:inline distT="0" distB="0" distL="0" distR="0">
                  <wp:extent cx="1428750" cy="10001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1000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20"/>
            </w:pPr>
            <w:r>
              <w:rPr>
                <w:rFonts w:ascii="Arial" w:cs="Arial" w:eastAsia="Arial" w:hAnsi="Arial"/>
                <w:b/>
                <w:bCs/>
                <w:color w:val="3B3B3B"/>
                <w:spacing w:val="20"/>
                <w:sz w:val="20"/>
                <w:szCs w:val="20"/>
              </w:rPr>
              <w:t xml:space="preserve">UNIDADES TECNOLÓGICAS DE SANTANDER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Bucaramanga, Santander</w:t>
            </w:r>
          </w:p>
          <w:p>
            <w:pPr>
              <w:spacing w:after="120" w:before="1500"/>
            </w:pPr>
            <w:r>
              <w:rPr>
                <w:rFonts w:ascii="Arial" w:cs="Arial" w:eastAsia="Arial" w:hAnsi="Arial"/>
                <w:b/>
                <w:bCs/>
                <w:color w:val="7E8410"/>
                <w:spacing w:val="30"/>
                <w:sz w:val="18"/>
                <w:szCs w:val="18"/>
              </w:rPr>
              <w:t xml:space="preserve">INFORME TÉCNICO · SALUD OCUPACIONAL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B3B3B"/>
                <w:sz w:val="60"/>
                <w:szCs w:val="60"/>
              </w:rPr>
              <w:t xml:space="preserve">Evaluación de Riesgos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3B3B3B"/>
                <w:sz w:val="60"/>
                <w:szCs w:val="60"/>
              </w:rPr>
              <w:t xml:space="preserve">de Incendio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7E8410"/>
                <w:sz w:val="36"/>
                <w:szCs w:val="36"/>
              </w:rPr>
              <w:t xml:space="preserve">Método MESERI</w:t>
            </w:r>
          </w:p>
          <w:p>
            <w:pPr>
              <w:pBdr>
                <w:bottom w:val="single" w:color="CAD225" w:sz="24" w:space="12"/>
              </w:pBdr>
              <w:spacing w:after="0"/>
            </w:pPr>
            <w:r>
              <w:rPr>
                <w:rFonts w:ascii="Arial" w:cs="Arial" w:eastAsia="Arial" w:hAnsi="Arial"/>
                <w:color w:val="6B6B6B"/>
                <w:sz w:val="24"/>
                <w:szCs w:val="24"/>
              </w:rPr>
              <w:t xml:space="preserve">Centro de Distribución D1 · Bucaramanga / Lebrija</w:t>
            </w:r>
          </w:p>
          <w:p>
            <w:pPr>
              <w:spacing w:after="0" w:before="1400"/>
            </w:pPr>
          </w:p>
          <w:tbl>
            <w:tblPr>
              <w:tblW w:type="dxa" w:w="79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300"/>
              <w:gridCol w:w="5600"/>
            </w:tblGrid>
            <w:t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0"/>
                    <w:bottom w:type="dxa" w:w="110"/>
                    <w:right w:type="dxa" w:w="8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3B3B3B"/>
                      <w:sz w:val="20"/>
                      <w:szCs w:val="20"/>
                    </w:rPr>
                    <w:t xml:space="preserve">Estudiante</w:t>
                  </w:r>
                </w:p>
              </w:tc>
              <w:tc>
                <w:tcPr>
                  <w:tcW w:type="dxa" w:w="56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80"/>
                    <w:bottom w:type="dxa" w:w="110"/>
                    <w:right w:type="dxa" w:w="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i/>
                      <w:iCs/>
                      <w:color w:val="6B6B6B"/>
                      <w:sz w:val="20"/>
                      <w:szCs w:val="20"/>
                    </w:rPr>
                    <w:t xml:space="preserve">[Nombre del estudiante]</w:t>
                  </w:r>
                </w:p>
              </w:tc>
            </w:tr>
            <w:t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0"/>
                    <w:bottom w:type="dxa" w:w="110"/>
                    <w:right w:type="dxa" w:w="8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3B3B3B"/>
                      <w:sz w:val="20"/>
                      <w:szCs w:val="20"/>
                    </w:rPr>
                    <w:t xml:space="preserve">Docente</w:t>
                  </w:r>
                </w:p>
              </w:tc>
              <w:tc>
                <w:tcPr>
                  <w:tcW w:type="dxa" w:w="56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80"/>
                    <w:bottom w:type="dxa" w:w="110"/>
                    <w:right w:type="dxa" w:w="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i/>
                      <w:iCs/>
                      <w:color w:val="6B6B6B"/>
                      <w:sz w:val="20"/>
                      <w:szCs w:val="20"/>
                    </w:rPr>
                    <w:t xml:space="preserve">[Nombre del docente]</w:t>
                  </w:r>
                </w:p>
              </w:tc>
            </w:tr>
            <w:t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0"/>
                    <w:bottom w:type="dxa" w:w="110"/>
                    <w:right w:type="dxa" w:w="8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3B3B3B"/>
                      <w:sz w:val="20"/>
                      <w:szCs w:val="20"/>
                    </w:rPr>
                    <w:t xml:space="preserve">Asignatura</w:t>
                  </w:r>
                </w:p>
              </w:tc>
              <w:tc>
                <w:tcPr>
                  <w:tcW w:type="dxa" w:w="56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80"/>
                    <w:bottom w:type="dxa" w:w="110"/>
                    <w:right w:type="dxa" w:w="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color w:val="3B3B3B"/>
                      <w:sz w:val="20"/>
                      <w:szCs w:val="20"/>
                    </w:rPr>
                    <w:t xml:space="preserve">Electiva Complementaria Salud Ocupacional</w:t>
                  </w:r>
                </w:p>
              </w:tc>
            </w:tr>
            <w:t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0"/>
                    <w:bottom w:type="dxa" w:w="110"/>
                    <w:right w:type="dxa" w:w="8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3B3B3B"/>
                      <w:sz w:val="20"/>
                      <w:szCs w:val="20"/>
                    </w:rPr>
                    <w:t xml:space="preserve">Evaluación</w:t>
                  </w:r>
                </w:p>
              </w:tc>
              <w:tc>
                <w:tcPr>
                  <w:tcW w:type="dxa" w:w="56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80"/>
                    <w:bottom w:type="dxa" w:w="110"/>
                    <w:right w:type="dxa" w:w="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color w:val="3B3B3B"/>
                      <w:sz w:val="20"/>
                      <w:szCs w:val="20"/>
                    </w:rPr>
                    <w:t xml:space="preserve">Parcial</w:t>
                  </w:r>
                </w:p>
              </w:tc>
            </w:tr>
            <w:t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0"/>
                    <w:bottom w:type="dxa" w:w="110"/>
                    <w:right w:type="dxa" w:w="8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3B3B3B"/>
                      <w:sz w:val="20"/>
                      <w:szCs w:val="20"/>
                    </w:rPr>
                    <w:t xml:space="preserve">Fecha</w:t>
                  </w:r>
                </w:p>
              </w:tc>
              <w:tc>
                <w:tcPr>
                  <w:tcW w:type="dxa" w:w="56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80"/>
                    <w:bottom w:type="dxa" w:w="110"/>
                    <w:right w:type="dxa" w:w="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color w:val="3B3B3B"/>
                      <w:sz w:val="20"/>
                      <w:szCs w:val="20"/>
                    </w:rPr>
                    <w:t xml:space="preserve">Octubre de 2026</w:t>
                  </w:r>
                </w:p>
              </w:tc>
            </w:tr>
          </w:tbl>
          <w:p/>
        </w:tc>
      </w:tr>
    </w:tbl>
    <w:p>
      <w:pPr>
        <w:pageBreakBefore/>
        <w:spacing w:after="0"/>
      </w:pPr>
    </w:p>
    <w:p>
      <w:pPr>
        <w:pStyle w:val="Heading1"/>
        <w:keepNext/>
      </w:pPr>
      <w:r>
        <w:t xml:space="preserve">1. Introducción</w:t>
      </w:r>
    </w:p>
    <w:p>
      <w:pPr>
        <w:spacing w:after="200" w:before="0" w:line="300" w:lineRule="auto"/>
        <w:jc w:val="both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Este informe evalúa el riesgo de incendio del Centro de Distribución (CEDI) de Tiendas D1 en Lebrija, Santander, mediante el Método MESERI. Los coeficientes se asignaron a partir de una inspección fotográfica de las instalaciones realizada entre marzo y octubre de 2026.</w:t>
      </w:r>
    </w:p>
    <w:p>
      <w:pPr>
        <w:keepNext/>
        <w:spacing w:after="20" w:before="320"/>
      </w:pPr>
      <w:r>
        <w:rPr>
          <w:rFonts w:ascii="Arial" w:cs="Arial" w:eastAsia="Arial" w:hAnsi="Arial"/>
          <w:b/>
          <w:bCs/>
          <w:color w:val="3B3B3B"/>
          <w:sz w:val="20"/>
          <w:szCs w:val="20"/>
        </w:rPr>
        <w:t xml:space="preserve">Tabla 1</w:t>
      </w:r>
    </w:p>
    <w:p>
      <w:pPr>
        <w:keepNext/>
        <w:spacing w:after="140"/>
      </w:pP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Ficha técnica del CEDI evaluado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0"/>
        <w:gridCol w:w="7160"/>
      </w:tblGrid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Empresa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Tiendas D1 – Koba Colombia S.A.S.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Ubicación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Sector San Pablo, Lebrija (Santander), vía Bucaramanga–Barrancabermeja. A 15 min de Bucaramanga y 2,5 km del aeropuerto Palonegro.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Actividad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Recepción, almacenamiento y despacho de alimentos, bebidas y productos de aseo.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Área cubierta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17.432 m² (medición en Google Maps), sin sectorización comprobada.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Altura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18 m libres en el interior; 21 m por el exterior.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Estructura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Columnas de concreto y acero, cerchas y cubierta metálicas, muros de bloque.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Áreas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Bodega con racks, cava (frío), muelles, zonas de servicio y mezanine con oficinas, sala de capacitación y comedor.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Protección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Rociadores automáticos, red BIE, detección, extintores y cuarto de bombas.</w:t>
            </w:r>
          </w:p>
        </w:tc>
      </w:tr>
    </w:tbl>
    <w:p>
      <w:pPr>
        <w:spacing w:after="280" w:before="100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Nota. </w:t>
      </w:r>
      <w:r>
        <w:rPr>
          <w:rFonts w:ascii="Arial" w:cs="Arial" w:eastAsia="Arial" w:hAnsi="Arial"/>
          <w:color w:val="6B6B6B"/>
          <w:sz w:val="16"/>
          <w:szCs w:val="16"/>
        </w:rPr>
        <w:t xml:space="preserve">Información del Fondo Inmobiliario Colombia y de la inspección en sitio.</w:t>
      </w:r>
    </w:p>
    <w:p>
      <w:pPr>
        <w:pStyle w:val="Heading1"/>
        <w:keepNext/>
      </w:pPr>
      <w:r>
        <w:t xml:space="preserve">2. Metodología</w:t>
      </w:r>
    </w:p>
    <w:p>
      <w:pPr>
        <w:spacing w:after="200" w:before="0" w:line="300" w:lineRule="auto"/>
        <w:jc w:val="both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El Método MESERI (Fundación MAPFRE) califica por separado dos grupos de factores y los combina en un coeficiente de protección P, de 0 a 10: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X – Factores propios de las instalaciones: 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construcción, situación, procesos, concentración, propagabilidad y destructibilidad (máximo 129 puntos).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Y – Factores de protección: 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extintores, BIE, hidrantes, detección, rociadores e instalaciones especiales (máximo 26 puntos).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BCI – Brigada contra incendios: 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1 punto si existe, 0 si no.</w:t>
      </w:r>
    </w:p>
    <w:p>
      <w:pPr>
        <w:spacing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single" w:color="CAD225" w:sz="12"/>
              <w:left w:val="single" w:color="CAD225" w:sz="12"/>
              <w:bottom w:val="single" w:color="CAD225" w:sz="12"/>
              <w:right w:val="single" w:color="CAD225" w:sz="12"/>
            </w:tcBorders>
            <w:shd w:fill="F4F7D3" w:color="auto" w:val="clear"/>
            <w:tcMar>
              <w:top w:type="dxa" w:w="160"/>
              <w:left w:type="dxa" w:w="200"/>
              <w:bottom w:type="dxa" w:w="16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8"/>
                <w:szCs w:val="28"/>
              </w:rPr>
              <w:t xml:space="preserve">P = 5X / 129  +  5Y / 26  +  BCI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Un valor de P igual o superior a 5 se considera aceptable.</w:t>
            </w:r>
          </w:p>
        </w:tc>
      </w:tr>
    </w:tbl>
    <w:p>
      <w:pPr>
        <w:keepNext/>
        <w:spacing w:after="20" w:before="320"/>
      </w:pPr>
      <w:r>
        <w:rPr>
          <w:rFonts w:ascii="Arial" w:cs="Arial" w:eastAsia="Arial" w:hAnsi="Arial"/>
          <w:b/>
          <w:bCs/>
          <w:color w:val="3B3B3B"/>
          <w:sz w:val="20"/>
          <w:szCs w:val="20"/>
        </w:rPr>
        <w:t xml:space="preserve">Tabla 2</w:t>
      </w:r>
    </w:p>
    <w:p>
      <w:pPr>
        <w:keepNext/>
        <w:spacing w:after="140"/>
      </w:pP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Escala de calificación del riesgo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6D5D1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4"/>
                <w:szCs w:val="24"/>
              </w:rPr>
              <w:t xml:space="preserve">&lt; 3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Muy malo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BE5C4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4"/>
                <w:szCs w:val="24"/>
              </w:rPr>
              <w:t xml:space="preserve">3 – 5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Malo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4"/>
                <w:szCs w:val="24"/>
              </w:rPr>
              <w:t xml:space="preserve">5 – 8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Bueno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4"/>
                <w:szCs w:val="24"/>
              </w:rPr>
              <w:t xml:space="preserve">&gt; 8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Muy bueno</w:t>
            </w:r>
          </w:p>
        </w:tc>
      </w:tr>
    </w:tbl>
    <w:p>
      <w:pPr>
        <w:pStyle w:val="Heading1"/>
        <w:keepNext/>
      </w:pPr>
      <w:r>
        <w:t xml:space="preserve">3. Factores propios de las instalaciones (X)</w:t>
      </w:r>
    </w:p>
    <w:p>
      <w:pPr>
        <w:spacing w:after="200" w:before="0" w:line="300" w:lineRule="auto"/>
        <w:jc w:val="both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Cada factor se calificó con la tabla del método según lo observado en la inspección. Los factores con coeficiente 0 son los que más aumentan el riesgo.</w:t>
      </w:r>
    </w:p>
    <w:p>
      <w:pPr>
        <w:keepNext/>
        <w:spacing w:after="20" w:before="320"/>
      </w:pPr>
      <w:r>
        <w:rPr>
          <w:rFonts w:ascii="Arial" w:cs="Arial" w:eastAsia="Arial" w:hAnsi="Arial"/>
          <w:b/>
          <w:bCs/>
          <w:color w:val="3B3B3B"/>
          <w:sz w:val="20"/>
          <w:szCs w:val="20"/>
        </w:rPr>
        <w:t xml:space="preserve">Tabla 3</w:t>
      </w:r>
    </w:p>
    <w:p>
      <w:pPr>
        <w:keepNext/>
        <w:spacing w:after="140"/>
      </w:pP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Factores propios de las instalaciones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1050"/>
        <w:gridCol w:w="3610"/>
        <w:gridCol w:w="2700"/>
      </w:tblGrid>
      <w:tr>
        <w:trPr>
          <w:tblHeader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FACTOR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COEF.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JUSTIFICACIÓN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1.1  CONSTRUCCIÓN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1.1.1 Altura del edificio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1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Altura libre interior de 18 m (21 m por fuera). Rango de 15 a 30 m.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Fachada principal.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1.1.2 Mayor sector de incendio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Superficie medida en Google Maps: 17.432 m², sin muros cortafuego. Supera los 4.500 m².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Medición en Google Maps.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1.1.3 Resistencia al fuego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Cerchas y cubierta metálicas sobre columnas de concreto: estructura no combustible.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Columnas y cubierta.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1.1.4 Falsos techos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Cubierta metálica a la vista, sin cielorraso.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Cubierta a la vista.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1.2  FACTORES DE SITUACIÓN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1.2.1 Distancia de los bomberos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10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Ruta en Google Maps desde la Estación de Bomberos de Lebrija: 3,4 km y 5 min. Menos de 5 km.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Ruta desde la estación de bomberos.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1.2.2 Accesibilidad del edificio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Acceso pavimentado de más de 4 m, apto para tractomulas, y vía perimetral alrededor de la nave. Accesibilidad buena.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6.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Portería de ingreso.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1.3  PROCESOS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1.3.1 Peligro de activación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Sin llama abierta. La principal fuente de ignición es la zona de carga de baterías de los montacargas eléctricos. Peligro medio.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7.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Carga de montacargas.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1.3.2 Carga térmica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2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Gran volumen de alimentos y bebidas empacados en cartón y plástico: carga alta (2.000 a 5.000 MJ/m²).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8.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Mercancía almacenada.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1.3.3 Inflamabilidad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3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Predominan sólidos combustibles (cartón, plástico, madera). Inflamabilidad media.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9.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Estibas y embalajes.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1.3.4 Orden y limpieza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Pasillos y piso despejados y señalizados; acumulación de estibas en zonas de servicio. Nivel medio.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10.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Pasillo despejado entre racks.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1.3.5 Almacenamiento en altura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Racks de más de 6 m de altura.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Racks de almacenamiento.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1.4  CONCENTRACIÓN DE VALORES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1.4.1 Concentración de valores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3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Mercancía de consumo masivo y bajo valor: menos de 600 €/m².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Almacén visto desde el mezanine.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1.5  PROPAGABILIDAD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1.5.1 Horizontal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3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Bloques de racks separados por pasillos, sin muros cortafuego. Media.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Pasillos entre bloques.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1.5.2 Vertical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Racks multinivel con combustible continuo hasta la cubierta. Alta.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Niveles de los racks.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1.6  DESTRUCTIBILIDAD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1.6.1 Calor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Cava de frío y alimentos muy sensibles al calor. Alta.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Zona de cava (frío).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1.6.2 Humo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Alimentos empacados en cajas y bebidas: el humo y el hollín contaminan empaques y producto, que ya no puede venderse. Alta.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16.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Cajas de alimentos en racks.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1.6.3 Corrosión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Productos de aseo, conservas y enlatados en parte del inventario. Media.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17.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Productos envasados.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1.6.4 Agua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El cartón se daña con el agua; bebidas y enlatados la resisten. Media.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18.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Cajas sobre estibas.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TOTAL X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57</w:t>
            </w:r>
          </w:p>
        </w:tc>
        <w:tc>
          <w:tcPr>
            <w:tcW w:type="dxa" w:w="6310"/>
            <w:gridSpan w:val="2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de 129 puntos posibles (44 %)</w:t>
            </w:r>
          </w:p>
        </w:tc>
      </w:tr>
    </w:tbl>
    <w:p>
      <w:pPr>
        <w:spacing w:after="280" w:before="100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Nota. </w:t>
      </w:r>
      <w:r>
        <w:rPr>
          <w:rFonts w:ascii="Arial" w:cs="Arial" w:eastAsia="Arial" w:hAnsi="Arial"/>
          <w:color w:val="6B6B6B"/>
          <w:sz w:val="16"/>
          <w:szCs w:val="16"/>
        </w:rPr>
        <w:t xml:space="preserve">Coeficientes asignados según la tabla del Método MESERI (Fundación MAPFRE).</w:t>
      </w:r>
    </w:p>
    <w:p>
      <w:pPr>
        <w:pStyle w:val="Heading1"/>
        <w:keepNext/>
      </w:pPr>
      <w:r>
        <w:t xml:space="preserve">4. Factores de protección (Y)</w:t>
      </w:r>
    </w:p>
    <w:p>
      <w:pPr>
        <w:spacing w:after="200" w:before="0" w:line="300" w:lineRule="auto"/>
        <w:jc w:val="both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Cada medio de protección se califica según exista con vigilancia (CV) o sin ella (SV).</w:t>
      </w:r>
    </w:p>
    <w:p>
      <w:pPr>
        <w:keepNext/>
        <w:spacing w:after="20" w:before="320"/>
      </w:pPr>
      <w:r>
        <w:rPr>
          <w:rFonts w:ascii="Arial" w:cs="Arial" w:eastAsia="Arial" w:hAnsi="Arial"/>
          <w:b/>
          <w:bCs/>
          <w:color w:val="3B3B3B"/>
          <w:sz w:val="20"/>
          <w:szCs w:val="20"/>
        </w:rPr>
        <w:t xml:space="preserve">Tabla 4</w:t>
      </w:r>
    </w:p>
    <w:p>
      <w:pPr>
        <w:keepNext/>
        <w:spacing w:after="140"/>
      </w:pP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Factores de protección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1100"/>
        <w:gridCol w:w="3460"/>
        <w:gridCol w:w="2900"/>
      </w:tblGrid>
      <w:tr>
        <w:trPr>
          <w:tblHeader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FACTOR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COEF.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JUSTIFICACIÓN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Extintores portátiles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EXT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2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Extintores en muelles, bodega y áreas operativas, señalizados y con mantenimiento.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66800" cy="800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19.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Extintor en muelles.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Bocas de incendio equipadas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BIE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Red con montantes, válvulas y gabinetes BIE, alimentada por el cuarto de bombas.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66800" cy="800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20.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Montantes y válvulas.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Columnas hidrantes exteriores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CHE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SV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Toma exterior junto al muro, sin confirmar como hidrante. Por verificar.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66800" cy="800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Toma exterior (por verificar).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Detección automática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DET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Detectores de humo y alarmas bajo la cubierta y en áreas operativas.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66800" cy="800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Detección y alarma.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Rociadores automáticos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ROC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8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Rociadores bajo toda la cubierta, con válvulas de control y cuarto de bombas.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66800" cy="800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Red de rociadores.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Extinción por agentes gaseosos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IFE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SV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No hay sistemas de agentes gaseosos; no aplican en la bodega.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i/>
                <w:iCs/>
                <w:color w:val="6B6B6B"/>
                <w:sz w:val="18"/>
                <w:szCs w:val="18"/>
              </w:rPr>
              <w:t xml:space="preserve">No aplica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TOTAL Y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18</w:t>
            </w:r>
          </w:p>
        </w:tc>
        <w:tc>
          <w:tcPr>
            <w:tcW w:type="dxa" w:w="6360"/>
            <w:gridSpan w:val="2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de 26 puntos posibles (69 %)</w:t>
            </w:r>
          </w:p>
        </w:tc>
      </w:tr>
    </w:tbl>
    <w:p>
      <w:pPr>
        <w:spacing w:after="280" w:before="100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Nota. </w:t>
      </w:r>
      <w:r>
        <w:rPr>
          <w:rFonts w:ascii="Arial" w:cs="Arial" w:eastAsia="Arial" w:hAnsi="Arial"/>
          <w:color w:val="6B6B6B"/>
          <w:sz w:val="16"/>
          <w:szCs w:val="16"/>
        </w:rPr>
        <w:t xml:space="preserve">CV = con vigilancia; SV = sin vigilancia.</w:t>
      </w:r>
    </w:p>
    <w:p>
      <w:pPr>
        <w:pStyle w:val="Heading1"/>
        <w:keepNext/>
      </w:pPr>
      <w:r>
        <w:t xml:space="preserve">5. Resultados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2F2F2" w:color="auto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20"/>
                <w:sz w:val="16"/>
                <w:szCs w:val="16"/>
              </w:rPr>
              <w:t xml:space="preserve">FACTORES X</w:t>
            </w:r>
          </w:p>
          <w:p>
            <w:pPr>
              <w:spacing w:after="2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48"/>
                <w:szCs w:val="48"/>
              </w:rPr>
              <w:t xml:space="preserve">57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de 129 puntos</w:t>
            </w:r>
          </w:p>
        </w:tc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2F2F2" w:color="auto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20"/>
                <w:sz w:val="16"/>
                <w:szCs w:val="16"/>
              </w:rPr>
              <w:t xml:space="preserve">FACTORES Y</w:t>
            </w:r>
          </w:p>
          <w:p>
            <w:pPr>
              <w:spacing w:after="2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48"/>
                <w:szCs w:val="48"/>
              </w:rPr>
              <w:t xml:space="preserve">18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de 26 puntos</w:t>
            </w:r>
          </w:p>
        </w:tc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2F2F2" w:color="auto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20"/>
                <w:sz w:val="16"/>
                <w:szCs w:val="16"/>
              </w:rPr>
              <w:t xml:space="preserve">BRIGADA (BCI)</w:t>
            </w:r>
          </w:p>
          <w:p>
            <w:pPr>
              <w:spacing w:after="2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48"/>
                <w:szCs w:val="48"/>
              </w:rPr>
              <w:t xml:space="preserve">0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por confirmar</w:t>
            </w:r>
          </w:p>
        </w:tc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CAD225" w:color="auto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20"/>
                <w:sz w:val="16"/>
                <w:szCs w:val="16"/>
              </w:rPr>
              <w:t xml:space="preserve">RESULTADO P</w:t>
            </w:r>
          </w:p>
          <w:p>
            <w:pPr>
              <w:spacing w:after="2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48"/>
                <w:szCs w:val="48"/>
              </w:rPr>
              <w:t xml:space="preserve">5,67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Riesgo bueno</w:t>
            </w:r>
          </w:p>
        </w:tc>
      </w:tr>
    </w:tbl>
    <w:p>
      <w:pPr>
        <w:spacing w:after="2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single" w:color="CAD225" w:sz="12"/>
              <w:left w:val="single" w:color="CAD225" w:sz="12"/>
              <w:bottom w:val="single" w:color="CAD225" w:sz="12"/>
              <w:right w:val="single" w:color="CAD225" w:sz="12"/>
            </w:tcBorders>
            <w:shd w:fill="F4F7D3" w:color="auto" w:val="clear"/>
            <w:tcMar>
              <w:top w:type="dxa" w:w="160"/>
              <w:left w:type="dxa" w:w="200"/>
              <w:bottom w:type="dxa" w:w="16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8"/>
                <w:szCs w:val="28"/>
              </w:rPr>
              <w:t xml:space="preserve">P = 5(57) / 129  +  5(18) / 26  +  0  =  2,209 + 3,462 + 0  =  5,67</w:t>
            </w:r>
          </w:p>
        </w:tc>
      </w:tr>
    </w:tbl>
    <w:p>
      <w:pPr>
        <w:spacing w:after="280"/>
      </w:pPr>
    </w:p>
    <w:p>
      <w:pPr>
        <w:spacing w:after="200" w:before="0" w:line="300" w:lineRule="auto"/>
        <w:jc w:val="both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El CEDI obtiene </w:t>
      </w: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P = 5,67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, por encima del mínimo aceptable de 5, lo que lo ubica en la categoría </w:t>
      </w: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bueno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. La Tabla 5 muestra cómo mejoraría el resultado si se confirman la brigada y los hidrantes.</w:t>
      </w:r>
    </w:p>
    <w:p>
      <w:pPr>
        <w:keepNext/>
        <w:spacing w:after="20" w:before="320"/>
      </w:pPr>
      <w:r>
        <w:rPr>
          <w:rFonts w:ascii="Arial" w:cs="Arial" w:eastAsia="Arial" w:hAnsi="Arial"/>
          <w:b/>
          <w:bCs/>
          <w:color w:val="3B3B3B"/>
          <w:sz w:val="20"/>
          <w:szCs w:val="20"/>
        </w:rPr>
        <w:t xml:space="preserve">Tabla 5</w:t>
      </w:r>
    </w:p>
    <w:p>
      <w:pPr>
        <w:keepNext/>
        <w:spacing w:after="140"/>
      </w:pP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Escenarios del coeficiente de protección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60"/>
        <w:gridCol w:w="800"/>
        <w:gridCol w:w="800"/>
        <w:gridCol w:w="800"/>
        <w:gridCol w:w="2200"/>
        <w:gridCol w:w="1500"/>
      </w:tblGrid>
      <w:tr>
        <w:trPr>
          <w:tblHeader/>
        </w:trPr>
        <w:tc>
          <w:tcPr>
            <w:tcW w:type="dxa" w:w="32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ESCENARIO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X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Y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BCI</w:t>
            </w:r>
          </w:p>
        </w:tc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CÁLCULO</w:t>
            </w:r>
          </w:p>
        </w:tc>
        <w:tc>
          <w:tcPr>
            <w:tcW w:type="dxa" w:w="1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</w:t>
            </w:r>
          </w:p>
        </w:tc>
      </w:tr>
      <w:tr>
        <w:tc>
          <w:tcPr>
            <w:tcW w:type="dxa" w:w="32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Actual (EXT, BIE, DET, ROC)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57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18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0</w:t>
            </w:r>
          </w:p>
        </w:tc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5(57)/129 + 5(18)/26 + 0</w:t>
            </w:r>
          </w:p>
        </w:tc>
        <w:tc>
          <w:tcPr>
            <w:tcW w:type="dxa" w:w="1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2"/>
                <w:szCs w:val="22"/>
              </w:rPr>
              <w:t xml:space="preserve">5,67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Bueno</w:t>
            </w:r>
          </w:p>
        </w:tc>
      </w:tr>
      <w:tr>
        <w:tc>
          <w:tcPr>
            <w:tcW w:type="dxa" w:w="32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B3B3B"/>
                <w:sz w:val="18"/>
                <w:szCs w:val="18"/>
              </w:rPr>
              <w:t xml:space="preserve">Con brigada certificada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57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18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5(57)/129 + 5(18)/26 + 1</w:t>
            </w:r>
          </w:p>
        </w:tc>
        <w:tc>
          <w:tcPr>
            <w:tcW w:type="dxa" w:w="1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2"/>
                <w:szCs w:val="22"/>
              </w:rPr>
              <w:t xml:space="preserve">6,67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Bueno</w:t>
            </w:r>
          </w:p>
        </w:tc>
      </w:tr>
      <w:tr>
        <w:tc>
          <w:tcPr>
            <w:tcW w:type="dxa" w:w="32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B3B3B"/>
                <w:sz w:val="18"/>
                <w:szCs w:val="18"/>
              </w:rPr>
              <w:t xml:space="preserve">Con brigada e hidrantes exteriores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57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22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5(57)/129 + 5(22)/26 + 1</w:t>
            </w:r>
          </w:p>
        </w:tc>
        <w:tc>
          <w:tcPr>
            <w:tcW w:type="dxa" w:w="1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2"/>
                <w:szCs w:val="22"/>
              </w:rPr>
              <w:t xml:space="preserve">7,44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Bueno</w:t>
            </w:r>
          </w:p>
        </w:tc>
      </w:tr>
    </w:tbl>
    <w:p>
      <w:pPr>
        <w:spacing w:after="280" w:before="100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Nota. </w:t>
      </w:r>
      <w:r>
        <w:rPr>
          <w:rFonts w:ascii="Arial" w:cs="Arial" w:eastAsia="Arial" w:hAnsi="Arial"/>
          <w:color w:val="6B6B6B"/>
          <w:sz w:val="16"/>
          <w:szCs w:val="16"/>
        </w:rPr>
        <w:t xml:space="preserve">Los hidrantes exteriores con vigilancia suman 4 puntos al factor Y.</w:t>
      </w:r>
    </w:p>
    <w:p>
      <w:pPr>
        <w:pStyle w:val="Heading1"/>
        <w:keepNext/>
      </w:pPr>
      <w:r>
        <w:t xml:space="preserve">6. Conclusiones y recomendaciones</w:t>
      </w:r>
    </w:p>
    <w:p>
      <w:pPr>
        <w:spacing w:after="200" w:before="0" w:line="300" w:lineRule="auto"/>
        <w:jc w:val="both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El riesgo de incendio del CEDI D1 Lebrija es </w:t>
      </w: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bueno (P = 5,67)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. Las instalaciones por sí solas son desfavorables, pero los sistemas de protección compensan buena parte de esa vulnerabilidad.</w:t>
      </w:r>
    </w:p>
    <w:p>
      <w:pPr>
        <w:keepNext/>
        <w:spacing w:after="120" w:before="200"/>
      </w:pPr>
      <w:r>
        <w:rPr>
          <w:rFonts w:ascii="Arial" w:cs="Arial" w:eastAsia="Arial" w:hAnsi="Arial"/>
          <w:b/>
          <w:bCs/>
          <w:color w:val="7E8410"/>
          <w:sz w:val="22"/>
          <w:szCs w:val="22"/>
        </w:rPr>
        <w:t xml:space="preserve">Factores que aumentan el riesgo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Un solo sector de incendio de más de 4.500 m², sin muros cortafuego.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Almacenamiento en racks de más de 6 m, que favorece la propagación vertical.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Carga térmica alta y mercancía muy sensible al calor y al humo.</w:t>
      </w:r>
    </w:p>
    <w:p>
      <w:pPr>
        <w:keepNext/>
        <w:spacing w:after="120" w:before="280"/>
      </w:pPr>
      <w:r>
        <w:rPr>
          <w:rFonts w:ascii="Arial" w:cs="Arial" w:eastAsia="Arial" w:hAnsi="Arial"/>
          <w:b/>
          <w:bCs/>
          <w:color w:val="7E8410"/>
          <w:sz w:val="22"/>
          <w:szCs w:val="22"/>
        </w:rPr>
        <w:t xml:space="preserve">Factores que lo reducen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Rociadores automáticos en toda la nave (8 puntos).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Detección automática y red de BIE (4 puntos cada una).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Extintores portátiles con mantenimiento y cuarto de bombas propio.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Estación de bomberos a solo 3,4 km (5 min) por carretera.</w:t>
      </w:r>
    </w:p>
    <w:p>
      <w:pPr>
        <w:keepNext/>
        <w:spacing w:after="120" w:before="280"/>
      </w:pPr>
      <w:r>
        <w:rPr>
          <w:rFonts w:ascii="Arial" w:cs="Arial" w:eastAsia="Arial" w:hAnsi="Arial"/>
          <w:b/>
          <w:bCs/>
          <w:color w:val="7E8410"/>
          <w:sz w:val="22"/>
          <w:szCs w:val="22"/>
        </w:rPr>
        <w:t xml:space="preserve">Recomendaciones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Mantener la inspección y prueba periódica de rociadores, bombas y válvulas.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Certificar la brigada contra incendios: P subiría a 6,67.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Verificar si la toma exterior es un hidrante; con brigada, P llegaría a 7,44.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Controlar la acumulación de estibas y evaluar muros cortafuego en futuras ampliaciones.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Corregir el cableado expuesto en la cocina del comedor.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Capacitar al personal en uso de extintores y evacuación.</w:t>
      </w:r>
    </w:p>
    <w:p>
      <w:pPr>
        <w:pStyle w:val="Heading1"/>
        <w:keepNext/>
      </w:pPr>
      <w:r>
        <w:t xml:space="preserve">Referencias</w:t>
      </w:r>
    </w:p>
    <w:p>
      <w:pPr>
        <w:spacing w:after="160" w:line="288"/>
        <w:ind w:left="720" w:hanging="720"/>
      </w:pPr>
      <w:r>
        <w:rPr>
          <w:rFonts w:ascii="Arial" w:cs="Arial" w:eastAsia="Arial" w:hAnsi="Arial"/>
          <w:color w:val="3B3B3B"/>
          <w:sz w:val="20"/>
          <w:szCs w:val="20"/>
        </w:rPr>
        <w:t xml:space="preserve">Fondo Inmobiliario Colombia. (s. f.). </w:t>
      </w: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Ficha CEDI Bucaramanga / Lebrija</w:t>
      </w:r>
      <w:r>
        <w:rPr>
          <w:rFonts w:ascii="Arial" w:cs="Arial" w:eastAsia="Arial" w:hAnsi="Arial"/>
          <w:color w:val="3B3B3B"/>
          <w:sz w:val="20"/>
          <w:szCs w:val="20"/>
        </w:rPr>
        <w:t xml:space="preserve">.</w:t>
      </w:r>
    </w:p>
    <w:p>
      <w:pPr>
        <w:spacing w:after="160" w:line="288"/>
        <w:ind w:left="720" w:hanging="720"/>
      </w:pPr>
      <w:r>
        <w:rPr>
          <w:rFonts w:ascii="Arial" w:cs="Arial" w:eastAsia="Arial" w:hAnsi="Arial"/>
          <w:color w:val="3B3B3B"/>
          <w:sz w:val="20"/>
          <w:szCs w:val="20"/>
        </w:rPr>
        <w:t xml:space="preserve">Fundación MAPFRE. (s. f.). </w:t>
      </w: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Método simplificado de evaluación del riesgo de incendio: MESERI</w:t>
      </w:r>
      <w:r>
        <w:rPr>
          <w:rFonts w:ascii="Arial" w:cs="Arial" w:eastAsia="Arial" w:hAnsi="Arial"/>
          <w:color w:val="3B3B3B"/>
          <w:sz w:val="20"/>
          <w:szCs w:val="20"/>
        </w:rPr>
        <w:t xml:space="preserve">.</w:t>
      </w:r>
    </w:p>
    <w:p>
      <w:pPr>
        <w:spacing w:after="160" w:line="288"/>
        <w:ind w:left="720" w:hanging="720"/>
      </w:pPr>
      <w:r>
        <w:rPr>
          <w:rFonts w:ascii="Arial" w:cs="Arial" w:eastAsia="Arial" w:hAnsi="Arial"/>
          <w:color w:val="3B3B3B"/>
          <w:sz w:val="20"/>
          <w:szCs w:val="20"/>
        </w:rPr>
        <w:t xml:space="preserve">Google. (2026). </w:t>
      </w: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Google Maps: medición de la superficie del CEDI D1 Lebrija y ruta desde la Estación de Bomberos de Lebrija</w:t>
      </w:r>
      <w:r>
        <w:rPr>
          <w:rFonts w:ascii="Arial" w:cs="Arial" w:eastAsia="Arial" w:hAnsi="Arial"/>
          <w:color w:val="3B3B3B"/>
          <w:sz w:val="20"/>
          <w:szCs w:val="20"/>
        </w:rPr>
        <w:t xml:space="preserve">. https://maps.google.com</w:t>
      </w:r>
    </w:p>
    <w:p>
      <w:pPr>
        <w:pStyle w:val="Heading1"/>
        <w:keepNext/>
        <w:pageBreakBefore/>
      </w:pPr>
      <w:r>
        <w:t xml:space="preserve">Anexo. Registro fotográfico complementario</w:t>
      </w:r>
    </w:p>
    <w:p>
      <w:pPr>
        <w:keepNext/>
        <w:spacing w:after="100" w:before="240"/>
      </w:pPr>
      <w:r>
        <w:rPr>
          <w:rFonts w:ascii="Arial" w:cs="Arial" w:eastAsia="Arial" w:hAnsi="Arial"/>
          <w:b/>
          <w:bCs/>
          <w:color w:val="7E8410"/>
          <w:sz w:val="22"/>
          <w:szCs w:val="22"/>
        </w:rPr>
        <w:t xml:space="preserve">Sistema de bombeo contra incendio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Bomba principal.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Bomba jockey.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26.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Válvulas de la red.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27.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Tanque hidroneumático.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Arial" w:hAnsi="Arial"/>
          <w:b/>
          <w:bCs/>
          <w:color w:val="7E8410"/>
          <w:sz w:val="22"/>
          <w:szCs w:val="22"/>
        </w:rPr>
        <w:t xml:space="preserve">Bodega y muelles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28.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Rociadores en el mezanine.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29.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Interior de la cava.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30.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Acumulación de estibas.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Muelles de cargue.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Arial" w:hAnsi="Arial"/>
          <w:b/>
          <w:bCs/>
          <w:color w:val="7E8410"/>
          <w:sz w:val="22"/>
          <w:szCs w:val="22"/>
        </w:rPr>
        <w:t xml:space="preserve">Mezanine administrativo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Fachada de oficinas.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Corredor de evacuación.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Corredor interno.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Acceso a oficinas.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36.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Sala de capacitación.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37.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Comedor.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38.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Señal de extintor.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39.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Cocina: cableado expuesto.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300" w:right="1440" w:bottom="1200" w:left="1440" w:header="600" w:footer="56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C9C9" w:sz="6" w:space="6"/>
      </w:pBdr>
      <w:tabs>
        <w:tab w:val="right" w:pos="9360"/>
      </w:tabs>
    </w:pPr>
    <w:r>
      <w:rPr>
        <w:rFonts w:ascii="Arial" w:cs="Arial" w:eastAsia="Arial" w:hAnsi="Arial"/>
        <w:color w:val="6B6B6B"/>
        <w:sz w:val="16"/>
        <w:szCs w:val="16"/>
      </w:rPr>
      <w:t xml:space="preserve">CEDI D1 Lebrija · Electiva Complementaria Salud Ocupacional</w:t>
    </w:r>
    <w:r>
      <w:t xml:space="preserve">	</w:t>
    </w:r>
    <w:r>
      <w:rPr>
        <w:rFonts w:ascii="Arial" w:cs="Arial" w:eastAsia="Arial" w:hAnsi="Arial"/>
        <w:b/>
        <w:bCs/>
        <w:color w:val="3B3B3B"/>
        <w:sz w:val="16"/>
        <w:szCs w:val="16"/>
      </w:rPr>
      <w:t xml:space="preserve">Página </w:t>
    </w:r>
    <w:r>
      <w:rPr>
        <w:rFonts w:ascii="Arial" w:cs="Arial" w:eastAsia="Arial" w:hAnsi="Arial"/>
        <w:b/>
        <w:bCs/>
        <w:color w:val="3B3B3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b/>
        <w:bCs/>
        <w:color w:val="3B3B3B"/>
        <w:sz w:val="16"/>
        <w:szCs w:val="16"/>
      </w:rPr>
      <w:t xml:space="preserve"> de </w:t>
    </w:r>
    <w:r>
      <w:rPr>
        <w:rFonts w:ascii="Arial" w:cs="Arial" w:eastAsia="Arial" w:hAnsi="Arial"/>
        <w:b/>
        <w:bCs/>
        <w:color w:val="3B3B3B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225" w:sz="12" w:space="6"/>
      </w:pBdr>
      <w:tabs>
        <w:tab w:val="right" w:pos="9360"/>
      </w:tabs>
    </w:pPr>
    <w:r>
      <w:drawing>
        <wp:inline distT="0" distB="0" distL="0" distR="0">
          <wp:extent cx="323850" cy="2286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23850" cy="228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b/>
        <w:bCs/>
        <w:color w:val="3B3B3B"/>
        <w:sz w:val="16"/>
        <w:szCs w:val="16"/>
      </w:rPr>
      <w:t xml:space="preserve">   Unidades Tecnológicas de Santander</w:t>
    </w:r>
    <w: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Evaluación de Riesgos de Incendio – Método MESERI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■"/>
      <w:lvlJc w:val="left"/>
      <w:pPr>
        <w:ind w:left="560" w:hanging="300"/>
      </w:pPr>
      <w:rPr>
        <w:color w:val="CAD225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B3B3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left w:val="single" w:color="CAD225" w:sz="36" w:space="10"/>
      </w:pBdr>
      <w:spacing w:after="220" w:before="600"/>
      <w:ind w:left="200"/>
      <w:outlineLvl w:val="0"/>
    </w:pPr>
    <w:rPr>
      <w:rFonts w:ascii="Arial" w:cs="Arial" w:eastAsia="Arial" w:hAnsi="Arial"/>
      <w:b/>
      <w:bCs/>
      <w:color w:val="3B3B3B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cec7767423571e44399f80317da09f83bd960d12.png"/><Relationship Id="rId12" Type="http://schemas.openxmlformats.org/officeDocument/2006/relationships/image" Target="media/cb5ca1a99486506f6648eba90f7c4f4a6a315abb.jpg"/><Relationship Id="rId13" Type="http://schemas.openxmlformats.org/officeDocument/2006/relationships/image" Target="media/7de187e903c463034a070588c63180027b998f4a.jpg"/><Relationship Id="rId14" Type="http://schemas.openxmlformats.org/officeDocument/2006/relationships/image" Target="media/89bc142259407c5d56bb7a1abc103884b840c91b.jpg"/><Relationship Id="rId15" Type="http://schemas.openxmlformats.org/officeDocument/2006/relationships/image" Target="media/9a2152f264ff0b8d47426670e0325a8f16a81d57.jpg"/><Relationship Id="rId16" Type="http://schemas.openxmlformats.org/officeDocument/2006/relationships/image" Target="media/421f5e514b8831187701a9ecf2b9240b1d8b5923.jpg"/><Relationship Id="rId17" Type="http://schemas.openxmlformats.org/officeDocument/2006/relationships/image" Target="media/5fa581d7bb723f1a63d63cea0f393f538761de0c.jpg"/><Relationship Id="rId18" Type="http://schemas.openxmlformats.org/officeDocument/2006/relationships/image" Target="media/cfb687fb5ed71ff778d0112e458230228f62dabc.jpg"/><Relationship Id="rId19" Type="http://schemas.openxmlformats.org/officeDocument/2006/relationships/image" Target="media/5e5500b961be8a3c2d41a8fc5dbdf285431d5ce4.jpg"/><Relationship Id="rId20" Type="http://schemas.openxmlformats.org/officeDocument/2006/relationships/image" Target="media/cf9d995420f237e5f467e32b92536250228cd216.jpg"/><Relationship Id="rId21" Type="http://schemas.openxmlformats.org/officeDocument/2006/relationships/image" Target="media/0f9be68fdb19beb564ec0b3af42998b7a2c7ccdd.jpg"/><Relationship Id="rId22" Type="http://schemas.openxmlformats.org/officeDocument/2006/relationships/image" Target="media/a1ad16adc5098955d99da07ffbbfee9dcd0c4642.jpg"/><Relationship Id="rId23" Type="http://schemas.openxmlformats.org/officeDocument/2006/relationships/image" Target="media/4432effcc5f6f44b9178831efdaf2338c658c36d.jpg"/><Relationship Id="rId24" Type="http://schemas.openxmlformats.org/officeDocument/2006/relationships/image" Target="media/243786a2a3f8f18fc6f75f1b05bb388cf3af794f.jpg"/><Relationship Id="rId25" Type="http://schemas.openxmlformats.org/officeDocument/2006/relationships/image" Target="media/76f8587993153e602b205aa5cc865ba93f33b81e.jpg"/><Relationship Id="rId26" Type="http://schemas.openxmlformats.org/officeDocument/2006/relationships/image" Target="media/50e8892188ab26e17d2505d4da272193ea7de849.jpg"/><Relationship Id="rId27" Type="http://schemas.openxmlformats.org/officeDocument/2006/relationships/image" Target="media/1c8b8ddcd71a93f158a982417d38c0a99a77b696.jpg"/><Relationship Id="rId28" Type="http://schemas.openxmlformats.org/officeDocument/2006/relationships/image" Target="media/2123fca6546a1776189094adebe92e282d15b090.jpg"/><Relationship Id="rId29" Type="http://schemas.openxmlformats.org/officeDocument/2006/relationships/image" Target="media/308a1e4397779ddc505b011a61727ce82bd395a8.jpg"/><Relationship Id="rId30" Type="http://schemas.openxmlformats.org/officeDocument/2006/relationships/image" Target="media/f0513aacbbecd59a42bf025f1857b6834a2ea207.jpg"/><Relationship Id="rId31" Type="http://schemas.openxmlformats.org/officeDocument/2006/relationships/image" Target="media/6477ab5ef2e53ef9461ead4c8e3f148a62940039.jpg"/><Relationship Id="rId32" Type="http://schemas.openxmlformats.org/officeDocument/2006/relationships/image" Target="media/1d6619b9674b2919b64f6a187c1e743bb151c83b.jpg"/><Relationship Id="rId33" Type="http://schemas.openxmlformats.org/officeDocument/2006/relationships/image" Target="media/ec1f03383798701c9a5ed9754b996512c79eb037.jpg"/><Relationship Id="rId34" Type="http://schemas.openxmlformats.org/officeDocument/2006/relationships/image" Target="media/98944a46b070bad5773fbb0d72e7dd7d52c4e2a8.jpg"/><Relationship Id="rId35" Type="http://schemas.openxmlformats.org/officeDocument/2006/relationships/image" Target="media/275428c780a97e874d547e74178b053dcf0db269.jpg"/><Relationship Id="rId36" Type="http://schemas.openxmlformats.org/officeDocument/2006/relationships/image" Target="media/4fac5df6c9686d2d0b3fa093c5cf6aa1ea074e94.jpg"/><Relationship Id="rId37" Type="http://schemas.openxmlformats.org/officeDocument/2006/relationships/image" Target="media/946269947347a0943640007d8aea13d51398d542.jpg"/><Relationship Id="rId38" Type="http://schemas.openxmlformats.org/officeDocument/2006/relationships/image" Target="media/a47d3ecd60e7840161a954afc6c2650a4bb183ed.jpg"/><Relationship Id="rId39" Type="http://schemas.openxmlformats.org/officeDocument/2006/relationships/image" Target="media/c988c5b6dd0ff60bc665709bd79fef102e876b64.jpg"/><Relationship Id="rId40" Type="http://schemas.openxmlformats.org/officeDocument/2006/relationships/image" Target="media/667eb30d4702357feba5c50b68c89bb1941915d5.jpg"/><Relationship Id="rId41" Type="http://schemas.openxmlformats.org/officeDocument/2006/relationships/image" Target="media/e4b36bb6e9766dc60d914e198fe2648485a122fb.jpg"/><Relationship Id="rId42" Type="http://schemas.openxmlformats.org/officeDocument/2006/relationships/image" Target="media/0019a3bdd21258a602efb3b3906d69f0f67fb690.jpg"/><Relationship Id="rId43" Type="http://schemas.openxmlformats.org/officeDocument/2006/relationships/image" Target="media/b03d6cadaf050bdacc990d15903ff23af349e0fa.jpg"/><Relationship Id="rId44" Type="http://schemas.openxmlformats.org/officeDocument/2006/relationships/image" Target="media/357b00b66262ba7685acbda355fb8c006501ea4f.jpg"/><Relationship Id="rId45" Type="http://schemas.openxmlformats.org/officeDocument/2006/relationships/image" Target="media/c584303f0fdd04cf5355595cb89d78c10f830161.jpg"/><Relationship Id="rId46" Type="http://schemas.openxmlformats.org/officeDocument/2006/relationships/image" Target="media/e00865220f506dee2d9fe1e970d1f06c1907c6f0.jpg"/><Relationship Id="rId47" Type="http://schemas.openxmlformats.org/officeDocument/2006/relationships/image" Target="media/db27d87def3db46cd62879d3739518bc2920b65f.jpg"/><Relationship Id="rId48" Type="http://schemas.openxmlformats.org/officeDocument/2006/relationships/image" Target="media/7f3dc5d50fcbb727dab8d4aaa693d622054b540b.jpg"/><Relationship Id="rId49" Type="http://schemas.openxmlformats.org/officeDocument/2006/relationships/image" Target="media/5a5a419eaca7fb6484dc7d0e6ea8b426d41f9057.jpg"/><Relationship Id="rId5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ec7767423571e44399f80317da09f83bd960d12.png"/></Relationships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Evaluación de Riesgos de Incendio – Método MESERI – CEDI D1 Lebrija</dc:title>
  <dc:creator>Estudiante UTS</dc:creator>
  <cp:lastModifiedBy>Un-named</cp:lastModifiedBy>
  <cp:revision>1</cp:revision>
  <dcterms:created xsi:type="dcterms:W3CDTF">2026-10-23T16:54:06.720Z</dcterms:created>
  <dcterms:modified xsi:type="dcterms:W3CDTF">2026-10-23T16:54:06.721Z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