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420"/>
        <w:gridCol w:w="520"/>
        <w:gridCol w:w="8420"/>
      </w:tblGrid>
      <w:tr>
        <w:trPr>
          <w:trHeight w:val="12900" w:hRule="exact"/>
        </w:trPr>
        <w:tc>
          <w:tcPr>
            <w:tcW w:type="dxa" w:w="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CAD22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5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/>
        </w:tc>
        <w:tc>
          <w:tcPr>
            <w:tcW w:type="dxa" w:w="842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0"/>
              <w:left w:type="dxa" w:w="0"/>
              <w:bottom w:type="dxa" w:w="0"/>
              <w:right w:type="dxa" w:w="0"/>
            </w:tcMar>
            <w:vAlign w:val="top"/>
          </w:tcPr>
          <w:p>
            <w:pPr>
              <w:spacing w:after="0" w:before="200"/>
            </w:pPr>
            <w:r>
              <w:drawing>
                <wp:inline distT="0" distB="0" distL="0" distR="0">
                  <wp:extent cx="1428750" cy="1000125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428750" cy="10001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0" w:before="120"/>
            </w:pPr>
            <w:r>
              <w:rPr>
                <w:rFonts w:ascii="Arial" w:cs="Arial" w:eastAsia="Arial" w:hAnsi="Arial"/>
                <w:b/>
                <w:bCs/>
                <w:color w:val="3B3B3B"/>
                <w:spacing w:val="20"/>
                <w:sz w:val="20"/>
                <w:szCs w:val="20"/>
              </w:rPr>
              <w:t xml:space="preserve">UNIDADES TECNOLÓGICAS DE SANTANDER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color w:val="6B6B6B"/>
                <w:sz w:val="18"/>
                <w:szCs w:val="18"/>
              </w:rPr>
              <w:t xml:space="preserve">Bucaramanga, Santander</w:t>
            </w:r>
          </w:p>
          <w:p>
            <w:pPr>
              <w:spacing w:after="120" w:before="1500"/>
            </w:pPr>
            <w:r>
              <w:rPr>
                <w:rFonts w:ascii="Arial" w:cs="Arial" w:eastAsia="Arial" w:hAnsi="Arial"/>
                <w:b/>
                <w:bCs/>
                <w:color w:val="7E8410"/>
                <w:spacing w:val="30"/>
                <w:sz w:val="18"/>
                <w:szCs w:val="18"/>
              </w:rPr>
              <w:t xml:space="preserve">INFORME TÉCNICO · SALUD OCUPACIONAL</w:t>
            </w:r>
          </w:p>
          <w:p>
            <w:pPr>
              <w:spacing w:after="0"/>
            </w:pPr>
            <w:r>
              <w:rPr>
                <w:rFonts w:ascii="Arial" w:cs="Arial" w:eastAsia="Arial" w:hAnsi="Arial"/>
                <w:b/>
                <w:bCs/>
                <w:color w:val="3B3B3B"/>
                <w:sz w:val="60"/>
                <w:szCs w:val="60"/>
              </w:rPr>
              <w:t xml:space="preserve">Evaluación de Riesgos</w:t>
            </w:r>
          </w:p>
          <w:p>
            <w:pPr>
              <w:spacing w:after="120"/>
            </w:pPr>
            <w:r>
              <w:rPr>
                <w:rFonts w:ascii="Arial" w:cs="Arial" w:eastAsia="Arial" w:hAnsi="Arial"/>
                <w:b/>
                <w:bCs/>
                <w:color w:val="3B3B3B"/>
                <w:sz w:val="60"/>
                <w:szCs w:val="60"/>
              </w:rPr>
              <w:t xml:space="preserve">de Incendio</w:t>
            </w:r>
          </w:p>
          <w:p>
            <w:pPr>
              <w:spacing w:after="60"/>
            </w:pPr>
            <w:r>
              <w:rPr>
                <w:rFonts w:ascii="Arial" w:cs="Arial" w:eastAsia="Arial" w:hAnsi="Arial"/>
                <w:b/>
                <w:bCs/>
                <w:color w:val="7E8410"/>
                <w:sz w:val="36"/>
                <w:szCs w:val="36"/>
              </w:rPr>
              <w:t xml:space="preserve">Método MESERI</w:t>
            </w:r>
          </w:p>
          <w:p>
            <w:pPr>
              <w:pBdr>
                <w:bottom w:val="single" w:color="CAD225" w:sz="24" w:space="12"/>
              </w:pBdr>
              <w:spacing w:after="0"/>
            </w:pPr>
            <w:r>
              <w:rPr>
                <w:rFonts w:ascii="Arial" w:cs="Arial" w:eastAsia="Arial" w:hAnsi="Arial"/>
                <w:color w:val="6B6B6B"/>
                <w:sz w:val="24"/>
                <w:szCs w:val="24"/>
              </w:rPr>
              <w:t xml:space="preserve">Centro de Distribución D1 · Bucaramanga / Lebrija</w:t>
            </w:r>
          </w:p>
          <w:p>
            <w:pPr>
              <w:spacing w:after="0" w:before="1400"/>
            </w:pPr>
          </w:p>
          <w:tbl>
            <w:tblPr>
              <w:tblW w:type="dxa" w:w="7900"/>
              <w:tblBorders>
                <w:top w:val="single" w:color="auto" w:sz="4"/>
                <w:left w:val="single" w:color="auto" w:sz="4"/>
                <w:bottom w:val="single" w:color="auto" w:sz="4"/>
                <w:right w:val="single" w:color="auto" w:sz="4"/>
                <w:insideH w:val="single" w:color="auto" w:sz="4"/>
                <w:insideV w:val="single" w:color="auto" w:sz="4"/>
              </w:tblBorders>
              <w:tblLayout w:type="fixed"/>
            </w:tblPr>
            <w:tblGrid>
              <w:gridCol w:w="2300"/>
              <w:gridCol w:w="5600"/>
            </w:tblGrid>
            <w:t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C9C9C9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line="264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3B3B"/>
                      <w:sz w:val="20"/>
                      <w:szCs w:val="20"/>
                    </w:rPr>
                    <w:t xml:space="preserve">Estudiante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single" w:color="C9C9C9" w:sz="4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0"/>
                  </w:tcMar>
                  <w:vAlign w:val="center"/>
                </w:tcPr>
                <w:p>
                  <w:pPr>
                    <w:spacing w:line="264"/>
                    <w:jc w:val="left"/>
                  </w:pPr>
                  <w:r>
                    <w:rPr>
                      <w:rFonts w:ascii="Arial" w:cs="Arial" w:eastAsia="Arial" w:hAnsi="Arial"/>
                      <w:i/>
                      <w:iCs/>
                      <w:color w:val="6B6B6B"/>
                      <w:sz w:val="20"/>
                      <w:szCs w:val="20"/>
                    </w:rPr>
                    <w:t xml:space="preserve">[Nombre del estudiante]</w:t>
                  </w:r>
                </w:p>
              </w:tc>
            </w:tr>
            <w:t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C9C9C9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line="264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3B3B"/>
                      <w:sz w:val="20"/>
                      <w:szCs w:val="20"/>
                    </w:rPr>
                    <w:t xml:space="preserve">Docente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single" w:color="C9C9C9" w:sz="4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0"/>
                  </w:tcMar>
                  <w:vAlign w:val="center"/>
                </w:tcPr>
                <w:p>
                  <w:pPr>
                    <w:spacing w:line="264"/>
                    <w:jc w:val="left"/>
                  </w:pPr>
                  <w:r>
                    <w:rPr>
                      <w:rFonts w:ascii="Arial" w:cs="Arial" w:eastAsia="Arial" w:hAnsi="Arial"/>
                      <w:i/>
                      <w:iCs/>
                      <w:color w:val="6B6B6B"/>
                      <w:sz w:val="20"/>
                      <w:szCs w:val="20"/>
                    </w:rPr>
                    <w:t xml:space="preserve">[Nombre del docente]</w:t>
                  </w:r>
                </w:p>
              </w:tc>
            </w:tr>
            <w:t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C9C9C9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line="264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3B3B"/>
                      <w:sz w:val="20"/>
                      <w:szCs w:val="20"/>
                    </w:rPr>
                    <w:t xml:space="preserve">Asignatura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single" w:color="C9C9C9" w:sz="4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0"/>
                  </w:tcMar>
                  <w:vAlign w:val="center"/>
                </w:tcPr>
                <w:p>
                  <w:pPr>
                    <w:spacing w:line="264"/>
                    <w:jc w:val="left"/>
                  </w:pPr>
                  <w:r>
                    <w:rPr>
                      <w:rFonts w:ascii="Arial" w:cs="Arial" w:eastAsia="Arial" w:hAnsi="Arial"/>
                      <w:color w:val="3B3B3B"/>
                      <w:sz w:val="20"/>
                      <w:szCs w:val="20"/>
                    </w:rPr>
                    <w:t xml:space="preserve">Electiva Complementaria Salud Ocupacional</w:t>
                  </w:r>
                </w:p>
              </w:tc>
            </w:tr>
            <w:t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C9C9C9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line="264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3B3B"/>
                      <w:sz w:val="20"/>
                      <w:szCs w:val="20"/>
                    </w:rPr>
                    <w:t xml:space="preserve">Evaluación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single" w:color="C9C9C9" w:sz="4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0"/>
                  </w:tcMar>
                  <w:vAlign w:val="center"/>
                </w:tcPr>
                <w:p>
                  <w:pPr>
                    <w:spacing w:line="264"/>
                    <w:jc w:val="left"/>
                  </w:pPr>
                  <w:r>
                    <w:rPr>
                      <w:rFonts w:ascii="Arial" w:cs="Arial" w:eastAsia="Arial" w:hAnsi="Arial"/>
                      <w:color w:val="3B3B3B"/>
                      <w:sz w:val="20"/>
                      <w:szCs w:val="20"/>
                    </w:rPr>
                    <w:t xml:space="preserve">Parcial</w:t>
                  </w:r>
                </w:p>
              </w:tc>
            </w:tr>
            <w:tr>
              <w:tc>
                <w:tcPr>
                  <w:tcW w:type="dxa" w:w="2300"/>
                  <w:tcBorders>
                    <w:top w:val="none" w:color="FFFFFF" w:sz="0"/>
                    <w:left w:val="none" w:color="FFFFFF" w:sz="0"/>
                    <w:bottom w:val="single" w:color="C9C9C9" w:sz="4"/>
                    <w:right w:val="none" w:color="FFFFFF" w:sz="0"/>
                  </w:tcBorders>
                  <w:tcMar>
                    <w:top w:type="dxa" w:w="110"/>
                    <w:left w:type="dxa" w:w="0"/>
                    <w:bottom w:type="dxa" w:w="110"/>
                    <w:right w:type="dxa" w:w="80"/>
                  </w:tcMar>
                  <w:vAlign w:val="center"/>
                </w:tcPr>
                <w:p>
                  <w:pPr>
                    <w:spacing w:line="264"/>
                    <w:jc w:val="left"/>
                  </w:pPr>
                  <w:r>
                    <w:rPr>
                      <w:rFonts w:ascii="Arial" w:cs="Arial" w:eastAsia="Arial" w:hAnsi="Arial"/>
                      <w:b/>
                      <w:bCs/>
                      <w:color w:val="3B3B3B"/>
                      <w:sz w:val="20"/>
                      <w:szCs w:val="20"/>
                    </w:rPr>
                    <w:t xml:space="preserve">Fecha</w:t>
                  </w:r>
                </w:p>
              </w:tc>
              <w:tc>
                <w:tcPr>
                  <w:tcW w:type="dxa" w:w="5600"/>
                  <w:tcBorders>
                    <w:top w:val="none" w:color="FFFFFF" w:sz="0"/>
                    <w:left w:val="none" w:color="FFFFFF" w:sz="0"/>
                    <w:bottom w:val="single" w:color="C9C9C9" w:sz="4"/>
                    <w:right w:val="none" w:color="FFFFFF" w:sz="0"/>
                  </w:tcBorders>
                  <w:tcMar>
                    <w:top w:type="dxa" w:w="110"/>
                    <w:left w:type="dxa" w:w="80"/>
                    <w:bottom w:type="dxa" w:w="110"/>
                    <w:right w:type="dxa" w:w="0"/>
                  </w:tcMar>
                  <w:vAlign w:val="center"/>
                </w:tcPr>
                <w:p>
                  <w:pPr>
                    <w:spacing w:line="264"/>
                    <w:jc w:val="left"/>
                  </w:pPr>
                  <w:r>
                    <w:rPr>
                      <w:rFonts w:ascii="Arial" w:cs="Arial" w:eastAsia="Arial" w:hAnsi="Arial"/>
                      <w:color w:val="3B3B3B"/>
                      <w:sz w:val="20"/>
                      <w:szCs w:val="20"/>
                    </w:rPr>
                    <w:t xml:space="preserve">Octubre de 2026</w:t>
                  </w:r>
                </w:p>
              </w:tc>
            </w:tr>
          </w:tbl>
          <w:p/>
        </w:tc>
      </w:tr>
    </w:tbl>
    <w:p>
      <w:pPr>
        <w:pageBreakBefore/>
        <w:spacing w:after="0"/>
      </w:pPr>
    </w:p>
    <w:p>
      <w:pPr>
        <w:pStyle w:val="Heading1"/>
        <w:keepNext/>
      </w:pPr>
      <w:r>
        <w:t xml:space="preserve">1. Introducción</w:t>
      </w:r>
    </w:p>
    <w:p>
      <w:pPr>
        <w:spacing w:after="200" w:before="0" w:line="300" w:lineRule="auto"/>
        <w:jc w:val="both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Este informe evalúa el riesgo de incendio del Centro de Distribución (CEDI) de Tiendas D1 en Lebrija, Santander, mediante el Método MESERI. Los coeficientes se asignaron a partir de una inspección fotográfica de las instalaciones realizada entre marzo y octubre de 2026.</w:t>
      </w:r>
    </w:p>
    <w:p>
      <w:pPr>
        <w:keepNext/>
        <w:spacing w:after="20" w:before="320"/>
      </w:pPr>
      <w:r>
        <w:rPr>
          <w:rFonts w:ascii="Arial" w:cs="Arial" w:eastAsia="Arial" w:hAnsi="Arial"/>
          <w:b/>
          <w:bCs/>
          <w:color w:val="3B3B3B"/>
          <w:sz w:val="20"/>
          <w:szCs w:val="20"/>
        </w:rPr>
        <w:t xml:space="preserve">Tabla 1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3B3B3B"/>
          <w:sz w:val="20"/>
          <w:szCs w:val="20"/>
        </w:rPr>
        <w:t xml:space="preserve">Ficha técnica del CEDI evaluado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200"/>
        <w:gridCol w:w="7160"/>
      </w:tblGrid>
      <w:tr>
        <w:trPr>
          <w:cantSplit/>
        </w:trPr>
        <w:tc>
          <w:tcPr>
            <w:tcW w:type="dxa" w:w="22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Empresa</w:t>
            </w:r>
          </w:p>
        </w:tc>
        <w:tc>
          <w:tcPr>
            <w:tcW w:type="dxa" w:w="71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Tiendas D1 – Koba Colombia S.A.S.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Ubicación</w:t>
            </w:r>
          </w:p>
        </w:tc>
        <w:tc>
          <w:tcPr>
            <w:tcW w:type="dxa" w:w="71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Sector San Pablo, Lebrija (Santander), vía Bucaramanga–Barrancabermeja. A 15 min de Bucaramanga y 2,5 km del aeropuerto Palonegro.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Actividad</w:t>
            </w:r>
          </w:p>
        </w:tc>
        <w:tc>
          <w:tcPr>
            <w:tcW w:type="dxa" w:w="71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Recepción, almacenamiento y despacho de alimentos, bebidas y productos de aseo.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Área cubierta</w:t>
            </w:r>
          </w:p>
        </w:tc>
        <w:tc>
          <w:tcPr>
            <w:tcW w:type="dxa" w:w="71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17.432 m² (medición en Google Maps), sin sectorización comprobada.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Altura</w:t>
            </w:r>
          </w:p>
        </w:tc>
        <w:tc>
          <w:tcPr>
            <w:tcW w:type="dxa" w:w="71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18 m libres en el interior; 21 m por el exterior.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Estructura</w:t>
            </w:r>
          </w:p>
        </w:tc>
        <w:tc>
          <w:tcPr>
            <w:tcW w:type="dxa" w:w="71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Columnas de concreto y acero, cerchas y cubierta metálicas, muros de bloque.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Áreas</w:t>
            </w:r>
          </w:p>
        </w:tc>
        <w:tc>
          <w:tcPr>
            <w:tcW w:type="dxa" w:w="71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Bodega con racks, cava (frío), muelles, zonas de servicio y mezanine con oficinas, sala de capacitación y comedor.</w:t>
            </w:r>
          </w:p>
        </w:tc>
      </w:tr>
      <w:tr>
        <w:trPr>
          <w:cantSplit/>
        </w:trPr>
        <w:tc>
          <w:tcPr>
            <w:tcW w:type="dxa" w:w="22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Protección</w:t>
            </w:r>
          </w:p>
        </w:tc>
        <w:tc>
          <w:tcPr>
            <w:tcW w:type="dxa" w:w="71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FFFFF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Rociadores automáticos, gabinetes BIE, hidrante exterior, detección, extintores y cuarto de bombas.</w:t>
            </w:r>
          </w:p>
        </w:tc>
      </w:tr>
    </w:tbl>
    <w:p>
      <w:pPr>
        <w:spacing w:after="280" w:before="10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Nota.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Información del Fondo Inmobiliario Colombia y de la inspección en sitio.</w:t>
      </w:r>
    </w:p>
    <w:p>
      <w:pPr>
        <w:pStyle w:val="Heading1"/>
        <w:keepNext/>
      </w:pPr>
      <w:r>
        <w:t xml:space="preserve">2. Metodología</w:t>
      </w:r>
    </w:p>
    <w:p>
      <w:pPr>
        <w:spacing w:after="200" w:before="0" w:line="300" w:lineRule="auto"/>
        <w:jc w:val="both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El Método MESERI (Fundación MAPFRE) califica por separado dos grupos de factores y los combina en un coeficiente de protección P, de 0 a 10: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b/>
          <w:bCs/>
          <w:color w:val="3B3B3B"/>
          <w:sz w:val="22"/>
          <w:szCs w:val="22"/>
        </w:rPr>
        <w:t xml:space="preserve">X – Factores propios de las instalaciones: </w:t>
      </w:r>
      <w:r>
        <w:rPr>
          <w:rFonts w:ascii="Arial" w:cs="Arial" w:eastAsia="Arial" w:hAnsi="Arial"/>
          <w:color w:val="3B3B3B"/>
          <w:sz w:val="22"/>
          <w:szCs w:val="22"/>
        </w:rPr>
        <w:t xml:space="preserve">construcción, situación, procesos, concentración, propagabilidad y destructibilidad (máximo 129 puntos).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b/>
          <w:bCs/>
          <w:color w:val="3B3B3B"/>
          <w:sz w:val="22"/>
          <w:szCs w:val="22"/>
        </w:rPr>
        <w:t xml:space="preserve">Y – Factores de protección: </w:t>
      </w:r>
      <w:r>
        <w:rPr>
          <w:rFonts w:ascii="Arial" w:cs="Arial" w:eastAsia="Arial" w:hAnsi="Arial"/>
          <w:color w:val="3B3B3B"/>
          <w:sz w:val="22"/>
          <w:szCs w:val="22"/>
        </w:rPr>
        <w:t xml:space="preserve">extintores, BIE, hidrantes, detección, rociadores e instalaciones especiales (máximo 26 puntos).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b/>
          <w:bCs/>
          <w:color w:val="3B3B3B"/>
          <w:sz w:val="22"/>
          <w:szCs w:val="22"/>
        </w:rPr>
        <w:t xml:space="preserve">BCI – Brigada contra incendios: </w:t>
      </w:r>
      <w:r>
        <w:rPr>
          <w:rFonts w:ascii="Arial" w:cs="Arial" w:eastAsia="Arial" w:hAnsi="Arial"/>
          <w:color w:val="3B3B3B"/>
          <w:sz w:val="22"/>
          <w:szCs w:val="22"/>
        </w:rPr>
        <w:t xml:space="preserve">1 punto si existe, 0 si no.</w:t>
      </w:r>
    </w:p>
    <w:p>
      <w:pPr>
        <w:spacing w:after="20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AD225" w:sz="12"/>
              <w:left w:val="single" w:color="CAD225" w:sz="12"/>
              <w:bottom w:val="single" w:color="CAD225" w:sz="12"/>
              <w:right w:val="single" w:color="CAD225" w:sz="12"/>
            </w:tcBorders>
            <w:shd w:fill="F4F7D3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28"/>
                <w:szCs w:val="28"/>
              </w:rPr>
              <w:t xml:space="preserve">P = 5X / 129  +  5Y / 26  +  BCI</w:t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color w:val="6B6B6B"/>
                <w:sz w:val="17"/>
                <w:szCs w:val="17"/>
              </w:rPr>
              <w:t xml:space="preserve">Un valor de P igual o superior a 5 se considera aceptable.</w:t>
            </w:r>
          </w:p>
        </w:tc>
      </w:tr>
    </w:tbl>
    <w:p>
      <w:pPr>
        <w:keepNext/>
        <w:spacing w:after="20" w:before="320"/>
      </w:pPr>
      <w:r>
        <w:rPr>
          <w:rFonts w:ascii="Arial" w:cs="Arial" w:eastAsia="Arial" w:hAnsi="Arial"/>
          <w:b/>
          <w:bCs/>
          <w:color w:val="3B3B3B"/>
          <w:sz w:val="20"/>
          <w:szCs w:val="20"/>
        </w:rPr>
        <w:t xml:space="preserve">Tabla 2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3B3B3B"/>
          <w:sz w:val="20"/>
          <w:szCs w:val="20"/>
        </w:rPr>
        <w:t xml:space="preserve">Escala de calificación del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6D5D1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24"/>
                <w:szCs w:val="24"/>
              </w:rPr>
              <w:t xml:space="preserve">&lt; 3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Muy malo</w:t>
            </w:r>
          </w:p>
        </w:tc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BE5C4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24"/>
                <w:szCs w:val="24"/>
              </w:rPr>
              <w:t xml:space="preserve">3 – 5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Malo</w:t>
            </w:r>
          </w:p>
        </w:tc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24"/>
                <w:szCs w:val="24"/>
              </w:rPr>
              <w:t xml:space="preserve">5 –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Bueno</w:t>
            </w:r>
          </w:p>
        </w:tc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CAD22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24"/>
                <w:szCs w:val="24"/>
              </w:rPr>
              <w:t xml:space="preserve">&gt; 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Muy bueno</w:t>
            </w:r>
          </w:p>
        </w:tc>
      </w:tr>
    </w:tbl>
    <w:p>
      <w:pPr>
        <w:pStyle w:val="Heading1"/>
        <w:keepNext/>
      </w:pPr>
      <w:r>
        <w:t xml:space="preserve">3. Factores propios de las instalaciones (X)</w:t>
      </w:r>
    </w:p>
    <w:p>
      <w:pPr>
        <w:spacing w:after="200" w:before="0" w:line="300" w:lineRule="auto"/>
        <w:jc w:val="both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Cada factor se calificó con la tabla del método según lo observado en la inspección. Los factores con coeficiente 0 son los que más aumentan el riesgo.</w:t>
      </w:r>
    </w:p>
    <w:p>
      <w:pPr>
        <w:keepNext/>
        <w:spacing w:after="20" w:before="320"/>
      </w:pPr>
      <w:r>
        <w:rPr>
          <w:rFonts w:ascii="Arial" w:cs="Arial" w:eastAsia="Arial" w:hAnsi="Arial"/>
          <w:b/>
          <w:bCs/>
          <w:color w:val="3B3B3B"/>
          <w:sz w:val="20"/>
          <w:szCs w:val="20"/>
        </w:rPr>
        <w:t xml:space="preserve">Tabla 3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3B3B3B"/>
          <w:sz w:val="20"/>
          <w:szCs w:val="20"/>
        </w:rPr>
        <w:t xml:space="preserve">Factores propios de las instalaciones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000"/>
        <w:gridCol w:w="1050"/>
        <w:gridCol w:w="3610"/>
        <w:gridCol w:w="2700"/>
      </w:tblGrid>
      <w:tr>
        <w:trPr>
          <w:tblHeader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FACTOR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COEF.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JUSTIFICACIÓN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CAD22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7"/>
                <w:szCs w:val="17"/>
              </w:rPr>
              <w:t xml:space="preserve">1.1  CONSTRUCCIÓN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1.1.1 Altura del edificio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1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Altura libre interior de 18 m (21 m por fuera). Rango de 15 a 30 m.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1.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Fachada principal.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1.1.2 Mayor sector de incendio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0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Superficie medida en Google Maps: 17.432 m², sin muros cortafuego. Supera los 4.500 m².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2.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Medición en Google Maps.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1.1.3 Resistencia al fuego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5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Cerchas y cubierta metálicas sobre columnas de concreto: estructura no combustible.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3.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Columnas y cubierta.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1.1.4 Falsos techos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5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La bodega no tiene cielo raso. Solo las oficinas y el comedor del mezanine lo tienen, una parte pequeña del edificio. Se toma sin falsos techos.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810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7810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4.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Bodega: cubierta a la vista.</w:t>
            </w:r>
          </w:p>
          <w:p>
            <w:pPr>
              <w:spacing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5.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Comedor: cielo raso.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CAD22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7"/>
                <w:szCs w:val="17"/>
              </w:rPr>
              <w:t xml:space="preserve">1.2  FACTORES DE SITUACIÓN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1.2.1 Distancia de los bomberos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10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Ruta en Google Maps desde la Estación de Bomberos de Lebrija: 3,4 km y 5 min. Menos de 5 km.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0200" cy="819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819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6.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Ruta desde la estación de bomberos.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1.2.2 Accesibilidad del edificio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5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Acceso pavimentado de más de 4 m, apto para tractomulas, y vía perimetral alrededor de la nave. Accesibilidad buena.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7.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Portería de ingreso.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CAD22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7"/>
                <w:szCs w:val="17"/>
              </w:rPr>
              <w:t xml:space="preserve">1.3  PROCESOS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1.3.1 Peligro de activación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5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Sin llama abierta. Fuentes de ignición: carga de baterías de montacargas en la bodega y equipos eléctricos de la cocina del comedor, con cableado expuesto. Peligro medio.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810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7810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8.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Carga de montacargas.</w:t>
            </w:r>
          </w:p>
          <w:p>
            <w:pPr>
              <w:spacing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9.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Cocina: cableado expuesto.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1.3.2 Carga térmica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2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Gran volumen de alimentos y bebidas empacados en cartón y plástico: carga alta (2.000 a 5.000 MJ/m²).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10.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Mercancía almacenada.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1.3.3 Inflamabilidad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3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Predominan sólidos combustibles (cartón, plástico, madera). Inflamabilidad media.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11.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Estibas y embalajes.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1.3.4 Orden y limpieza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5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Pasillos de bodega y corredores de oficinas despejados y señalizados; acumulación de estibas en zonas de servicio. Nivel medio.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60"/>
              <w:bottom w:type="dxa" w:w="60"/>
              <w:right w:type="dxa" w:w="6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7810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  <w:r>
              <w:t xml:space="preserve"> </w:t>
            </w:r>
            <w:r>
              <w:drawing>
                <wp:inline distT="0" distB="0" distL="0" distR="0">
                  <wp:extent cx="781050" cy="5905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781050" cy="5905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12.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Pasillo de la bodega.</w:t>
            </w:r>
          </w:p>
          <w:p>
            <w:pPr>
              <w:spacing w:before="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13.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Corredor de oficinas.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1.3.5 Almacenamiento en altura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0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Estanterías de unos 10 m de alto (dato del personal), por encima del límite de 6 m.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14.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Estanterías de almacenamiento.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CAD22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7"/>
                <w:szCs w:val="17"/>
              </w:rPr>
              <w:t xml:space="preserve">1.4  CONCENTRACIÓN DE VALORES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1.4.1 Concentración de valores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3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Mercancía de consumo masivo y bajo valor: menos de 600 €/m².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15.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Almacén visto desde el mezanine.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CAD22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7"/>
                <w:szCs w:val="17"/>
              </w:rPr>
              <w:t xml:space="preserve">1.5  PROPAGABILIDAD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1.5.1 Horizontal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3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Bloques de almacenamiento separados por pasillos, sin muros cortafuego. Media.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16.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Pasillos entre bloques.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1.5.2 Vertical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0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Cajas de cartón y plástico apiladas nivel sobre nivel hasta cerca del techo; el fuego puede subir de un nivel a otro. Alta.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17.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Mercancía apilada en altura.</w:t>
            </w:r>
          </w:p>
        </w:tc>
      </w:tr>
      <w:tr>
        <w:trPr>
          <w:cantSplit/>
        </w:trPr>
        <w:tc>
          <w:tcPr>
            <w:tcW w:type="dxa" w:w="9360"/>
            <w:gridSpan w:val="4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CAD22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7"/>
                <w:szCs w:val="17"/>
              </w:rPr>
              <w:t xml:space="preserve">1.6  DESTRUCTIBILIDAD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1.6.1 Calor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0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Cava de frío y alimentos muy sensibles al calor. Alta.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18.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Zona de cava (frío).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1.6.2 Humo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0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Alimentos empacados en cajas y bebidas: el humo y el hollín contaminan empaques y producto, que ya no puede venderse. Alta.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19.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Cajas de alimentos almacenadas.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1.6.3 Corrosión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5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Productos de aseo, conservas y enlatados en parte del inventario. Media.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20.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Productos envasados.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1.6.4 Agua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5</w:t>
            </w:r>
          </w:p>
        </w:tc>
        <w:tc>
          <w:tcPr>
            <w:tcW w:type="dxa" w:w="361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El cartón se daña con el agua; bebidas y enlatados la resisten. Media.</w:t>
            </w:r>
          </w:p>
        </w:tc>
        <w:tc>
          <w:tcPr>
            <w:tcW w:type="dxa" w:w="27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600200" cy="120015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2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20015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21.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Cajas sobre estibas.</w:t>
            </w:r>
          </w:p>
        </w:tc>
      </w:tr>
      <w:tr>
        <w:trPr>
          <w:cantSplit/>
        </w:trPr>
        <w:tc>
          <w:tcPr>
            <w:tcW w:type="dxa" w:w="20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X</w:t>
            </w:r>
          </w:p>
        </w:tc>
        <w:tc>
          <w:tcPr>
            <w:tcW w:type="dxa" w:w="105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CAD22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57</w:t>
            </w:r>
          </w:p>
        </w:tc>
        <w:tc>
          <w:tcPr>
            <w:tcW w:type="dxa" w:w="6310"/>
            <w:gridSpan w:val="2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 129 puntos posibles (44 %)</w:t>
            </w:r>
          </w:p>
        </w:tc>
      </w:tr>
    </w:tbl>
    <w:p>
      <w:pPr>
        <w:spacing w:after="280" w:before="10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Nota.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Coeficientes asignados según la tabla del Método MESERI (Fundación MAPFRE).</w:t>
      </w:r>
    </w:p>
    <w:p>
      <w:pPr>
        <w:pStyle w:val="Heading1"/>
        <w:keepNext/>
      </w:pPr>
      <w:r>
        <w:t xml:space="preserve">4. Factores de protección (Y)</w:t>
      </w:r>
    </w:p>
    <w:p>
      <w:pPr>
        <w:spacing w:after="200" w:before="0" w:line="300" w:lineRule="auto"/>
        <w:jc w:val="both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Cada medio de protección se califica según exista con vigilancia (CV) o sin ella (SV).</w:t>
      </w:r>
    </w:p>
    <w:p>
      <w:pPr>
        <w:keepNext/>
        <w:spacing w:after="20" w:before="320"/>
      </w:pPr>
      <w:r>
        <w:rPr>
          <w:rFonts w:ascii="Arial" w:cs="Arial" w:eastAsia="Arial" w:hAnsi="Arial"/>
          <w:b/>
          <w:bCs/>
          <w:color w:val="3B3B3B"/>
          <w:sz w:val="20"/>
          <w:szCs w:val="20"/>
        </w:rPr>
        <w:t xml:space="preserve">Tabla 4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3B3B3B"/>
          <w:sz w:val="20"/>
          <w:szCs w:val="20"/>
        </w:rPr>
        <w:t xml:space="preserve">Factores de protección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1900"/>
        <w:gridCol w:w="1100"/>
        <w:gridCol w:w="3460"/>
        <w:gridCol w:w="2900"/>
      </w:tblGrid>
      <w:tr>
        <w:trPr>
          <w:tblHeader/>
        </w:trPr>
        <w:tc>
          <w:tcPr>
            <w:tcW w:type="dxa" w:w="19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FACTOR</w:t>
            </w:r>
          </w:p>
        </w:tc>
        <w:tc>
          <w:tcPr>
            <w:tcW w:type="dxa" w:w="11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COEF.</w:t>
            </w:r>
          </w:p>
        </w:tc>
        <w:tc>
          <w:tcPr>
            <w:tcW w:type="dxa" w:w="34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JUSTIFICACIÓN</w:t>
            </w:r>
          </w:p>
        </w:tc>
        <w:tc>
          <w:tcPr>
            <w:tcW w:type="dxa" w:w="29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EVIDENCIA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Extintores portátiles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E8410"/>
                <w:sz w:val="16"/>
                <w:szCs w:val="16"/>
              </w:rPr>
              <w:t xml:space="preserve">EXT</w:t>
            </w:r>
          </w:p>
        </w:tc>
        <w:tc>
          <w:tcPr>
            <w:tcW w:type="dxa" w:w="11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CV</w:t>
            </w:r>
          </w:p>
        </w:tc>
        <w:tc>
          <w:tcPr>
            <w:tcW w:type="dxa" w:w="34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Extintores en bodega, muelles, corredores y comedor, señalizados, demarcados y con mantenimiento.</w:t>
            </w:r>
          </w:p>
        </w:tc>
        <w:tc>
          <w:tcPr>
            <w:tcW w:type="dxa" w:w="29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22.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Extintor de CO₂ demarcado.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Bocas de incendio equipadas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E8410"/>
                <w:sz w:val="16"/>
                <w:szCs w:val="16"/>
              </w:rPr>
              <w:t xml:space="preserve">BIE</w:t>
            </w:r>
          </w:p>
        </w:tc>
        <w:tc>
          <w:tcPr>
            <w:tcW w:type="dxa" w:w="11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CV</w:t>
            </w:r>
          </w:p>
        </w:tc>
        <w:tc>
          <w:tcPr>
            <w:tcW w:type="dxa" w:w="34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Gabinetes con manguera, válvula y extintor, señalizados y conectados a la red del cuarto de bombas.</w:t>
            </w:r>
          </w:p>
        </w:tc>
        <w:tc>
          <w:tcPr>
            <w:tcW w:type="dxa" w:w="29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23.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Gabinete contra incendio.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Columnas hidrantes exteriores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E8410"/>
                <w:sz w:val="16"/>
                <w:szCs w:val="16"/>
              </w:rPr>
              <w:t xml:space="preserve">CHE</w:t>
            </w:r>
          </w:p>
        </w:tc>
        <w:tc>
          <w:tcPr>
            <w:tcW w:type="dxa" w:w="11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CV</w:t>
            </w:r>
          </w:p>
        </w:tc>
        <w:tc>
          <w:tcPr>
            <w:tcW w:type="dxa" w:w="34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Hidrante junto al muro exterior, conectado a la red, con válvulas y salidas para manguera de bomberos.</w:t>
            </w:r>
          </w:p>
        </w:tc>
        <w:tc>
          <w:tcPr>
            <w:tcW w:type="dxa" w:w="29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24.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Hidrante exterior.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Detección automática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E8410"/>
                <w:sz w:val="16"/>
                <w:szCs w:val="16"/>
              </w:rPr>
              <w:t xml:space="preserve">DET</w:t>
            </w:r>
          </w:p>
        </w:tc>
        <w:tc>
          <w:tcPr>
            <w:tcW w:type="dxa" w:w="11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CV</w:t>
            </w:r>
          </w:p>
        </w:tc>
        <w:tc>
          <w:tcPr>
            <w:tcW w:type="dxa" w:w="34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Detectores de humo y alarmas bajo la cubierta y en áreas operativas.</w:t>
            </w:r>
          </w:p>
        </w:tc>
        <w:tc>
          <w:tcPr>
            <w:tcW w:type="dxa" w:w="29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25.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Detección y alarma.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Rociadores automáticos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E8410"/>
                <w:sz w:val="16"/>
                <w:szCs w:val="16"/>
              </w:rPr>
              <w:t xml:space="preserve">ROC</w:t>
            </w:r>
          </w:p>
        </w:tc>
        <w:tc>
          <w:tcPr>
            <w:tcW w:type="dxa" w:w="11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8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CV</w:t>
            </w:r>
          </w:p>
        </w:tc>
        <w:tc>
          <w:tcPr>
            <w:tcW w:type="dxa" w:w="34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Rociadores bajo toda la cubierta, con válvulas de control y cuarto de bombas.</w:t>
            </w:r>
          </w:p>
        </w:tc>
        <w:tc>
          <w:tcPr>
            <w:tcW w:type="dxa" w:w="29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066800" cy="8001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066800" cy="8001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26.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Red de rociadores.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Extinción por agentes gaseosos</w:t>
            </w:r>
          </w:p>
          <w:p>
            <w:pPr>
              <w:spacing w:before="40"/>
            </w:pPr>
            <w:r>
              <w:rPr>
                <w:rFonts w:ascii="Arial" w:cs="Arial" w:eastAsia="Arial" w:hAnsi="Arial"/>
                <w:b/>
                <w:bCs/>
                <w:color w:val="7E8410"/>
                <w:sz w:val="16"/>
                <w:szCs w:val="16"/>
              </w:rPr>
              <w:t xml:space="preserve">IFE</w:t>
            </w:r>
          </w:p>
        </w:tc>
        <w:tc>
          <w:tcPr>
            <w:tcW w:type="dxa" w:w="11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SV</w:t>
            </w:r>
          </w:p>
        </w:tc>
        <w:tc>
          <w:tcPr>
            <w:tcW w:type="dxa" w:w="34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No hay sistemas de agentes gaseosos; no aplican en la bodega.</w:t>
            </w:r>
          </w:p>
        </w:tc>
        <w:tc>
          <w:tcPr>
            <w:tcW w:type="dxa" w:w="29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i/>
                <w:iCs/>
                <w:color w:val="6B6B6B"/>
                <w:sz w:val="18"/>
                <w:szCs w:val="18"/>
              </w:rPr>
              <w:t xml:space="preserve">No aplica</w:t>
            </w:r>
          </w:p>
        </w:tc>
      </w:tr>
      <w:tr>
        <w:trPr>
          <w:cantSplit/>
        </w:trPr>
        <w:tc>
          <w:tcPr>
            <w:tcW w:type="dxa" w:w="19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TOTAL Y</w:t>
            </w:r>
          </w:p>
        </w:tc>
        <w:tc>
          <w:tcPr>
            <w:tcW w:type="dxa" w:w="11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CAD225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32"/>
                <w:szCs w:val="32"/>
              </w:rPr>
              <w:t xml:space="preserve">22</w:t>
            </w:r>
          </w:p>
        </w:tc>
        <w:tc>
          <w:tcPr>
            <w:tcW w:type="dxa" w:w="6360"/>
            <w:gridSpan w:val="2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color w:val="FFFFFF"/>
                <w:sz w:val="18"/>
                <w:szCs w:val="18"/>
              </w:rPr>
              <w:t xml:space="preserve">de 26 puntos posibles (85 %)</w:t>
            </w:r>
          </w:p>
        </w:tc>
      </w:tr>
    </w:tbl>
    <w:p>
      <w:pPr>
        <w:spacing w:after="280" w:before="10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Nota.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CV = con vigilancia; SV = sin vigilancia.</w:t>
      </w:r>
    </w:p>
    <w:p>
      <w:pPr>
        <w:pStyle w:val="Heading1"/>
        <w:keepNext/>
      </w:pPr>
      <w:r>
        <w:t xml:space="preserve">5. Resultados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2F2F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0"/>
                <w:sz w:val="16"/>
                <w:szCs w:val="16"/>
              </w:rPr>
              <w:t xml:space="preserve">FACTORES X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48"/>
                <w:szCs w:val="48"/>
              </w:rPr>
              <w:t xml:space="preserve">57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3B3B"/>
                <w:sz w:val="16"/>
                <w:szCs w:val="16"/>
              </w:rPr>
              <w:t xml:space="preserve">de 129 puntos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2F2F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0"/>
                <w:sz w:val="16"/>
                <w:szCs w:val="16"/>
              </w:rPr>
              <w:t xml:space="preserve">FACTORES Y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48"/>
                <w:szCs w:val="48"/>
              </w:rPr>
              <w:t xml:space="preserve">22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3B3B"/>
                <w:sz w:val="16"/>
                <w:szCs w:val="16"/>
              </w:rPr>
              <w:t xml:space="preserve">de 26 puntos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F2F2F2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0"/>
                <w:sz w:val="16"/>
                <w:szCs w:val="16"/>
              </w:rPr>
              <w:t xml:space="preserve">BRIGADA (BCI)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48"/>
                <w:szCs w:val="48"/>
              </w:rPr>
              <w:t xml:space="preserve">0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3B3B"/>
                <w:sz w:val="16"/>
                <w:szCs w:val="16"/>
              </w:rPr>
              <w:t xml:space="preserve">por confirmar</w:t>
            </w:r>
          </w:p>
        </w:tc>
        <w:tc>
          <w:tcPr>
            <w:tcW w:type="dxa" w:w="2340"/>
            <w:tcBorders>
              <w:top w:val="single" w:color="FFFFFF" w:sz="12"/>
              <w:left w:val="single" w:color="FFFFFF" w:sz="12"/>
              <w:bottom w:val="single" w:color="FFFFFF" w:sz="12"/>
              <w:right w:val="single" w:color="FFFFFF" w:sz="12"/>
            </w:tcBorders>
            <w:shd w:fill="CAD225" w:color="auto" w:val="clear"/>
            <w:tcMar>
              <w:top w:type="dxa" w:w="140"/>
              <w:left w:type="dxa" w:w="80"/>
              <w:bottom w:type="dxa" w:w="140"/>
              <w:right w:type="dxa" w:w="8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6B6B6B"/>
                <w:spacing w:val="20"/>
                <w:sz w:val="16"/>
                <w:szCs w:val="16"/>
              </w:rPr>
              <w:t xml:space="preserve">RESULTADO P</w:t>
            </w:r>
          </w:p>
          <w:p>
            <w:pPr>
              <w:spacing w:after="20"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48"/>
                <w:szCs w:val="48"/>
              </w:rPr>
              <w:t xml:space="preserve">6,44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3B3B3B"/>
                <w:sz w:val="16"/>
                <w:szCs w:val="16"/>
              </w:rPr>
              <w:t xml:space="preserve">Riesgo bueno</w:t>
            </w:r>
          </w:p>
        </w:tc>
      </w:tr>
    </w:tbl>
    <w:p>
      <w:pPr>
        <w:spacing w:after="280"/>
      </w:pP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9360"/>
      </w:tblGrid>
      <w:tr>
        <w:tc>
          <w:tcPr>
            <w:tcW w:type="dxa" w:w="9360"/>
            <w:tcBorders>
              <w:top w:val="single" w:color="CAD225" w:sz="12"/>
              <w:left w:val="single" w:color="CAD225" w:sz="12"/>
              <w:bottom w:val="single" w:color="CAD225" w:sz="12"/>
              <w:right w:val="single" w:color="CAD225" w:sz="12"/>
            </w:tcBorders>
            <w:shd w:fill="F4F7D3" w:color="auto" w:val="clear"/>
            <w:tcMar>
              <w:top w:type="dxa" w:w="160"/>
              <w:left w:type="dxa" w:w="200"/>
              <w:bottom w:type="dxa" w:w="160"/>
              <w:right w:type="dxa" w:w="20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28"/>
                <w:szCs w:val="28"/>
              </w:rPr>
              <w:t xml:space="preserve">P = 5(57) / 129  +  5(22) / 26  +  0  =  2,209 + 4,231 + 0  =  6,44</w:t>
            </w:r>
          </w:p>
        </w:tc>
      </w:tr>
    </w:tbl>
    <w:p>
      <w:pPr>
        <w:spacing w:after="280"/>
      </w:pPr>
    </w:p>
    <w:p>
      <w:pPr>
        <w:spacing w:after="200" w:before="0" w:line="300" w:lineRule="auto"/>
        <w:jc w:val="both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El CEDI obtiene </w:t>
      </w:r>
      <w:r>
        <w:rPr>
          <w:rFonts w:ascii="Arial" w:cs="Arial" w:eastAsia="Arial" w:hAnsi="Arial"/>
          <w:b/>
          <w:bCs/>
          <w:color w:val="3B3B3B"/>
          <w:sz w:val="22"/>
          <w:szCs w:val="22"/>
        </w:rPr>
        <w:t xml:space="preserve">P = 6,44</w:t>
      </w:r>
      <w:r>
        <w:rPr>
          <w:rFonts w:ascii="Arial" w:cs="Arial" w:eastAsia="Arial" w:hAnsi="Arial"/>
          <w:color w:val="3B3B3B"/>
          <w:sz w:val="22"/>
          <w:szCs w:val="22"/>
        </w:rPr>
        <w:t xml:space="preserve">, por encima del mínimo aceptable de 5, lo que lo ubica en la categoría </w:t>
      </w:r>
      <w:r>
        <w:rPr>
          <w:rFonts w:ascii="Arial" w:cs="Arial" w:eastAsia="Arial" w:hAnsi="Arial"/>
          <w:b/>
          <w:bCs/>
          <w:color w:val="3B3B3B"/>
          <w:sz w:val="22"/>
          <w:szCs w:val="22"/>
        </w:rPr>
        <w:t xml:space="preserve">bueno</w:t>
      </w:r>
      <w:r>
        <w:rPr>
          <w:rFonts w:ascii="Arial" w:cs="Arial" w:eastAsia="Arial" w:hAnsi="Arial"/>
          <w:color w:val="3B3B3B"/>
          <w:sz w:val="22"/>
          <w:szCs w:val="22"/>
        </w:rPr>
        <w:t xml:space="preserve">. La Tabla 5 muestra cómo mejoraría el resultado si se certifica la brigada contra incendios.</w:t>
      </w:r>
    </w:p>
    <w:p>
      <w:pPr>
        <w:keepNext/>
        <w:spacing w:after="20" w:before="320"/>
      </w:pPr>
      <w:r>
        <w:rPr>
          <w:rFonts w:ascii="Arial" w:cs="Arial" w:eastAsia="Arial" w:hAnsi="Arial"/>
          <w:b/>
          <w:bCs/>
          <w:color w:val="3B3B3B"/>
          <w:sz w:val="20"/>
          <w:szCs w:val="20"/>
        </w:rPr>
        <w:t xml:space="preserve">Tabla 5</w:t>
      </w:r>
    </w:p>
    <w:p>
      <w:pPr>
        <w:keepNext/>
        <w:spacing w:after="140"/>
      </w:pPr>
      <w:r>
        <w:rPr>
          <w:rFonts w:ascii="Arial" w:cs="Arial" w:eastAsia="Arial" w:hAnsi="Arial"/>
          <w:i/>
          <w:iCs/>
          <w:color w:val="3B3B3B"/>
          <w:sz w:val="20"/>
          <w:szCs w:val="20"/>
        </w:rPr>
        <w:t xml:space="preserve">Escenarios del coeficiente de protección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3260"/>
        <w:gridCol w:w="800"/>
        <w:gridCol w:w="800"/>
        <w:gridCol w:w="800"/>
        <w:gridCol w:w="2200"/>
        <w:gridCol w:w="1500"/>
      </w:tblGrid>
      <w:tr>
        <w:trPr>
          <w:tblHeader/>
        </w:trPr>
        <w:tc>
          <w:tcPr>
            <w:tcW w:type="dxa" w:w="32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ESCENARIO</w:t>
            </w:r>
          </w:p>
        </w:tc>
        <w:tc>
          <w:tcPr>
            <w:tcW w:type="dxa" w:w="8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X</w:t>
            </w:r>
          </w:p>
        </w:tc>
        <w:tc>
          <w:tcPr>
            <w:tcW w:type="dxa" w:w="8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Y</w:t>
            </w:r>
          </w:p>
        </w:tc>
        <w:tc>
          <w:tcPr>
            <w:tcW w:type="dxa" w:w="8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BCI</w:t>
            </w:r>
          </w:p>
        </w:tc>
        <w:tc>
          <w:tcPr>
            <w:tcW w:type="dxa" w:w="22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CÁLCULO</w:t>
            </w:r>
          </w:p>
        </w:tc>
        <w:tc>
          <w:tcPr>
            <w:tcW w:type="dxa" w:w="15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3B3B3B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6"/>
                <w:szCs w:val="16"/>
              </w:rPr>
              <w:t xml:space="preserve">P</w:t>
            </w:r>
          </w:p>
        </w:tc>
      </w:tr>
      <w:tr>
        <w:tc>
          <w:tcPr>
            <w:tcW w:type="dxa" w:w="32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/>
                <w:bCs/>
                <w:color w:val="3B3B3B"/>
                <w:sz w:val="18"/>
                <w:szCs w:val="18"/>
              </w:rPr>
              <w:t xml:space="preserve">Actual (EXT, BIE, CHE, DET, ROC)</w:t>
            </w:r>
          </w:p>
        </w:tc>
        <w:tc>
          <w:tcPr>
            <w:tcW w:type="dxa" w:w="8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57</w:t>
            </w:r>
          </w:p>
        </w:tc>
        <w:tc>
          <w:tcPr>
            <w:tcW w:type="dxa" w:w="8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0</w:t>
            </w:r>
          </w:p>
        </w:tc>
        <w:tc>
          <w:tcPr>
            <w:tcW w:type="dxa" w:w="22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color w:val="3B3B3B"/>
                <w:sz w:val="16"/>
                <w:szCs w:val="16"/>
              </w:rPr>
              <w:t xml:space="preserve">5(57)/129 + 5(22)/26 + 0</w:t>
            </w:r>
          </w:p>
        </w:tc>
        <w:tc>
          <w:tcPr>
            <w:tcW w:type="dxa" w:w="15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shd w:fill="F4F7D3" w:color="auto" w:val="clear"/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22"/>
                <w:szCs w:val="22"/>
              </w:rPr>
              <w:t xml:space="preserve">6,44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Bueno</w:t>
            </w:r>
          </w:p>
        </w:tc>
      </w:tr>
      <w:tr>
        <w:tc>
          <w:tcPr>
            <w:tcW w:type="dxa" w:w="326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color w:val="3B3B3B"/>
                <w:sz w:val="18"/>
                <w:szCs w:val="18"/>
              </w:rPr>
              <w:t xml:space="preserve">Con brigada certificada</w:t>
            </w:r>
          </w:p>
        </w:tc>
        <w:tc>
          <w:tcPr>
            <w:tcW w:type="dxa" w:w="8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57</w:t>
            </w:r>
          </w:p>
        </w:tc>
        <w:tc>
          <w:tcPr>
            <w:tcW w:type="dxa" w:w="8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22</w:t>
            </w:r>
          </w:p>
        </w:tc>
        <w:tc>
          <w:tcPr>
            <w:tcW w:type="dxa" w:w="8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color w:val="3B3B3B"/>
                <w:sz w:val="18"/>
                <w:szCs w:val="18"/>
              </w:rPr>
              <w:t xml:space="preserve">1</w:t>
            </w:r>
          </w:p>
        </w:tc>
        <w:tc>
          <w:tcPr>
            <w:tcW w:type="dxa" w:w="22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spacing w:line="264"/>
              <w:jc w:val="center"/>
            </w:pPr>
            <w:r>
              <w:rPr>
                <w:rFonts w:ascii="Arial" w:cs="Arial" w:eastAsia="Arial" w:hAnsi="Arial"/>
                <w:color w:val="3B3B3B"/>
                <w:sz w:val="16"/>
                <w:szCs w:val="16"/>
              </w:rPr>
              <w:t xml:space="preserve">5(57)/129 + 5(22)/26 + 1</w:t>
            </w:r>
          </w:p>
        </w:tc>
        <w:tc>
          <w:tcPr>
            <w:tcW w:type="dxa" w:w="150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100"/>
              <w:left w:type="dxa" w:w="120"/>
              <w:bottom w:type="dxa" w:w="10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22"/>
                <w:szCs w:val="22"/>
              </w:rPr>
              <w:t xml:space="preserve">7,44</w:t>
            </w:r>
          </w:p>
          <w:p>
            <w:pPr>
              <w:jc w:val="center"/>
            </w:pPr>
            <w:r>
              <w:rPr>
                <w:rFonts w:ascii="Arial" w:cs="Arial" w:eastAsia="Arial" w:hAnsi="Arial"/>
                <w:color w:val="6B6B6B"/>
                <w:sz w:val="14"/>
                <w:szCs w:val="14"/>
              </w:rPr>
              <w:t xml:space="preserve">Bueno</w:t>
            </w:r>
          </w:p>
        </w:tc>
      </w:tr>
    </w:tbl>
    <w:p>
      <w:pPr>
        <w:spacing w:after="280" w:before="100"/>
      </w:pPr>
      <w:r>
        <w:rPr>
          <w:rFonts w:ascii="Arial" w:cs="Arial" w:eastAsia="Arial" w:hAnsi="Arial"/>
          <w:i/>
          <w:iCs/>
          <w:color w:val="6B6B6B"/>
          <w:sz w:val="16"/>
          <w:szCs w:val="16"/>
        </w:rPr>
        <w:t xml:space="preserve">Nota. </w:t>
      </w:r>
      <w:r>
        <w:rPr>
          <w:rFonts w:ascii="Arial" w:cs="Arial" w:eastAsia="Arial" w:hAnsi="Arial"/>
          <w:color w:val="6B6B6B"/>
          <w:sz w:val="16"/>
          <w:szCs w:val="16"/>
        </w:rPr>
        <w:t xml:space="preserve">La brigada contra incendios (BCI) suma 1 punto directamente a P.</w:t>
      </w:r>
    </w:p>
    <w:p>
      <w:pPr>
        <w:pStyle w:val="Heading1"/>
        <w:keepNext/>
      </w:pPr>
      <w:r>
        <w:t xml:space="preserve">6. Conclusiones y recomendaciones</w:t>
      </w:r>
    </w:p>
    <w:p>
      <w:pPr>
        <w:spacing w:after="200" w:before="0" w:line="300" w:lineRule="auto"/>
        <w:jc w:val="both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El riesgo de incendio del CEDI D1 Lebrija es </w:t>
      </w:r>
      <w:r>
        <w:rPr>
          <w:rFonts w:ascii="Arial" w:cs="Arial" w:eastAsia="Arial" w:hAnsi="Arial"/>
          <w:b/>
          <w:bCs/>
          <w:color w:val="3B3B3B"/>
          <w:sz w:val="22"/>
          <w:szCs w:val="22"/>
        </w:rPr>
        <w:t xml:space="preserve">bueno (P = 6,44)</w:t>
      </w:r>
      <w:r>
        <w:rPr>
          <w:rFonts w:ascii="Arial" w:cs="Arial" w:eastAsia="Arial" w:hAnsi="Arial"/>
          <w:color w:val="3B3B3B"/>
          <w:sz w:val="22"/>
          <w:szCs w:val="22"/>
        </w:rPr>
        <w:t xml:space="preserve">. Las instalaciones por sí solas son desfavorables, pero los sistemas de protección compensan buena parte de esa vulnerabilidad.</w:t>
      </w:r>
    </w:p>
    <w:p>
      <w:pPr>
        <w:keepNext/>
        <w:spacing w:after="120" w:before="200"/>
      </w:pPr>
      <w:r>
        <w:rPr>
          <w:rFonts w:ascii="Arial" w:cs="Arial" w:eastAsia="Arial" w:hAnsi="Arial"/>
          <w:b/>
          <w:bCs/>
          <w:color w:val="7E8410"/>
          <w:sz w:val="22"/>
          <w:szCs w:val="22"/>
        </w:rPr>
        <w:t xml:space="preserve">Factores que aumentan el riesgo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Un solo sector de incendio de más de 4.500 m², sin muros cortafuego.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Almacenamiento de unos 10 m de alto, que favorece la propagación vertical.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Cocina del comedor con equipos eléctricos y cableado expuesto.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Carga térmica alta y mercancía muy sensible al calor y al humo.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7E8410"/>
          <w:sz w:val="22"/>
          <w:szCs w:val="22"/>
        </w:rPr>
        <w:t xml:space="preserve">Factores que lo reducen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Rociadores automáticos en toda la nave (8 puntos).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Detección automática, gabinetes BIE e hidrante exterior (4 puntos cada uno).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Extintores portátiles con mantenimiento y cuarto de bombas propio.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Extintores y rutas de evacuación señalizadas también en oficinas y comedor.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Estación de bomberos a solo 3,4 km (5 min) por carretera.</w:t>
      </w:r>
    </w:p>
    <w:p>
      <w:pPr>
        <w:keepNext/>
        <w:spacing w:after="120" w:before="280"/>
      </w:pPr>
      <w:r>
        <w:rPr>
          <w:rFonts w:ascii="Arial" w:cs="Arial" w:eastAsia="Arial" w:hAnsi="Arial"/>
          <w:b/>
          <w:bCs/>
          <w:color w:val="7E8410"/>
          <w:sz w:val="22"/>
          <w:szCs w:val="22"/>
        </w:rPr>
        <w:t xml:space="preserve">Recomendaciones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Mantener la inspección y prueba periódica de rociadores, bombas y válvulas.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Certificar la brigada contra incendios: P subiría a 7,44.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Mantener el hidrante exterior señalizado, despejado y con prueba periódica.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Controlar la acumulación de estibas y evaluar muros cortafuego en futuras ampliaciones.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Corregir el cableado expuesto en la cocina del comedor.</w:t>
      </w:r>
    </w:p>
    <w:p>
      <w:pPr>
        <w:pStyle w:val="ListParagraph"/>
        <w:numPr>
          <w:ilvl w:val="0"/>
          <w:numId w:val="2"/>
        </w:numPr>
        <w:spacing w:after="110" w:line="300" w:lineRule="auto"/>
      </w:pPr>
      <w:r>
        <w:rPr>
          <w:rFonts w:ascii="Arial" w:cs="Arial" w:eastAsia="Arial" w:hAnsi="Arial"/>
          <w:color w:val="3B3B3B"/>
          <w:sz w:val="22"/>
          <w:szCs w:val="22"/>
        </w:rPr>
        <w:t xml:space="preserve">Capacitar al personal en uso de extintores y evacuación.</w:t>
      </w:r>
    </w:p>
    <w:p>
      <w:pPr>
        <w:pStyle w:val="Heading1"/>
        <w:keepNext/>
      </w:pPr>
      <w:r>
        <w:t xml:space="preserve">Referencias</w:t>
      </w:r>
    </w:p>
    <w:p>
      <w:pPr>
        <w:spacing w:after="160" w:line="288"/>
        <w:ind w:left="720" w:hanging="720"/>
      </w:pPr>
      <w:r>
        <w:rPr>
          <w:rFonts w:ascii="Arial" w:cs="Arial" w:eastAsia="Arial" w:hAnsi="Arial"/>
          <w:color w:val="3B3B3B"/>
          <w:sz w:val="20"/>
          <w:szCs w:val="20"/>
        </w:rPr>
        <w:t xml:space="preserve">Fondo Inmobiliario Colombia. (s. f.). </w:t>
      </w:r>
      <w:r>
        <w:rPr>
          <w:rFonts w:ascii="Arial" w:cs="Arial" w:eastAsia="Arial" w:hAnsi="Arial"/>
          <w:i/>
          <w:iCs/>
          <w:color w:val="3B3B3B"/>
          <w:sz w:val="20"/>
          <w:szCs w:val="20"/>
        </w:rPr>
        <w:t xml:space="preserve">Ficha CEDI Bucaramanga / Lebrija</w:t>
      </w:r>
      <w:r>
        <w:rPr>
          <w:rFonts w:ascii="Arial" w:cs="Arial" w:eastAsia="Arial" w:hAnsi="Arial"/>
          <w:color w:val="3B3B3B"/>
          <w:sz w:val="20"/>
          <w:szCs w:val="20"/>
        </w:rPr>
        <w:t xml:space="preserve">.</w:t>
      </w:r>
    </w:p>
    <w:p>
      <w:pPr>
        <w:spacing w:after="160" w:line="288"/>
        <w:ind w:left="720" w:hanging="720"/>
      </w:pPr>
      <w:r>
        <w:rPr>
          <w:rFonts w:ascii="Arial" w:cs="Arial" w:eastAsia="Arial" w:hAnsi="Arial"/>
          <w:color w:val="3B3B3B"/>
          <w:sz w:val="20"/>
          <w:szCs w:val="20"/>
        </w:rPr>
        <w:t xml:space="preserve">Fundación MAPFRE. (s. f.). </w:t>
      </w:r>
      <w:r>
        <w:rPr>
          <w:rFonts w:ascii="Arial" w:cs="Arial" w:eastAsia="Arial" w:hAnsi="Arial"/>
          <w:i/>
          <w:iCs/>
          <w:color w:val="3B3B3B"/>
          <w:sz w:val="20"/>
          <w:szCs w:val="20"/>
        </w:rPr>
        <w:t xml:space="preserve">Método simplificado de evaluación del riesgo de incendio: MESERI</w:t>
      </w:r>
      <w:r>
        <w:rPr>
          <w:rFonts w:ascii="Arial" w:cs="Arial" w:eastAsia="Arial" w:hAnsi="Arial"/>
          <w:color w:val="3B3B3B"/>
          <w:sz w:val="20"/>
          <w:szCs w:val="20"/>
        </w:rPr>
        <w:t xml:space="preserve">.</w:t>
      </w:r>
    </w:p>
    <w:p>
      <w:pPr>
        <w:spacing w:after="160" w:line="288"/>
        <w:ind w:left="720" w:hanging="720"/>
      </w:pPr>
      <w:r>
        <w:rPr>
          <w:rFonts w:ascii="Arial" w:cs="Arial" w:eastAsia="Arial" w:hAnsi="Arial"/>
          <w:color w:val="3B3B3B"/>
          <w:sz w:val="20"/>
          <w:szCs w:val="20"/>
        </w:rPr>
        <w:t xml:space="preserve">Google. (2026). </w:t>
      </w:r>
      <w:r>
        <w:rPr>
          <w:rFonts w:ascii="Arial" w:cs="Arial" w:eastAsia="Arial" w:hAnsi="Arial"/>
          <w:i/>
          <w:iCs/>
          <w:color w:val="3B3B3B"/>
          <w:sz w:val="20"/>
          <w:szCs w:val="20"/>
        </w:rPr>
        <w:t xml:space="preserve">Google Maps: medición de la superficie del CEDI D1 Lebrija y ruta desde la Estación de Bomberos de Lebrija</w:t>
      </w:r>
      <w:r>
        <w:rPr>
          <w:rFonts w:ascii="Arial" w:cs="Arial" w:eastAsia="Arial" w:hAnsi="Arial"/>
          <w:color w:val="3B3B3B"/>
          <w:sz w:val="20"/>
          <w:szCs w:val="20"/>
        </w:rPr>
        <w:t xml:space="preserve">. https://maps.google.com</w:t>
      </w:r>
    </w:p>
    <w:p>
      <w:pPr>
        <w:pStyle w:val="Heading1"/>
        <w:keepNext/>
        <w:pageBreakBefore/>
      </w:pPr>
      <w:r>
        <w:t xml:space="preserve">Anexo. Registro fotográfico complementario</w:t>
      </w:r>
    </w:p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7E8410"/>
          <w:sz w:val="22"/>
          <w:szCs w:val="22"/>
        </w:rPr>
        <w:t xml:space="preserve">Sistema de bombeo contra incendio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27.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Bomba principal.</w:t>
            </w:r>
          </w:p>
        </w:tc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28.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Bomba jockey.</w:t>
            </w:r>
          </w:p>
        </w:tc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3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29.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Válvulas de la red.</w:t>
            </w:r>
          </w:p>
        </w:tc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30.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Tanque hidroneumático.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7E8410"/>
          <w:sz w:val="22"/>
          <w:szCs w:val="22"/>
        </w:rPr>
        <w:t xml:space="preserve">Equipos de protección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31.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Gabinete y salida de emergencia.</w:t>
            </w:r>
          </w:p>
        </w:tc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32.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Montantes y válvulas.</w:t>
            </w:r>
          </w:p>
        </w:tc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3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33.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Extintor en corredor.</w:t>
            </w:r>
          </w:p>
        </w:tc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4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34.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Extintor en el comedor.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7E8410"/>
          <w:sz w:val="22"/>
          <w:szCs w:val="22"/>
        </w:rPr>
        <w:t xml:space="preserve">Mezanine administrativo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5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35.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Acceso a oficinas.</w:t>
            </w:r>
          </w:p>
        </w:tc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6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36.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Corredor interno.</w:t>
            </w:r>
          </w:p>
        </w:tc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7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37.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Sala de capacitación.</w:t>
            </w:r>
          </w:p>
        </w:tc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38.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Señal de extintor.</w:t>
            </w:r>
          </w:p>
        </w:tc>
      </w:tr>
    </w:tbl>
    <w:p>
      <w:pPr>
        <w:keepNext/>
        <w:spacing w:after="100" w:before="240"/>
      </w:pPr>
      <w:r>
        <w:rPr>
          <w:rFonts w:ascii="Arial" w:cs="Arial" w:eastAsia="Arial" w:hAnsi="Arial"/>
          <w:b/>
          <w:bCs/>
          <w:color w:val="7E8410"/>
          <w:sz w:val="22"/>
          <w:szCs w:val="22"/>
        </w:rPr>
        <w:t xml:space="preserve">Bodega y muelles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Layout w:type="fixed"/>
      </w:tblPr>
      <w:tblGrid>
        <w:gridCol w:w="2340"/>
        <w:gridCol w:w="2340"/>
        <w:gridCol w:w="2340"/>
        <w:gridCol w:w="2340"/>
      </w:tblGrid>
      <w:tr>
        <w:trPr>
          <w:cantSplit/>
        </w:trPr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39.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Rociadores en el mezanine.</w:t>
            </w:r>
          </w:p>
        </w:tc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0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40.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Interior de la cava.</w:t>
            </w:r>
          </w:p>
        </w:tc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1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41.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Acumulación de estibas.</w:t>
            </w:r>
          </w:p>
        </w:tc>
        <w:tc>
          <w:tcPr>
            <w:tcW w:type="dxa" w:w="2340"/>
            <w:tcBorders>
              <w:top w:val="single" w:color="C9C9C9" w:sz="4"/>
              <w:left w:val="single" w:color="C9C9C9" w:sz="4"/>
              <w:bottom w:val="single" w:color="C9C9C9" w:sz="4"/>
              <w:right w:val="single" w:color="C9C9C9" w:sz="4"/>
            </w:tcBorders>
            <w:tcMar>
              <w:top w:type="dxa" w:w="70"/>
              <w:left w:type="dxa" w:w="70"/>
              <w:bottom w:type="dxa" w:w="60"/>
              <w:right w:type="dxa" w:w="70"/>
            </w:tcMar>
            <w:vAlign w:val="center"/>
          </w:tcPr>
          <w:p>
            <w:pPr>
              <w:jc w:val="center"/>
            </w:pPr>
            <w:r>
              <w:drawing>
                <wp:inline distT="0" distB="0" distL="0" distR="0">
                  <wp:extent cx="1371600" cy="1028700"/>
                  <wp:effectExtent t="0" r="0" b="0" l="0"/>
                  <wp:docPr id="1" name="" descr="" titl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2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371600" cy="10287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40"/>
              <w:jc w:val="center"/>
            </w:pPr>
            <w:r>
              <w:rPr>
                <w:rFonts w:ascii="Arial" w:cs="Arial" w:eastAsia="Arial" w:hAnsi="Arial"/>
                <w:b/>
                <w:bCs/>
                <w:color w:val="3B3B3B"/>
                <w:sz w:val="14"/>
                <w:szCs w:val="14"/>
              </w:rPr>
              <w:t xml:space="preserve">Imagen 42. </w:t>
            </w:r>
            <w:r>
              <w:rPr>
                <w:rFonts w:ascii="Arial" w:cs="Arial" w:eastAsia="Arial" w:hAnsi="Arial"/>
                <w:i/>
                <w:iCs/>
                <w:color w:val="6B6B6B"/>
                <w:sz w:val="14"/>
                <w:szCs w:val="14"/>
              </w:rPr>
              <w:t xml:space="preserve">Muelles de cargue.</w:t>
            </w:r>
          </w:p>
        </w:tc>
      </w:tr>
    </w:tbl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1300" w:right="1440" w:bottom="1200" w:left="1440" w:header="600" w:footer="56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9C9C9" w:sz="6" w:space="6"/>
      </w:pBdr>
      <w:tabs>
        <w:tab w:val="right" w:pos="9360"/>
      </w:tabs>
    </w:pPr>
    <w:r>
      <w:rPr>
        <w:rFonts w:ascii="Arial" w:cs="Arial" w:eastAsia="Arial" w:hAnsi="Arial"/>
        <w:color w:val="6B6B6B"/>
        <w:sz w:val="16"/>
        <w:szCs w:val="16"/>
      </w:rPr>
      <w:t xml:space="preserve">CEDI D1 Lebrija · Electiva Complementaria Salud Ocupacional</w:t>
    </w:r>
    <w:r>
      <w:t xml:space="preserve">	</w:t>
    </w:r>
    <w:r>
      <w:rPr>
        <w:rFonts w:ascii="Arial" w:cs="Arial" w:eastAsia="Arial" w:hAnsi="Arial"/>
        <w:b/>
        <w:bCs/>
        <w:color w:val="3B3B3B"/>
        <w:sz w:val="16"/>
        <w:szCs w:val="16"/>
      </w:rPr>
      <w:t xml:space="preserve">Página </w:t>
    </w:r>
    <w:r>
      <w:rPr>
        <w:rFonts w:ascii="Arial" w:cs="Arial" w:eastAsia="Arial" w:hAnsi="Arial"/>
        <w:b/>
        <w:bCs/>
        <w:color w:val="3B3B3B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Arial" w:cs="Arial" w:eastAsia="Arial" w:hAnsi="Arial"/>
        <w:b/>
        <w:bCs/>
        <w:color w:val="3B3B3B"/>
        <w:sz w:val="16"/>
        <w:szCs w:val="16"/>
      </w:rPr>
      <w:t xml:space="preserve"> de </w:t>
    </w:r>
    <w:r>
      <w:rPr>
        <w:rFonts w:ascii="Arial" w:cs="Arial" w:eastAsia="Arial" w:hAnsi="Arial"/>
        <w:b/>
        <w:bCs/>
        <w:color w:val="3B3B3B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CAD225" w:sz="12" w:space="6"/>
      </w:pBdr>
      <w:tabs>
        <w:tab w:val="right" w:pos="9360"/>
      </w:tabs>
    </w:pPr>
    <w:r>
      <w:drawing>
        <wp:inline distT="0" distB="0" distL="0" distR="0">
          <wp:extent cx="323850" cy="228600"/>
          <wp:effectExtent t="0" r="0" b="0" l="0"/>
          <wp:docPr id="1" name="" descr="" title="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" descr=""/>
                  <pic:cNvPicPr>
                    <a:picLocks noChangeAspect="1" noChangeArrowheads="1"/>
                  </pic:cNvPicPr>
                </pic:nvPicPr>
                <pic:blipFill>
                  <a:blip r:embed="rId0" cstate="none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323850" cy="22860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  <w:r>
      <w:rPr>
        <w:rFonts w:ascii="Arial" w:cs="Arial" w:eastAsia="Arial" w:hAnsi="Arial"/>
        <w:b/>
        <w:bCs/>
        <w:color w:val="3B3B3B"/>
        <w:sz w:val="16"/>
        <w:szCs w:val="16"/>
      </w:rPr>
      <w:t xml:space="preserve">   Unidades Tecnológicas de Santander</w:t>
    </w:r>
    <w:r>
      <w:t xml:space="preserve">	</w:t>
    </w:r>
    <w:r>
      <w:rPr>
        <w:rFonts w:ascii="Arial" w:cs="Arial" w:eastAsia="Arial" w:hAnsi="Arial"/>
        <w:color w:val="6B6B6B"/>
        <w:sz w:val="16"/>
        <w:szCs w:val="16"/>
      </w:rPr>
      <w:t xml:space="preserve">Evaluación de Riesgos de Incendio – Método MESERI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■"/>
      <w:lvlJc w:val="left"/>
      <w:pPr>
        <w:ind w:left="560" w:hanging="300"/>
      </w:pPr>
      <w:rPr>
        <w:color w:val="CAD225"/>
        <w:sz w:val="16"/>
        <w:szCs w:val="16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3B3B3B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keepNext/>
      <w:pBdr>
        <w:left w:val="single" w:color="CAD225" w:sz="36" w:space="10"/>
      </w:pBdr>
      <w:spacing w:after="220" w:before="600"/>
      <w:ind w:left="200"/>
      <w:outlineLvl w:val="0"/>
    </w:pPr>
    <w:rPr>
      <w:rFonts w:ascii="Arial" w:cs="Arial" w:eastAsia="Arial" w:hAnsi="Arial"/>
      <w:b/>
      <w:bCs/>
      <w:color w:val="3B3B3B"/>
      <w:sz w:val="30"/>
      <w:szCs w:val="3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cec7767423571e44399f80317da09f83bd960d12.png"/><Relationship Id="rId12" Type="http://schemas.openxmlformats.org/officeDocument/2006/relationships/image" Target="media/cb5ca1a99486506f6648eba90f7c4f4a6a315abb.jpg"/><Relationship Id="rId13" Type="http://schemas.openxmlformats.org/officeDocument/2006/relationships/image" Target="media/7de187e903c463034a070588c63180027b998f4a.jpg"/><Relationship Id="rId14" Type="http://schemas.openxmlformats.org/officeDocument/2006/relationships/image" Target="media/89bc142259407c5d56bb7a1abc103884b840c91b.jpg"/><Relationship Id="rId15" Type="http://schemas.openxmlformats.org/officeDocument/2006/relationships/image" Target="media/9a2152f264ff0b8d47426670e0325a8f16a81d57.jpg"/><Relationship Id="rId16" Type="http://schemas.openxmlformats.org/officeDocument/2006/relationships/image" Target="media/db27d87def3db46cd62879d3739518bc2920b65f.jpg"/><Relationship Id="rId17" Type="http://schemas.openxmlformats.org/officeDocument/2006/relationships/image" Target="media/421f5e514b8831187701a9ecf2b9240b1d8b5923.jpg"/><Relationship Id="rId18" Type="http://schemas.openxmlformats.org/officeDocument/2006/relationships/image" Target="media/5fa581d7bb723f1a63d63cea0f393f538761de0c.jpg"/><Relationship Id="rId19" Type="http://schemas.openxmlformats.org/officeDocument/2006/relationships/image" Target="media/cfb687fb5ed71ff778d0112e458230228f62dabc.jpg"/><Relationship Id="rId20" Type="http://schemas.openxmlformats.org/officeDocument/2006/relationships/image" Target="media/5a5a419eaca7fb6484dc7d0e6ea8b426d41f9057.jpg"/><Relationship Id="rId21" Type="http://schemas.openxmlformats.org/officeDocument/2006/relationships/image" Target="media/5e5500b961be8a3c2d41a8fc5dbdf285431d5ce4.jpg"/><Relationship Id="rId22" Type="http://schemas.openxmlformats.org/officeDocument/2006/relationships/image" Target="media/cf9d995420f237e5f467e32b92536250228cd216.jpg"/><Relationship Id="rId23" Type="http://schemas.openxmlformats.org/officeDocument/2006/relationships/image" Target="media/0f9be68fdb19beb564ec0b3af42998b7a2c7ccdd.jpg"/><Relationship Id="rId24" Type="http://schemas.openxmlformats.org/officeDocument/2006/relationships/image" Target="media/b03d6cadaf050bdacc990d15903ff23af349e0fa.jpg"/><Relationship Id="rId25" Type="http://schemas.openxmlformats.org/officeDocument/2006/relationships/image" Target="media/a1ad16adc5098955d99da07ffbbfee9dcd0c4642.jpg"/><Relationship Id="rId26" Type="http://schemas.openxmlformats.org/officeDocument/2006/relationships/image" Target="media/4432effcc5f6f44b9178831efdaf2338c658c36d.jpg"/><Relationship Id="rId27" Type="http://schemas.openxmlformats.org/officeDocument/2006/relationships/image" Target="media/243786a2a3f8f18fc6f75f1b05bb388cf3af794f.jpg"/><Relationship Id="rId28" Type="http://schemas.openxmlformats.org/officeDocument/2006/relationships/image" Target="media/76f8587993153e602b205aa5cc865ba93f33b81e.jpg"/><Relationship Id="rId29" Type="http://schemas.openxmlformats.org/officeDocument/2006/relationships/image" Target="media/50e8892188ab26e17d2505d4da272193ea7de849.jpg"/><Relationship Id="rId30" Type="http://schemas.openxmlformats.org/officeDocument/2006/relationships/image" Target="media/1c8b8ddcd71a93f158a982417d38c0a99a77b696.jpg"/><Relationship Id="rId31" Type="http://schemas.openxmlformats.org/officeDocument/2006/relationships/image" Target="media/2123fca6546a1776189094adebe92e282d15b090.jpg"/><Relationship Id="rId32" Type="http://schemas.openxmlformats.org/officeDocument/2006/relationships/image" Target="media/befc82a2b9de96697ebdf701f482262dd44f8378.jpg"/><Relationship Id="rId33" Type="http://schemas.openxmlformats.org/officeDocument/2006/relationships/image" Target="media/a1b5d34746f3686ac3a8e9a111e40288901d08af.jpg"/><Relationship Id="rId34" Type="http://schemas.openxmlformats.org/officeDocument/2006/relationships/image" Target="media/c8cca60513b0002deb672cee14e46bfcc35d2b37.jpg"/><Relationship Id="rId35" Type="http://schemas.openxmlformats.org/officeDocument/2006/relationships/image" Target="media/1d6619b9674b2919b64f6a187c1e743bb151c83b.jpg"/><Relationship Id="rId36" Type="http://schemas.openxmlformats.org/officeDocument/2006/relationships/image" Target="media/ec1f03383798701c9a5ed9754b996512c79eb037.jpg"/><Relationship Id="rId37" Type="http://schemas.openxmlformats.org/officeDocument/2006/relationships/image" Target="media/98944a46b070bad5773fbb0d72e7dd7d52c4e2a8.jpg"/><Relationship Id="rId38" Type="http://schemas.openxmlformats.org/officeDocument/2006/relationships/image" Target="media/275428c780a97e874d547e74178b053dcf0db269.jpg"/><Relationship Id="rId39" Type="http://schemas.openxmlformats.org/officeDocument/2006/relationships/image" Target="media/4fac5df6c9686d2d0b3fa093c5cf6aa1ea074e94.jpg"/><Relationship Id="rId40" Type="http://schemas.openxmlformats.org/officeDocument/2006/relationships/image" Target="media/946269947347a0943640007d8aea13d51398d542.jpg"/><Relationship Id="rId41" Type="http://schemas.openxmlformats.org/officeDocument/2006/relationships/image" Target="media/ed249e4e051821d61838c1729b4f7b430f370a24.jpg"/><Relationship Id="rId42" Type="http://schemas.openxmlformats.org/officeDocument/2006/relationships/image" Target="media/f0513aacbbecd59a42bf025f1857b6834a2ea207.jpg"/><Relationship Id="rId43" Type="http://schemas.openxmlformats.org/officeDocument/2006/relationships/image" Target="media/6b7110c80222de0817ccf621184546041a7264cf.jpg"/><Relationship Id="rId44" Type="http://schemas.openxmlformats.org/officeDocument/2006/relationships/image" Target="media/9a91da3da36eab67f490a95fda49e159d3e2fe4a.jpg"/><Relationship Id="rId45" Type="http://schemas.openxmlformats.org/officeDocument/2006/relationships/image" Target="media/c584303f0fdd04cf5355595cb89d78c10f830161.jpg"/><Relationship Id="rId46" Type="http://schemas.openxmlformats.org/officeDocument/2006/relationships/image" Target="media/357b00b66262ba7685acbda355fb8c006501ea4f.jpg"/><Relationship Id="rId47" Type="http://schemas.openxmlformats.org/officeDocument/2006/relationships/image" Target="media/e00865220f506dee2d9fe1e970d1f06c1907c6f0.jpg"/><Relationship Id="rId48" Type="http://schemas.openxmlformats.org/officeDocument/2006/relationships/image" Target="media/7f3dc5d50fcbb727dab8d4aaa693d622054b540b.jpg"/><Relationship Id="rId49" Type="http://schemas.openxmlformats.org/officeDocument/2006/relationships/image" Target="media/a47d3ecd60e7840161a954afc6c2650a4bb183ed.jpg"/><Relationship Id="rId50" Type="http://schemas.openxmlformats.org/officeDocument/2006/relationships/image" Target="media/c988c5b6dd0ff60bc665709bd79fef102e876b64.jpg"/><Relationship Id="rId51" Type="http://schemas.openxmlformats.org/officeDocument/2006/relationships/image" Target="media/667eb30d4702357feba5c50b68c89bb1941915d5.jpg"/><Relationship Id="rId52" Type="http://schemas.openxmlformats.org/officeDocument/2006/relationships/image" Target="media/e4b36bb6e9766dc60d914e198fe2648485a122fb.jpg"/><Relationship Id="rId5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><Relationship Id="rId0" Type="http://schemas.openxmlformats.org/officeDocument/2006/relationships/image" Target="media/cec7767423571e44399f80317da09f83bd960d12.png"/></Relationships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Evaluación de Riesgos de Incendio – Método MESERI – CEDI D1 Lebrija</dc:title>
  <dc:creator>Estudiante UTS</dc:creator>
  <cp:lastModifiedBy>Un-named</cp:lastModifiedBy>
  <cp:revision>1</cp:revision>
  <dcterms:created xsi:type="dcterms:W3CDTF">2026-10-23T17:51:27.659Z</dcterms:created>
  <dcterms:modified xsi:type="dcterms:W3CDTF">2026-10-23T17:51:27.659Z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