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"/>
        <w:gridCol w:w="520"/>
        <w:gridCol w:w="8420"/>
      </w:tblGrid>
      <w:tr>
        <w:trPr>
          <w:trHeight w:val="12900" w:hRule="exact"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AD225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/>
        </w:tc>
        <w:tc>
          <w:tcPr>
            <w:tcW w:type="dxa" w:w="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/>
        </w:tc>
        <w:tc>
          <w:tcPr>
            <w:tcW w:type="dxa" w:w="8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200"/>
            </w:pPr>
            <w:r>
              <w:drawing>
                <wp:inline distT="0" distB="0" distL="0" distR="0">
                  <wp:extent cx="1428750" cy="1000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20"/>
            </w:pPr>
            <w:r>
              <w:rPr>
                <w:rFonts w:ascii="Arial" w:cs="Arial" w:eastAsia="Arial" w:hAnsi="Arial"/>
                <w:b/>
                <w:bCs/>
                <w:color w:val="3B3B3B"/>
                <w:spacing w:val="20"/>
                <w:sz w:val="20"/>
                <w:szCs w:val="20"/>
              </w:rPr>
              <w:t xml:space="preserve">UNIDADES TECNOLÓGICAS DE SANTANDER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Bucaramanga, Santander</w:t>
            </w:r>
          </w:p>
          <w:p>
            <w:pPr>
              <w:spacing w:after="120" w:before="1500"/>
            </w:pPr>
            <w:r>
              <w:rPr>
                <w:rFonts w:ascii="Arial" w:cs="Arial" w:eastAsia="Arial" w:hAnsi="Arial"/>
                <w:b/>
                <w:bCs/>
                <w:color w:val="7E8410"/>
                <w:spacing w:val="30"/>
                <w:sz w:val="18"/>
                <w:szCs w:val="18"/>
              </w:rPr>
              <w:t xml:space="preserve">INFORME TÉCNICO · SALUD OCUPACIONAL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Evaluación de Riesgos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3B3B3B"/>
                <w:sz w:val="60"/>
                <w:szCs w:val="60"/>
              </w:rPr>
              <w:t xml:space="preserve">de Incendio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7E8410"/>
                <w:sz w:val="36"/>
                <w:szCs w:val="36"/>
              </w:rPr>
              <w:t xml:space="preserve">Método MESERI</w:t>
            </w:r>
          </w:p>
          <w:p>
            <w:pPr>
              <w:pBdr>
                <w:bottom w:val="single" w:color="CAD225" w:sz="24" w:space="12"/>
              </w:pBdr>
              <w:spacing w:after="0"/>
            </w:pPr>
            <w:r>
              <w:rPr>
                <w:rFonts w:ascii="Arial" w:cs="Arial" w:eastAsia="Arial" w:hAnsi="Arial"/>
                <w:color w:val="6B6B6B"/>
                <w:sz w:val="24"/>
                <w:szCs w:val="24"/>
              </w:rPr>
              <w:t xml:space="preserve">Centro de Distribución D1 · Bucaramanga / Lebrija</w:t>
            </w:r>
          </w:p>
          <w:p>
            <w:pPr>
              <w:spacing w:after="0" w:before="1400"/>
            </w:pPr>
          </w:p>
          <w:tbl>
            <w:tblPr>
              <w:tblW w:type="dxa" w:w="79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300"/>
              <w:gridCol w:w="5600"/>
            </w:tblGrid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Estudiante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estudiante]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Docente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i/>
                      <w:iCs/>
                      <w:color w:val="6B6B6B"/>
                      <w:sz w:val="20"/>
                      <w:szCs w:val="20"/>
                    </w:rPr>
                    <w:t xml:space="preserve">[Nombre del docente]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Asignatura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Electiva Complementaria Salud Ocupacional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Evaluación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Parcial</w:t>
                  </w:r>
                </w:p>
              </w:tc>
            </w:tr>
            <w:tr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0"/>
                    <w:bottom w:type="dxa" w:w="110"/>
                    <w:right w:type="dxa" w:w="8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3B3B3B"/>
                      <w:sz w:val="20"/>
                      <w:szCs w:val="20"/>
                    </w:rPr>
                    <w:t xml:space="preserve">Fecha</w:t>
                  </w:r>
                </w:p>
              </w:tc>
              <w:tc>
                <w:tcPr>
                  <w:tcW w:type="dxa" w:w="5600"/>
                  <w:tcBorders>
                    <w:top w:val="none" w:color="FFFFFF" w:sz="0"/>
                    <w:left w:val="none" w:color="FFFFFF" w:sz="0"/>
                    <w:bottom w:val="single" w:color="C9C9C9" w:sz="4"/>
                    <w:right w:val="none" w:color="FFFFFF" w:sz="0"/>
                  </w:tcBorders>
                  <w:tcMar>
                    <w:top w:type="dxa" w:w="110"/>
                    <w:left w:type="dxa" w:w="80"/>
                    <w:bottom w:type="dxa" w:w="110"/>
                    <w:right w:type="dxa" w:w="0"/>
                  </w:tcMar>
                  <w:vAlign w:val="center"/>
                </w:tcPr>
                <w:p>
                  <w:pPr>
                    <w:spacing w:line="264"/>
                    <w:jc w:val="left"/>
                  </w:pPr>
                  <w:r>
                    <w:rPr>
                      <w:rFonts w:ascii="Arial" w:cs="Arial" w:eastAsia="Arial" w:hAnsi="Arial"/>
                      <w:color w:val="3B3B3B"/>
                      <w:sz w:val="20"/>
                      <w:szCs w:val="20"/>
                    </w:rPr>
                    <w:t xml:space="preserve">Octubre de 2026</w:t>
                  </w:r>
                </w:p>
              </w:tc>
            </w:tr>
          </w:tbl>
          <w:p/>
        </w:tc>
      </w:tr>
    </w:tbl>
    <w:p>
      <w:pPr>
        <w:pageBreakBefore/>
        <w:spacing w:after="0"/>
      </w:pPr>
    </w:p>
    <w:p>
      <w:pPr>
        <w:pStyle w:val="Heading1"/>
        <w:keepNext/>
      </w:pPr>
      <w:r>
        <w:t xml:space="preserve">1. Introducción</w:t>
      </w:r>
    </w:p>
    <w:p>
      <w:pPr>
        <w:spacing w:after="14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Este informe evalúa el riesgo de incendio del Centro de Distribución (CEDI) de Tiendas D1 en Lebrija, Santander, mediante el Método MESERI. Los coeficientes se asignaron a partir de una inspección fotográfica de las instalaciones realizada entre marzo y octubre de 2026.</w:t>
      </w:r>
    </w:p>
    <w:p>
      <w:pPr>
        <w:keepNext/>
        <w:spacing w:after="0" w:before="20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1</w:t>
      </w:r>
    </w:p>
    <w:p>
      <w:pPr>
        <w:keepNext/>
        <w:spacing w:after="10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técnica del CEDI evaluado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7160"/>
      </w:tblGrid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Empresa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Tiendas D1 – Koba Colombia S.A.S.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Ubicación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Sector San Pablo, Lebrija (Santander), vía Bucaramanga–Barrancabermeja. A 15 min de Bucaramanga y 2,5 km del aeropuerto Palonegro.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Actividad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Recepción, almacenamiento y despacho de alimentos, bebidas y productos de aseo.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 cubierta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≈ 17.432 m² (Google Maps), sin sectorización comprobada.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Altura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 m libres en el interior; 21 m por el exterior.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Estructura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Columnas de concreto y acero, cerchas y cubierta metálicas, muros de bloque.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Áreas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Bodega con racks, cava (frío), muelles, zonas de servicio y mezanine con oficinas y cafetería.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71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automáticos, red BIE, detección, extintores y cuarto de bombas.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Información del Fondo Inmobiliario Colombia y de la inspección en sitio.</w:t>
      </w:r>
    </w:p>
    <w:p>
      <w:pPr>
        <w:pStyle w:val="Heading1"/>
        <w:keepNext/>
      </w:pPr>
      <w:r>
        <w:t xml:space="preserve">2. Metodología</w:t>
      </w:r>
    </w:p>
    <w:p>
      <w:pPr>
        <w:spacing w:after="14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Método MESERI (Fundación MAPFRE) califica por separado dos grupos de factores y los combina en un coeficiente de protección P, de 0 a 10:</w:t>
      </w:r>
    </w:p>
    <w:p>
      <w:pPr>
        <w:pStyle w:val="ListParagraph"/>
        <w:numPr>
          <w:ilvl w:val="0"/>
          <w:numId w:val="2"/>
        </w:numPr>
        <w:spacing w:after="80" w:line="288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X – Factores propios de las instalaciones: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construcción, situación, procesos, concentración, propagabilidad y destructibilidad (máximo 129 puntos).</w:t>
      </w:r>
    </w:p>
    <w:p>
      <w:pPr>
        <w:pStyle w:val="ListParagraph"/>
        <w:numPr>
          <w:ilvl w:val="0"/>
          <w:numId w:val="2"/>
        </w:numPr>
        <w:spacing w:after="80" w:line="288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Y – Factores de protección: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extintores, BIE, hidrantes, detección, rociadores e instalaciones especiales (máximo 26 puntos).</w:t>
      </w:r>
    </w:p>
    <w:p>
      <w:pPr>
        <w:pStyle w:val="ListParagraph"/>
        <w:numPr>
          <w:ilvl w:val="0"/>
          <w:numId w:val="2"/>
        </w:numPr>
        <w:spacing w:after="80" w:line="288" w:lineRule="auto"/>
      </w:pP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BCI – Brigada contra incendios: 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1 punto si existe, 0 si no.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5X / 129  +  5Y / 26  +  BCI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Un valor de P igual o superior a 5 se considera aceptable.</w:t>
            </w:r>
          </w:p>
        </w:tc>
      </w:tr>
    </w:tbl>
    <w:p>
      <w:pPr>
        <w:keepNext/>
        <w:spacing w:after="0" w:before="20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2</w:t>
      </w:r>
    </w:p>
    <w:p>
      <w:pPr>
        <w:keepNext/>
        <w:spacing w:after="10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Escala de calificación del riesgo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6D5D1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&lt; 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BE5C4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3 – 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Malo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5 –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Bueno</w:t>
            </w:r>
          </w:p>
        </w:tc>
        <w:tc>
          <w:tcPr>
            <w:tcW w:type="dxa" w:w="234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4"/>
                <w:szCs w:val="24"/>
              </w:rPr>
              <w:t xml:space="preserve">&gt; 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Muy bueno</w:t>
            </w:r>
          </w:p>
        </w:tc>
      </w:tr>
    </w:tbl>
    <w:p>
      <w:pPr>
        <w:spacing w:after="120"/>
      </w:pPr>
    </w:p>
    <w:p>
      <w:pPr>
        <w:pStyle w:val="Heading1"/>
        <w:keepNext/>
      </w:pPr>
      <w:r>
        <w:t xml:space="preserve">3. Factores propios de las instalaciones (X)</w:t>
      </w:r>
    </w:p>
    <w:p>
      <w:pPr>
        <w:spacing w:after="14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factor se calificó con la tabla del método según lo observado en la inspección. Los factores con coeficiente 0 son los que más aumentan el riesgo.</w:t>
      </w:r>
    </w:p>
    <w:p>
      <w:pPr>
        <w:keepNext/>
        <w:spacing w:after="0" w:before="20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3</w:t>
      </w:r>
    </w:p>
    <w:p>
      <w:pPr>
        <w:keepNext/>
        <w:spacing w:after="10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propios de las instalaciones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050"/>
        <w:gridCol w:w="3610"/>
        <w:gridCol w:w="2700"/>
      </w:tblGrid>
      <w:tr>
        <w:trPr>
          <w:tblHeader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1.1  CONSTRUCCIÓN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1.1.1 Altura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Altura libre interior de 18 m (21 m por fuera). Rango de 15 a 30 m.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Fachada principal.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1.1.2 Mayor sector de incendio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Cubierta de ≈ 17.432 m² (Google Maps) sin muros cortafuego. Supera los 4.500 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Cerramiento lateral.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1.1.3 Resistencia al fuego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Cerchas y cubierta metálicas sobre columnas de concreto: estructura no combustible.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Columnas y cubierta.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1.1.4 Falsos techos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Cubierta metálica a la vista, sin cielorraso.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Cubierta a la vista.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1.2  FACTORES DE SITUACIÓN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1.2.1 Distancia de los bomberos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Bomberos Voluntarios de Lebrija (24 h): 5 a 10 km y 5 a 10 min de respuesta.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Vía de acceso y patio.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1.2.2 Accesibilidad del edificio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Ingreso por la vía San Pablo con portería; terreno montañoso. Accesibilidad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Portería de ingreso.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1.3  PROCESOS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1.3.1 Peligro de activación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Sin llama abierta. Ignición posible en la carga de montacargas y tableros. Peligro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Carga de montacargas.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1.3.2 Carga térmica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Alimentos, cartón, plástico y estibas de madera: carga alta (2.000 a 5.000 MJ/m²).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Mercancía almacenada.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1.3.3 Inflamabilidad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Predominan sólidos combustibles (cartón, plástico, madera). Inflamabilidad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Estibas y embalajes.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1.3.4 Orden y limpieza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Pasillos despejados; acumulación de estibas en zonas de servicio. Nivel medio.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 entre racks.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1.3.5 Almacenamiento en altura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Racks de más de 6 m de altura.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Racks de almacenamiento.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1.4  CONCENTRACIÓN DE VALORES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1.4.1 Concentración de valores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Mercancía de consumo masivo y bajo valor: menos de 600 €/m².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Vista general del almacén.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1.5  PROPAGABILIDAD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1.5.1 Horizontal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3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Bloques de racks separados por pasillos, sin muros cortafuego.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Pasillos entre bloques.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1.5.2 Vertical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Racks multinivel con combustible continuo hasta la cubierta.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Niveles de los racks.</w:t>
            </w:r>
          </w:p>
        </w:tc>
      </w:tr>
      <w:tr>
        <w:trPr>
          <w:cantSplit/>
        </w:trPr>
        <w:tc>
          <w:tcPr>
            <w:tcW w:type="dxa" w:w="9360"/>
            <w:gridSpan w:val="4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7"/>
                <w:szCs w:val="17"/>
              </w:rPr>
              <w:t xml:space="preserve">1.6  DESTRUCTIBILIDAD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1.6.1 Calor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Cava de frío y alimentos muy sensibles al calor.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Zona de cava (frío).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1.6.2 Humo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Los alimentos expuestos al humo deben desecharse. Alta.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Alimentos secos.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1.6.3 Corrosión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Productos de aseo, conservas y enlatados en parte del inventario.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Productos envasados.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1.6.4 Agua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</w:t>
            </w:r>
          </w:p>
        </w:tc>
        <w:tc>
          <w:tcPr>
            <w:tcW w:type="dxa" w:w="3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El cartón se daña con el agua; bebidas y enlatados la resisten. Media.</w:t>
            </w:r>
          </w:p>
        </w:tc>
        <w:tc>
          <w:tcPr>
            <w:tcW w:type="dxa" w:w="27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600200" cy="1200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Cajas sobre estibas.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X</w:t>
            </w:r>
          </w:p>
        </w:tc>
        <w:tc>
          <w:tcPr>
            <w:tcW w:type="dxa" w:w="10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53</w:t>
            </w:r>
          </w:p>
        </w:tc>
        <w:tc>
          <w:tcPr>
            <w:tcW w:type="dxa" w:w="6310"/>
            <w:gridSpan w:val="2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129 puntos posibles (41 %)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Coeficientes asignados según la tabla del Método MESERI (Fundación MAPFRE).</w:t>
      </w:r>
    </w:p>
    <w:p>
      <w:pPr>
        <w:pStyle w:val="Heading1"/>
        <w:keepNext/>
        <w:pageBreakBefore/>
      </w:pPr>
      <w:r>
        <w:t xml:space="preserve">4. Factores de protección (Y)</w:t>
      </w:r>
    </w:p>
    <w:p>
      <w:pPr>
        <w:spacing w:after="14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Cada medio de protección se califica según exista con vigilancia (CV) o sin ella (SV).</w:t>
      </w:r>
    </w:p>
    <w:p>
      <w:pPr>
        <w:keepNext/>
        <w:spacing w:after="0" w:before="20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4</w:t>
      </w:r>
    </w:p>
    <w:p>
      <w:pPr>
        <w:keepNext/>
        <w:spacing w:after="10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Factores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950"/>
        <w:gridCol w:w="2610"/>
        <w:gridCol w:w="2100"/>
        <w:gridCol w:w="2100"/>
      </w:tblGrid>
      <w:tr>
        <w:trPr>
          <w:tblHeader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FACTOR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COEF.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IMAGEN REAL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Extintores portátiles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EXT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Extintores en muelles, bodega y áreas operativas, señalizados y con mantenimiento.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096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19.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ABC. Safety Work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096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Extintor en muelles.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Bocas de incendio equipadas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BIE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Red con montantes, válvulas y gabinetes BIE, alimentada por el cuarto de bombas.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096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Gabinete BIE. Presman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096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Montantes y válvulas.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Columnas hidrantes exteriores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CHE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Toma exterior junto al muro, sin confirmar como hidrante. Por verificar.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096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Hidrante. Ext. Carlisa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096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Toma exterior (por verificar).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Detección automática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DET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Detectores de humo y alarmas bajo la cubierta y en áreas operativas.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096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Detector de humo. Asepeyo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096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Detección y alarma.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Rociadores automáticos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ROC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CV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Rociadores bajo toda la cubierta, con válvulas de control y cuarto de bombas.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096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Rociador. Drexmin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096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Red de rociadores.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Extinción por agentes gaseosos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b/>
                <w:bCs/>
                <w:color w:val="7E8410"/>
                <w:sz w:val="16"/>
                <w:szCs w:val="16"/>
              </w:rPr>
              <w:t xml:space="preserve">IFE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SV</w:t>
            </w:r>
          </w:p>
        </w:tc>
        <w:tc>
          <w:tcPr>
            <w:tcW w:type="dxa" w:w="261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No hay sistemas de agentes gaseosos; no aplican en la bodega.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096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29.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Agente gaseoso. Ruva (s. f.).</w:t>
            </w:r>
          </w:p>
        </w:tc>
        <w:tc>
          <w:tcPr>
            <w:tcW w:type="dxa" w:w="21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i/>
                <w:iCs/>
                <w:color w:val="6B6B6B"/>
                <w:sz w:val="18"/>
                <w:szCs w:val="18"/>
              </w:rPr>
              <w:t xml:space="preserve">No aplica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TOTAL Y</w:t>
            </w:r>
          </w:p>
        </w:tc>
        <w:tc>
          <w:tcPr>
            <w:tcW w:type="dxa" w:w="95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CAD225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32"/>
                <w:szCs w:val="32"/>
              </w:rPr>
              <w:t xml:space="preserve">18</w:t>
            </w:r>
          </w:p>
        </w:tc>
        <w:tc>
          <w:tcPr>
            <w:tcW w:type="dxa" w:w="6810"/>
            <w:gridSpan w:val="3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 26 puntos posibles (69 %)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CV = con vigilancia; SV = sin vigilancia. Las fuentes de las imágenes de referencia están en la sección de referencias.</w:t>
      </w:r>
    </w:p>
    <w:p>
      <w:pPr>
        <w:pStyle w:val="Heading1"/>
        <w:keepNext/>
      </w:pPr>
      <w:r>
        <w:t xml:space="preserve">5. Resultados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X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129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FACTORES Y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18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de 26 puntos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F2F2F2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BRIGADA (BCI)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por confirmar</w:t>
            </w:r>
          </w:p>
        </w:tc>
        <w:tc>
          <w:tcPr>
            <w:tcW w:type="dxa" w:w="2340"/>
            <w:tcBorders>
              <w:top w:val="single" w:color="FFFFFF" w:sz="12"/>
              <w:left w:val="single" w:color="FFFFFF" w:sz="12"/>
              <w:bottom w:val="single" w:color="FFFFFF" w:sz="12"/>
              <w:right w:val="single" w:color="FFFFFF" w:sz="12"/>
            </w:tcBorders>
            <w:shd w:fill="CAD225" w:color="auto" w:val="clear"/>
            <w:tcMar>
              <w:top w:type="dxa" w:w="140"/>
              <w:left w:type="dxa" w:w="80"/>
              <w:bottom w:type="dxa" w:w="1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pacing w:val="20"/>
                <w:sz w:val="16"/>
                <w:szCs w:val="16"/>
              </w:rPr>
              <w:t xml:space="preserve">RESULTADO P</w:t>
            </w:r>
          </w:p>
          <w:p>
            <w:pPr>
              <w:spacing w:after="2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48"/>
                <w:szCs w:val="48"/>
              </w:rPr>
              <w:t xml:space="preserve">5,52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Riesgo bueno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AD225" w:sz="12"/>
              <w:left w:val="single" w:color="CAD225" w:sz="12"/>
              <w:bottom w:val="single" w:color="CAD225" w:sz="12"/>
              <w:right w:val="single" w:color="CAD225" w:sz="12"/>
            </w:tcBorders>
            <w:shd w:fill="F4F7D3" w:color="auto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8"/>
                <w:szCs w:val="28"/>
              </w:rPr>
              <w:t xml:space="preserve">P = 5(53) / 129  +  5(18) / 26  +  0  =  2,054 + 3,462 + 0  =  5,52</w:t>
            </w:r>
          </w:p>
        </w:tc>
      </w:tr>
    </w:tbl>
    <w:p>
      <w:pPr>
        <w:spacing w:after="140"/>
      </w:pPr>
    </w:p>
    <w:p>
      <w:pPr>
        <w:spacing w:after="14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CEDI obtiene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P = 5,52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, por encima del mínimo aceptable de 5, lo que lo ubica en la categoría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 Tabla 5 muestra cómo mejoraría el resultado si se confirman la brigada y los hidrantes.</w:t>
      </w:r>
    </w:p>
    <w:p>
      <w:pPr>
        <w:keepNext/>
        <w:spacing w:after="0" w:before="200"/>
      </w:pPr>
      <w:r>
        <w:rPr>
          <w:rFonts w:ascii="Arial" w:cs="Arial" w:eastAsia="Arial" w:hAnsi="Arial"/>
          <w:b/>
          <w:bCs/>
          <w:color w:val="3B3B3B"/>
          <w:sz w:val="20"/>
          <w:szCs w:val="20"/>
        </w:rPr>
        <w:t xml:space="preserve">Tabla 5</w:t>
      </w:r>
    </w:p>
    <w:p>
      <w:pPr>
        <w:keepNext/>
        <w:spacing w:after="100"/>
      </w:pP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Escenarios del coeficiente de protección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0"/>
        <w:gridCol w:w="800"/>
        <w:gridCol w:w="800"/>
        <w:gridCol w:w="800"/>
        <w:gridCol w:w="2200"/>
        <w:gridCol w:w="1500"/>
      </w:tblGrid>
      <w:tr>
        <w:trPr>
          <w:tblHeader/>
        </w:trP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ESCENARIO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X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Y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BCI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CÁLCULO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3B3B3B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3B3B3B"/>
                <w:sz w:val="18"/>
                <w:szCs w:val="18"/>
              </w:rPr>
              <w:t xml:space="preserve">Actual (EXT, BIE, DET, ROC)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53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0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5(53)/129 + 5(18)/26 + 0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shd w:fill="F4F7D3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5,52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certificada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53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18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5(53)/129 + 5(18)/26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6,52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  <w:tr>
        <w:tc>
          <w:tcPr>
            <w:tcW w:type="dxa" w:w="326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B3B3B"/>
                <w:sz w:val="18"/>
                <w:szCs w:val="18"/>
              </w:rPr>
              <w:t xml:space="preserve">Con brigada e hidrantes exteriores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53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22</w:t>
            </w:r>
          </w:p>
        </w:tc>
        <w:tc>
          <w:tcPr>
            <w:tcW w:type="dxa" w:w="8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line="264"/>
              <w:jc w:val="center"/>
            </w:pPr>
            <w:r>
              <w:rPr>
                <w:rFonts w:ascii="Arial" w:cs="Arial" w:eastAsia="Arial" w:hAnsi="Arial"/>
                <w:color w:val="3B3B3B"/>
                <w:sz w:val="16"/>
                <w:szCs w:val="16"/>
              </w:rPr>
              <w:t xml:space="preserve">5(53)/129 + 5(22)/26 + 1</w:t>
            </w:r>
          </w:p>
        </w:tc>
        <w:tc>
          <w:tcPr>
            <w:tcW w:type="dxa" w:w="150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22"/>
                <w:szCs w:val="22"/>
              </w:rPr>
              <w:t xml:space="preserve">7,29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4"/>
                <w:szCs w:val="14"/>
              </w:rPr>
              <w:t xml:space="preserve">Bueno</w:t>
            </w:r>
          </w:p>
        </w:tc>
      </w:tr>
    </w:tbl>
    <w:p>
      <w:pPr>
        <w:spacing w:after="200" w:before="60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Nota. </w:t>
      </w:r>
      <w:r>
        <w:rPr>
          <w:rFonts w:ascii="Arial" w:cs="Arial" w:eastAsia="Arial" w:hAnsi="Arial"/>
          <w:color w:val="6B6B6B"/>
          <w:sz w:val="16"/>
          <w:szCs w:val="16"/>
        </w:rPr>
        <w:t xml:space="preserve">Los hidrantes exteriores con vigilancia suman 4 puntos al factor Y.</w:t>
      </w:r>
    </w:p>
    <w:p>
      <w:pPr>
        <w:pStyle w:val="Heading1"/>
        <w:keepNext/>
      </w:pPr>
      <w:r>
        <w:t xml:space="preserve">6. Conclusiones y recomendaciones</w:t>
      </w:r>
    </w:p>
    <w:p>
      <w:pPr>
        <w:spacing w:after="14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El riesgo de incendio del CEDI D1 Lebrija es </w:t>
      </w:r>
      <w:r>
        <w:rPr>
          <w:rFonts w:ascii="Arial" w:cs="Arial" w:eastAsia="Arial" w:hAnsi="Arial"/>
          <w:b/>
          <w:bCs/>
          <w:color w:val="3B3B3B"/>
          <w:sz w:val="22"/>
          <w:szCs w:val="22"/>
        </w:rPr>
        <w:t xml:space="preserve">bueno (P = 5,52)</w:t>
      </w:r>
      <w:r>
        <w:rPr>
          <w:rFonts w:ascii="Arial" w:cs="Arial" w:eastAsia="Arial" w:hAnsi="Arial"/>
          <w:color w:val="3B3B3B"/>
          <w:sz w:val="22"/>
          <w:szCs w:val="22"/>
        </w:rPr>
        <w:t xml:space="preserve">. Las instalaciones por sí solas son desfavorables, pero los sistemas de protección compensan buena parte de esa vulnerabilidad.</w:t>
      </w:r>
    </w:p>
    <w:p>
      <w:pPr>
        <w:keepNext/>
        <w:spacing w:after="80" w:before="8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aumentan el riesgo</w:t>
      </w:r>
    </w:p>
    <w:p>
      <w:pPr>
        <w:pStyle w:val="ListParagraph"/>
        <w:numPr>
          <w:ilvl w:val="0"/>
          <w:numId w:val="2"/>
        </w:numPr>
        <w:spacing w:after="80" w:line="288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Un solo sector de incendio de más de 4.500 m², sin muros cortafuego.</w:t>
      </w:r>
    </w:p>
    <w:p>
      <w:pPr>
        <w:pStyle w:val="ListParagraph"/>
        <w:numPr>
          <w:ilvl w:val="0"/>
          <w:numId w:val="2"/>
        </w:numPr>
        <w:spacing w:after="80" w:line="288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Almacenamiento en racks de más de 6 m, que favorece la propagación vertical.</w:t>
      </w:r>
    </w:p>
    <w:p>
      <w:pPr>
        <w:pStyle w:val="ListParagraph"/>
        <w:numPr>
          <w:ilvl w:val="0"/>
          <w:numId w:val="2"/>
        </w:numPr>
        <w:spacing w:after="80" w:line="288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Carga térmica alta y mercancía muy sensible al calor y al humo.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Factores que lo reducen</w:t>
      </w:r>
    </w:p>
    <w:p>
      <w:pPr>
        <w:pStyle w:val="ListParagraph"/>
        <w:numPr>
          <w:ilvl w:val="0"/>
          <w:numId w:val="2"/>
        </w:numPr>
        <w:spacing w:after="80" w:line="288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Rociadores automáticos en toda la nave (8 puntos).</w:t>
      </w:r>
    </w:p>
    <w:p>
      <w:pPr>
        <w:pStyle w:val="ListParagraph"/>
        <w:numPr>
          <w:ilvl w:val="0"/>
          <w:numId w:val="2"/>
        </w:numPr>
        <w:spacing w:after="80" w:line="288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Detección automática y red de BIE (4 puntos cada una).</w:t>
      </w:r>
    </w:p>
    <w:p>
      <w:pPr>
        <w:pStyle w:val="ListParagraph"/>
        <w:numPr>
          <w:ilvl w:val="0"/>
          <w:numId w:val="2"/>
        </w:numPr>
        <w:spacing w:after="80" w:line="288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Extintores portátiles con mantenimiento y cuarto de bombas propio.</w:t>
      </w:r>
    </w:p>
    <w:p>
      <w:pPr>
        <w:keepNext/>
        <w:spacing w:after="80" w:before="120"/>
      </w:pPr>
      <w:r>
        <w:rPr>
          <w:rFonts w:ascii="Arial" w:cs="Arial" w:eastAsia="Arial" w:hAnsi="Arial"/>
          <w:b/>
          <w:bCs/>
          <w:color w:val="7E8410"/>
          <w:sz w:val="22"/>
          <w:szCs w:val="22"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80" w:line="288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Mantener la inspección y prueba periódica de rociadores, bombas y válvulas.</w:t>
      </w:r>
    </w:p>
    <w:p>
      <w:pPr>
        <w:pStyle w:val="ListParagraph"/>
        <w:numPr>
          <w:ilvl w:val="0"/>
          <w:numId w:val="2"/>
        </w:numPr>
        <w:spacing w:after="80" w:line="288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Certificar la brigada contra incendios: P subiría a 6,52.</w:t>
      </w:r>
    </w:p>
    <w:p>
      <w:pPr>
        <w:pStyle w:val="ListParagraph"/>
        <w:numPr>
          <w:ilvl w:val="0"/>
          <w:numId w:val="2"/>
        </w:numPr>
        <w:spacing w:after="80" w:line="288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Verificar si la toma exterior es un hidrante; con brigada, P llegaría a 7,29.</w:t>
      </w:r>
    </w:p>
    <w:p>
      <w:pPr>
        <w:pStyle w:val="ListParagraph"/>
        <w:numPr>
          <w:ilvl w:val="0"/>
          <w:numId w:val="2"/>
        </w:numPr>
        <w:spacing w:after="80" w:line="288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Controlar la acumulación de estibas y evaluar muros cortafuego en futuras ampliaciones.</w:t>
      </w:r>
    </w:p>
    <w:p>
      <w:pPr>
        <w:pStyle w:val="ListParagraph"/>
        <w:numPr>
          <w:ilvl w:val="0"/>
          <w:numId w:val="2"/>
        </w:numPr>
        <w:spacing w:after="80" w:line="288" w:lineRule="auto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Capacitar al personal en uso de extintores y evacuación.</w:t>
      </w:r>
    </w:p>
    <w:p>
      <w:pPr>
        <w:pStyle w:val="Heading1"/>
        <w:keepNext/>
      </w:pPr>
      <w:r>
        <w:t xml:space="preserve">Referencias</w:t>
      </w:r>
    </w:p>
    <w:p>
      <w:pPr>
        <w:spacing w:after="10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Asepeyo.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Guía de detección automática de incendios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https://www.diba.cat/documents/467843/96195101/P1E07011GuiaDeteccion_automatica_incendios_Asepeyo.pdf</w:t>
      </w:r>
    </w:p>
    <w:p>
      <w:pPr>
        <w:spacing w:after="10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Drexmin.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Cómo funciona un rociador automático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https://drexmin.es/como-funciona-un-rociador-automatico/</w:t>
      </w:r>
    </w:p>
    <w:p>
      <w:pPr>
        <w:spacing w:after="10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Extintores Carlisa.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Hidrantes contra incendios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https://extintorescarlisa.es/hidrantes-contra-incendios/</w:t>
      </w:r>
    </w:p>
    <w:p>
      <w:pPr>
        <w:spacing w:after="10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Extintores Presman.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Boca de incendio equipada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https://www.extintorespresman.es/boca-de-incendio-equipada/</w:t>
      </w:r>
    </w:p>
    <w:p>
      <w:pPr>
        <w:spacing w:after="10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Fondo Inmobiliario Colombia.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Ficha CEDI Bucaramanga / Lebrija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0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Fundación MAPFRE.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Método simplificado de evaluación del riesgo de incendio: MESERI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</w:t>
      </w:r>
    </w:p>
    <w:p>
      <w:pPr>
        <w:spacing w:after="10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Ruva Seguridad.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Tipos de agentes gaseosos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https://www.extintoresbadalona.com/noticias/tipos-de-agentes-gaseosos/index.html</w:t>
      </w:r>
    </w:p>
    <w:p>
      <w:pPr>
        <w:spacing w:after="100" w:line="288"/>
        <w:ind w:left="720" w:hanging="720"/>
      </w:pPr>
      <w:r>
        <w:rPr>
          <w:rFonts w:ascii="Arial" w:cs="Arial" w:eastAsia="Arial" w:hAnsi="Arial"/>
          <w:color w:val="3B3B3B"/>
          <w:sz w:val="20"/>
          <w:szCs w:val="20"/>
        </w:rPr>
        <w:t xml:space="preserve">Safety Work. (s. f.). </w:t>
      </w:r>
      <w:r>
        <w:rPr>
          <w:rFonts w:ascii="Arial" w:cs="Arial" w:eastAsia="Arial" w:hAnsi="Arial"/>
          <w:i/>
          <w:iCs/>
          <w:color w:val="3B3B3B"/>
          <w:sz w:val="20"/>
          <w:szCs w:val="20"/>
        </w:rPr>
        <w:t xml:space="preserve">Extintor ABC</w:t>
      </w:r>
      <w:r>
        <w:rPr>
          <w:rFonts w:ascii="Arial" w:cs="Arial" w:eastAsia="Arial" w:hAnsi="Arial"/>
          <w:color w:val="3B3B3B"/>
          <w:sz w:val="20"/>
          <w:szCs w:val="20"/>
        </w:rPr>
        <w:t xml:space="preserve">. https://www.swsafety.com.co/producto/extintor-abc/</w:t>
      </w:r>
    </w:p>
    <w:p>
      <w:pPr>
        <w:pStyle w:val="Heading1"/>
        <w:keepNext/>
      </w:pPr>
      <w:r>
        <w:t xml:space="preserve">Anexo. Registro fotográfico complementario</w:t>
      </w:r>
    </w:p>
    <w:p>
      <w:pPr>
        <w:spacing w:after="140" w:before="0" w:line="300" w:lineRule="auto"/>
        <w:jc w:val="both"/>
      </w:pPr>
      <w:r>
        <w:rPr>
          <w:rFonts w:ascii="Arial" w:cs="Arial" w:eastAsia="Arial" w:hAnsi="Arial"/>
          <w:color w:val="3B3B3B"/>
          <w:sz w:val="22"/>
          <w:szCs w:val="22"/>
        </w:rPr>
        <w:t xml:space="preserve">Fotografías adicionales de la inspección, con énfasis en el sistema de bombeo contra incendio.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principal contra incendio.</w:t>
            </w:r>
          </w:p>
        </w:tc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Cuarto de bombas.</w:t>
            </w:r>
          </w:p>
        </w:tc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32.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Bomba jockey.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33.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Tubería de succión y descarga.</w:t>
            </w:r>
          </w:p>
        </w:tc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34.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Válvulas de la red principal.</w:t>
            </w:r>
          </w:p>
        </w:tc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35.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Tanque hidroneumático.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36.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Rociadores en el mezanine.</w:t>
            </w:r>
          </w:p>
        </w:tc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37.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Interior de la cava de frío.</w:t>
            </w:r>
          </w:p>
        </w:tc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38.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Canastas y estibas.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39.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Acumulación de estibas.</w:t>
            </w:r>
          </w:p>
        </w:tc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40.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Bloque de oficinas.</w:t>
            </w:r>
          </w:p>
        </w:tc>
        <w:tc>
          <w:tcPr>
            <w:tcW w:type="dxa" w:w="3120"/>
            <w:tcBorders>
              <w:top w:val="single" w:color="C9C9C9" w:sz="4"/>
              <w:left w:val="single" w:color="C9C9C9" w:sz="4"/>
              <w:bottom w:val="single" w:color="C9C9C9" w:sz="4"/>
              <w:right w:val="single" w:color="C9C9C9" w:sz="4"/>
            </w:tcBorders>
            <w:tcMar>
              <w:top w:type="dxa" w:w="7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866900" cy="1400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3B3B3B"/>
                <w:sz w:val="14"/>
                <w:szCs w:val="14"/>
              </w:rPr>
              <w:t xml:space="preserve">Imagen 41. </w:t>
            </w:r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Muelles de cargue.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300" w:right="1440" w:bottom="1200" w:left="144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C9C9" w:sz="6" w:space="6"/>
      </w:pBdr>
      <w:tabs>
        <w:tab w:val="right" w:pos="9360"/>
      </w:tabs>
    </w:pPr>
    <w:r>
      <w:rPr>
        <w:rFonts w:ascii="Arial" w:cs="Arial" w:eastAsia="Arial" w:hAnsi="Arial"/>
        <w:color w:val="6B6B6B"/>
        <w:sz w:val="16"/>
        <w:szCs w:val="16"/>
      </w:rPr>
      <w:t xml:space="preserve">CEDI D1 Lebrija · Electiva Complementaria Salud Ocupacional</w:t>
    </w:r>
    <w:r>
      <w:t xml:space="preserve">	</w:t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3B3B3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225" w:sz="12" w:space="6"/>
      </w:pBdr>
      <w:tabs>
        <w:tab w:val="right" w:pos="9360"/>
      </w:tabs>
    </w:pPr>
    <w:r>
      <w:drawing>
        <wp:inline distT="0" distB="0" distL="0" distR="0">
          <wp:extent cx="3238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b/>
        <w:bCs/>
        <w:color w:val="3B3B3B"/>
        <w:sz w:val="16"/>
        <w:szCs w:val="16"/>
      </w:rPr>
      <w:t xml:space="preserve">   Unidades Tecnológicas de Santander</w:t>
    </w:r>
    <w: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Evaluación de Riesgos de Incendio – Método MESERI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■"/>
      <w:lvlJc w:val="left"/>
      <w:pPr>
        <w:ind w:left="560" w:hanging="300"/>
      </w:pPr>
      <w:rPr>
        <w:color w:val="CAD225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B3B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left w:val="single" w:color="CAD225" w:sz="36" w:space="10"/>
      </w:pBdr>
      <w:spacing w:after="160" w:before="360"/>
      <w:ind w:left="200"/>
      <w:outlineLvl w:val="0"/>
    </w:pPr>
    <w:rPr>
      <w:rFonts w:ascii="Arial" w:cs="Arial" w:eastAsia="Arial" w:hAnsi="Arial"/>
      <w:b/>
      <w:bCs/>
      <w:color w:val="3B3B3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ec7767423571e44399f80317da09f83bd960d12.png"/><Relationship Id="rId12" Type="http://schemas.openxmlformats.org/officeDocument/2006/relationships/image" Target="media/cb5ca1a99486506f6648eba90f7c4f4a6a315abb.jpg"/><Relationship Id="rId13" Type="http://schemas.openxmlformats.org/officeDocument/2006/relationships/image" Target="media/920215dbfc482dcebe12fe32d6ea55d1c8961ad2.jpg"/><Relationship Id="rId14" Type="http://schemas.openxmlformats.org/officeDocument/2006/relationships/image" Target="media/89bc142259407c5d56bb7a1abc103884b840c91b.jpg"/><Relationship Id="rId15" Type="http://schemas.openxmlformats.org/officeDocument/2006/relationships/image" Target="media/9a2152f264ff0b8d47426670e0325a8f16a81d57.jpg"/><Relationship Id="rId16" Type="http://schemas.openxmlformats.org/officeDocument/2006/relationships/image" Target="media/a8d845b151c831b65d28f2a5485c6df5f17c6e49.jpg"/><Relationship Id="rId17" Type="http://schemas.openxmlformats.org/officeDocument/2006/relationships/image" Target="media/5fa581d7bb723f1a63d63cea0f393f538761de0c.jpg"/><Relationship Id="rId18" Type="http://schemas.openxmlformats.org/officeDocument/2006/relationships/image" Target="media/cfb687fb5ed71ff778d0112e458230228f62dabc.jpg"/><Relationship Id="rId19" Type="http://schemas.openxmlformats.org/officeDocument/2006/relationships/image" Target="media/5e5500b961be8a3c2d41a8fc5dbdf285431d5ce4.jpg"/><Relationship Id="rId20" Type="http://schemas.openxmlformats.org/officeDocument/2006/relationships/image" Target="media/cf9d995420f237e5f467e32b92536250228cd216.jpg"/><Relationship Id="rId21" Type="http://schemas.openxmlformats.org/officeDocument/2006/relationships/image" Target="media/35ec2b6ebb93498bbd9617efbc231646355398d2.jpg"/><Relationship Id="rId22" Type="http://schemas.openxmlformats.org/officeDocument/2006/relationships/image" Target="media/a1ad16adc5098955d99da07ffbbfee9dcd0c4642.jpg"/><Relationship Id="rId23" Type="http://schemas.openxmlformats.org/officeDocument/2006/relationships/image" Target="media/98ae398a421a0d06d2eb2111ffe8be6460b530fa.jpg"/><Relationship Id="rId24" Type="http://schemas.openxmlformats.org/officeDocument/2006/relationships/image" Target="media/243786a2a3f8f18fc6f75f1b05bb388cf3af794f.jpg"/><Relationship Id="rId25" Type="http://schemas.openxmlformats.org/officeDocument/2006/relationships/image" Target="media/76f8587993153e602b205aa5cc865ba93f33b81e.jpg"/><Relationship Id="rId26" Type="http://schemas.openxmlformats.org/officeDocument/2006/relationships/image" Target="media/50e8892188ab26e17d2505d4da272193ea7de849.jpg"/><Relationship Id="rId27" Type="http://schemas.openxmlformats.org/officeDocument/2006/relationships/image" Target="media/1c8b8ddcd71a93f158a982417d38c0a99a77b696.jpg"/><Relationship Id="rId28" Type="http://schemas.openxmlformats.org/officeDocument/2006/relationships/image" Target="media/2123fca6546a1776189094adebe92e282d15b090.jpg"/><Relationship Id="rId29" Type="http://schemas.openxmlformats.org/officeDocument/2006/relationships/image" Target="media/e1df38a6f59923a5e982d6f064339a8a9aa8c912.jpg"/><Relationship Id="rId30" Type="http://schemas.openxmlformats.org/officeDocument/2006/relationships/image" Target="media/308a1e4397779ddc505b011a61727ce82bd395a8.jpg"/><Relationship Id="rId31" Type="http://schemas.openxmlformats.org/officeDocument/2006/relationships/image" Target="media/7bf7df0e46c0cd3960f9c827c9bd1bb19bfc2c93.jpg"/><Relationship Id="rId32" Type="http://schemas.openxmlformats.org/officeDocument/2006/relationships/image" Target="media/f0513aacbbecd59a42bf025f1857b6834a2ea207.jpg"/><Relationship Id="rId33" Type="http://schemas.openxmlformats.org/officeDocument/2006/relationships/image" Target="media/f51a985e065833afe7a4189d84fd42b28d4ea90a.jpg"/><Relationship Id="rId34" Type="http://schemas.openxmlformats.org/officeDocument/2006/relationships/image" Target="media/6477ab5ef2e53ef9461ead4c8e3f148a62940039.jpg"/><Relationship Id="rId35" Type="http://schemas.openxmlformats.org/officeDocument/2006/relationships/image" Target="media/6cc6ae92d76ad0fdbe459437a7b4bd09c0d34f44.jpg"/><Relationship Id="rId36" Type="http://schemas.openxmlformats.org/officeDocument/2006/relationships/image" Target="media/1d6619b9674b2919b64f6a187c1e743bb151c83b.jpg"/><Relationship Id="rId37" Type="http://schemas.openxmlformats.org/officeDocument/2006/relationships/image" Target="media/bd4cd3d35af6c1182d332ed1cef4b41619d35e2a.jpg"/><Relationship Id="rId38" Type="http://schemas.openxmlformats.org/officeDocument/2006/relationships/image" Target="media/ec1f03383798701c9a5ed9754b996512c79eb037.jpg"/><Relationship Id="rId39" Type="http://schemas.openxmlformats.org/officeDocument/2006/relationships/image" Target="media/4fec63003890ab174be2bdf8b312d828708dee2e.jpg"/><Relationship Id="rId40" Type="http://schemas.openxmlformats.org/officeDocument/2006/relationships/image" Target="media/98944a46b070bad5773fbb0d72e7dd7d52c4e2a8.jpg"/><Relationship Id="rId41" Type="http://schemas.openxmlformats.org/officeDocument/2006/relationships/image" Target="media/c63db7d61a160b658ce82082fb84fda3a47874a6.jpg"/><Relationship Id="rId42" Type="http://schemas.openxmlformats.org/officeDocument/2006/relationships/image" Target="media/275428c780a97e874d547e74178b053dcf0db269.jpg"/><Relationship Id="rId43" Type="http://schemas.openxmlformats.org/officeDocument/2006/relationships/image" Target="media/1c5e2ef602c302957c215c9a3449b575c109df75.jpg"/><Relationship Id="rId44" Type="http://schemas.openxmlformats.org/officeDocument/2006/relationships/image" Target="media/4fac5df6c9686d2d0b3fa093c5cf6aa1ea074e94.jpg"/><Relationship Id="rId45" Type="http://schemas.openxmlformats.org/officeDocument/2006/relationships/image" Target="media/946269947347a0943640007d8aea13d51398d542.jpg"/><Relationship Id="rId46" Type="http://schemas.openxmlformats.org/officeDocument/2006/relationships/image" Target="media/a47d3ecd60e7840161a954afc6c2650a4bb183ed.jpg"/><Relationship Id="rId47" Type="http://schemas.openxmlformats.org/officeDocument/2006/relationships/image" Target="media/c988c5b6dd0ff60bc665709bd79fef102e876b64.jpg"/><Relationship Id="rId48" Type="http://schemas.openxmlformats.org/officeDocument/2006/relationships/image" Target="media/5f60bd7abe6fbc3409d96e2e6938e07a40ee06c1.jpg"/><Relationship Id="rId49" Type="http://schemas.openxmlformats.org/officeDocument/2006/relationships/image" Target="media/667eb30d4702357feba5c50b68c89bb1941915d5.jpg"/><Relationship Id="rId50" Type="http://schemas.openxmlformats.org/officeDocument/2006/relationships/image" Target="media/0019a3bdd21258a602efb3b3906d69f0f67fb690.jpg"/><Relationship Id="rId51" Type="http://schemas.openxmlformats.org/officeDocument/2006/relationships/image" Target="media/e4b36bb6e9766dc60d914e198fe2648485a122fb.jpg"/><Relationship Id="rId5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ec7767423571e44399f80317da09f83bd960d12.png"/></Relationships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Evaluación de Riesgos de Incendio – Método MESERI – CEDI D1 Lebrija</dc:title>
  <dc:creator>Estudiante UTS</dc:creator>
  <cp:lastModifiedBy>Un-named</cp:lastModifiedBy>
  <cp:revision>1</cp:revision>
  <dcterms:created xsi:type="dcterms:W3CDTF">2026-10-23T03:28:38.718Z</dcterms:created>
  <dcterms:modified xsi:type="dcterms:W3CDTF">2026-10-23T03:28:38.718Z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