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tbl>
      <w:tblPr>
        <w:tblW w:type="dxa" w:w="36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tblGrid>
      <w:tr>
        <w:trPr>
          <w:trHeight w:val="1800" w:hRule="exact"/>
        </w:trPr>
        <w:tc>
          <w:tcPr>
            <w:tcW w:type="dxa" w:w="3600"/>
            <w:tcBorders>
              <w:top w:val="dashed" w:color="999999" w:sz="8"/>
              <w:left w:val="dashed" w:color="999999" w:sz="8"/>
              <w:bottom w:val="dashed" w:color="999999" w:sz="8"/>
              <w:right w:val="dashed" w:color="999999" w:sz="8"/>
            </w:tcBorders>
            <w:vAlign w:val="center"/>
          </w:tcPr>
          <w:p>
            <w:pPr>
              <w:jc w:val="center"/>
            </w:pPr>
            <w:r>
              <w:rPr>
                <w:rFonts w:ascii="Times New Roman" w:cs="Times New Roman" w:eastAsia="Times New Roman" w:hAnsi="Times New Roman"/>
                <w:i/>
                <w:iCs/>
                <w:color w:val="888888"/>
                <w:sz w:val="22"/>
                <w:szCs w:val="22"/>
              </w:rPr>
              <w:t xml:space="preserve">Espacio para el logo</w:t>
            </w:r>
          </w:p>
        </w:tc>
      </w:tr>
    </w:tbl>
    <w:p>
      <w:pPr>
        <w:spacing w:line="480"/>
      </w:pPr>
    </w:p>
    <w:p>
      <w:pPr>
        <w:spacing w:line="480"/>
      </w:pPr>
    </w:p>
    <w:p>
      <w:pPr>
        <w:spacing w:after="0" w:before="0" w:line="480"/>
        <w:jc w:val="center"/>
      </w:pPr>
      <w:r>
        <w:rPr>
          <w:rFonts w:ascii="Times New Roman" w:cs="Times New Roman" w:eastAsia="Times New Roman" w:hAnsi="Times New Roman"/>
          <w:b/>
          <w:bCs/>
          <w:sz w:val="24"/>
          <w:szCs w:val="24"/>
        </w:rPr>
        <w:t xml:space="preserve">Evaluación de Riesgos de Incendio</w:t>
      </w:r>
    </w:p>
    <w:p>
      <w:pPr>
        <w:spacing w:after="0" w:before="0" w:line="480"/>
        <w:jc w:val="center"/>
      </w:pPr>
      <w:r>
        <w:rPr>
          <w:rFonts w:ascii="Times New Roman" w:cs="Times New Roman" w:eastAsia="Times New Roman" w:hAnsi="Times New Roman"/>
          <w:b/>
          <w:bCs/>
          <w:sz w:val="24"/>
          <w:szCs w:val="24"/>
        </w:rPr>
        <w:t xml:space="preserve">Método de Meseri</w:t>
      </w:r>
    </w:p>
    <w:p>
      <w:pPr>
        <w:spacing w:line="480"/>
        <w:jc w:val="center"/>
      </w:pPr>
      <w:r>
        <w:rPr>
          <w:rFonts w:ascii="Times New Roman" w:cs="Times New Roman" w:eastAsia="Times New Roman" w:hAnsi="Times New Roman"/>
          <w:sz w:val="24"/>
          <w:szCs w:val="24"/>
        </w:rPr>
        <w:t xml:space="preserve">CEDI D1 Bucaramanga / Lebrija</w:t>
      </w:r>
    </w:p>
    <w:p>
      <w:pPr>
        <w:spacing w:line="480"/>
      </w:pPr>
    </w:p>
    <w:p>
      <w:pPr>
        <w:spacing w:line="480"/>
      </w:pPr>
    </w:p>
    <w:p>
      <w:pPr>
        <w:spacing w:line="480"/>
      </w:pPr>
    </w:p>
    <w:p>
      <w:pPr>
        <w:spacing w:line="480"/>
        <w:jc w:val="center"/>
      </w:pPr>
      <w:r>
        <w:rPr>
          <w:rFonts w:ascii="Times New Roman" w:cs="Times New Roman" w:eastAsia="Times New Roman" w:hAnsi="Times New Roman"/>
          <w:b/>
          <w:bCs/>
          <w:sz w:val="24"/>
          <w:szCs w:val="24"/>
          <w:highlight w:val="yellow"/>
          <w:highlightCs w:val="yellow"/>
        </w:rPr>
        <w:t xml:space="preserve">[Nombre del alumno]</w:t>
      </w:r>
    </w:p>
    <w:p>
      <w:pPr>
        <w:spacing w:line="480"/>
      </w:pPr>
    </w:p>
    <w:p>
      <w:pPr>
        <w:spacing w:line="480"/>
        <w:jc w:val="center"/>
      </w:pPr>
      <w:r>
        <w:rPr>
          <w:rFonts w:ascii="Times New Roman" w:cs="Times New Roman" w:eastAsia="Times New Roman" w:hAnsi="Times New Roman"/>
          <w:b/>
          <w:bCs/>
          <w:sz w:val="24"/>
          <w:szCs w:val="24"/>
        </w:rPr>
        <w:t xml:space="preserve">Profesor: </w:t>
      </w:r>
      <w:r>
        <w:rPr>
          <w:rFonts w:ascii="Times New Roman" w:cs="Times New Roman" w:eastAsia="Times New Roman" w:hAnsi="Times New Roman"/>
          <w:sz w:val="24"/>
          <w:szCs w:val="24"/>
          <w:highlight w:val="yellow"/>
          <w:highlightCs w:val="yellow"/>
        </w:rPr>
        <w:t xml:space="preserve">[Nombre del profesor]</w:t>
      </w:r>
    </w:p>
    <w:p>
      <w:pPr>
        <w:spacing w:line="480"/>
      </w:pPr>
    </w:p>
    <w:p>
      <w:pPr>
        <w:spacing w:line="480"/>
      </w:pPr>
    </w:p>
    <w:p>
      <w:pPr>
        <w:spacing w:line="480"/>
      </w:pPr>
    </w:p>
    <w:p>
      <w:pPr>
        <w:spacing w:line="480"/>
      </w:pPr>
    </w:p>
    <w:p>
      <w:pPr>
        <w:spacing w:line="480"/>
        <w:jc w:val="center"/>
      </w:pPr>
      <w:r>
        <w:rPr>
          <w:rFonts w:ascii="Times New Roman" w:cs="Times New Roman" w:eastAsia="Times New Roman" w:hAnsi="Times New Roman"/>
          <w:sz w:val="24"/>
          <w:szCs w:val="24"/>
        </w:rPr>
        <w:t xml:space="preserve">Unidades Tecnológicas de Santander</w:t>
      </w:r>
    </w:p>
    <w:p>
      <w:pPr>
        <w:spacing w:line="480"/>
        <w:jc w:val="center"/>
      </w:pPr>
      <w:r>
        <w:rPr>
          <w:rFonts w:ascii="Times New Roman" w:cs="Times New Roman" w:eastAsia="Times New Roman" w:hAnsi="Times New Roman"/>
          <w:sz w:val="24"/>
          <w:szCs w:val="24"/>
        </w:rPr>
        <w:t xml:space="preserve">Electiva Complementaria Salud Ocupacional</w:t>
      </w:r>
    </w:p>
    <w:p>
      <w:pPr>
        <w:spacing w:line="480"/>
        <w:jc w:val="center"/>
      </w:pPr>
      <w:r>
        <w:rPr>
          <w:rFonts w:ascii="Times New Roman" w:cs="Times New Roman" w:eastAsia="Times New Roman" w:hAnsi="Times New Roman"/>
          <w:sz w:val="24"/>
          <w:szCs w:val="24"/>
        </w:rPr>
        <w:t xml:space="preserve">Octubre de 2026</w:t>
      </w:r>
    </w:p>
    <w:p>
      <w:pPr>
        <w:spacing w:line="480"/>
        <w:jc w:val="center"/>
      </w:pPr>
      <w:r>
        <w:rPr>
          <w:rFonts w:ascii="Times New Roman" w:cs="Times New Roman" w:eastAsia="Times New Roman" w:hAnsi="Times New Roman"/>
          <w:sz w:val="24"/>
          <w:szCs w:val="24"/>
        </w:rPr>
        <w:t xml:space="preserve">Bucaramanga, Santander</w:t>
      </w:r>
    </w:p>
    <w:p>
      <w:pPr>
        <w:pageBreakBefore/>
        <w:spacing w:after="0" w:before="0" w:line="480"/>
        <w:jc w:val="center"/>
      </w:pPr>
      <w:r>
        <w:rPr>
          <w:rFonts w:ascii="Times New Roman" w:cs="Times New Roman" w:eastAsia="Times New Roman" w:hAnsi="Times New Roman"/>
          <w:b/>
          <w:bCs/>
          <w:sz w:val="24"/>
          <w:szCs w:val="24"/>
        </w:rPr>
        <w:t xml:space="preserve">Introducción</w:t>
      </w:r>
    </w:p>
    <w:p>
      <w:pPr>
        <w:spacing w:after="0" w:line="480"/>
        <w:ind w:firstLine="720"/>
        <w:jc w:val="both"/>
      </w:pPr>
      <w:r>
        <w:rPr>
          <w:rFonts w:ascii="Times New Roman" w:cs="Times New Roman" w:eastAsia="Times New Roman" w:hAnsi="Times New Roman"/>
          <w:sz w:val="24"/>
          <w:szCs w:val="24"/>
        </w:rPr>
        <w:t xml:space="preserve">El Centro de Distribución (CEDI) evaluado está ubicado en el área rural de Lebrija (Santander), sector San Pablo, sobre la vía Bucaramanga–Barrancabermeja, a unos 15 minutos de Bucaramanga y a cerca de 2,5 km del aeropuerto Palonegro. Hace parte de la red logística de Tiendas D1 (Koba Colombia S.A.S.), cadena de tiendas de descuento que contrata personal de mantenimiento para sus centros de distribución en Santander.</w:t>
      </w:r>
    </w:p>
    <w:p>
      <w:pPr>
        <w:spacing w:after="0" w:line="480"/>
        <w:ind w:firstLine="720"/>
        <w:jc w:val="both"/>
      </w:pPr>
      <w:r>
        <w:rPr>
          <w:rFonts w:ascii="Times New Roman" w:cs="Times New Roman" w:eastAsia="Times New Roman" w:hAnsi="Times New Roman"/>
          <w:sz w:val="24"/>
          <w:szCs w:val="24"/>
        </w:rPr>
        <w:t xml:space="preserve">Se trata de una bodega de distribución de gran tamaño, con una cubierta de aproximadamente 17.432 m² según la medición hecha en Google Maps. La nave tiene una altura interior libre de 18 m (21 m por el exterior), muros de bloque de concreto en la parte baja, cerramiento y cubierta en lámina metálica, cerchas metálicas y columnas de concreto y acero. Cuenta con una zona principal de almacenamiento en estanterías tipo rack de varios niveles, áreas de cava (frío), muelles de cargue y descargue, zonas de servicio para la operación y un mezanine con oficinas, cafetería y servicios para los empleados.</w:t>
      </w:r>
    </w:p>
    <w:p>
      <w:pPr>
        <w:spacing w:after="0" w:line="480"/>
        <w:ind w:firstLine="720"/>
        <w:jc w:val="both"/>
      </w:pPr>
      <w:r>
        <w:rPr>
          <w:rFonts w:ascii="Times New Roman" w:cs="Times New Roman" w:eastAsia="Times New Roman" w:hAnsi="Times New Roman"/>
          <w:sz w:val="24"/>
          <w:szCs w:val="24"/>
        </w:rPr>
        <w:t xml:space="preserve">La actividad del CEDI consiste en recibir, almacenar y despachar alimentos empacados, bebidas, productos de aseo, conservas y enlatados hacia las tiendas de la región. La mercancía se mueve sobre estibas de madera y canastas plásticas con montacargas eléctricos, que se recargan en una estación de carga dentro de la bodega. No hay procesos con llama abierta ni manejo de líquidos inflamables en cantidad, pero el volumen de cartón, plástico y madera almacenado es muy alto.</w:t>
      </w:r>
    </w:p>
    <w:p>
      <w:pPr>
        <w:spacing w:after="0" w:line="480"/>
        <w:ind w:firstLine="720"/>
        <w:jc w:val="both"/>
      </w:pPr>
      <w:r>
        <w:rPr>
          <w:rFonts w:ascii="Times New Roman" w:cs="Times New Roman" w:eastAsia="Times New Roman" w:hAnsi="Times New Roman"/>
          <w:sz w:val="24"/>
          <w:szCs w:val="24"/>
        </w:rPr>
        <w:t xml:space="preserve">En cuanto a la protección contra incendios, el CEDI cuenta con un cuarto de bombas con bomba principal, bomba jockey y tanque hidroneumático, que alimenta una red de tuberías de color rojo con montantes, válvulas de control, gabinetes de bocas de incendio equipadas (BIE) y rociadores automáticos instalados bajo toda la cubierta. Además, hay extintores portátiles en los muelles y áreas operativas y dispositivos de detección y alarma bajo la cubierta.</w:t>
      </w:r>
    </w:p>
    <w:p>
      <w:pPr>
        <w:spacing w:after="0" w:line="480"/>
        <w:ind w:firstLine="720"/>
        <w:jc w:val="both"/>
      </w:pPr>
      <w:r>
        <w:rPr>
          <w:rFonts w:ascii="Times New Roman" w:cs="Times New Roman" w:eastAsia="Times New Roman" w:hAnsi="Times New Roman"/>
          <w:sz w:val="24"/>
          <w:szCs w:val="24"/>
        </w:rPr>
        <w:t xml:space="preserve">Para evaluar el riesgo de incendio se aplicó el Método de Meseri, propuesto por la Fundación MAPFRE. El método valora por separado los factores propios de las instalaciones, que generan o agravan el riesgo (X, máximo 129 puntos), y los factores de protección, que lo reducen (Y, máximo 26 puntos). Con estos valores se calcula el coeficiente de protección P, que va de 0 a 10; un resultado igual o superior a 5 se considera aceptable. Los coeficientes se asignaron a partir de la inspección fotográfica de las instalaciones realizada entre marzo y octubre de 2026.</w:t>
      </w:r>
    </w:p>
    <w:p>
      <w:pPr>
        <w:spacing w:after="0" w:before="240" w:line="480"/>
        <w:jc w:val="center"/>
      </w:pPr>
      <w:r>
        <w:rPr>
          <w:rFonts w:ascii="Times New Roman" w:cs="Times New Roman" w:eastAsia="Times New Roman" w:hAnsi="Times New Roman"/>
          <w:b/>
          <w:bCs/>
          <w:sz w:val="24"/>
          <w:szCs w:val="24"/>
        </w:rPr>
        <w:t xml:space="preserve">Evaluación de Riesgos de Incendio – Método de Meseri</w:t>
      </w:r>
    </w:p>
    <w:p>
      <w:pPr>
        <w:spacing w:before="240"/>
      </w:pPr>
      <w:r>
        <w:rPr>
          <w:rFonts w:ascii="Times New Roman" w:cs="Times New Roman" w:eastAsia="Times New Roman" w:hAnsi="Times New Roman"/>
          <w:b/>
          <w:bCs/>
          <w:sz w:val="24"/>
          <w:szCs w:val="24"/>
        </w:rPr>
        <w:t xml:space="preserve">Tabla 1.</w:t>
      </w:r>
    </w:p>
    <w:p>
      <w:pPr>
        <w:spacing w:after="120"/>
      </w:pPr>
      <w:r>
        <w:rPr>
          <w:rFonts w:ascii="Times New Roman" w:cs="Times New Roman" w:eastAsia="Times New Roman" w:hAnsi="Times New Roman"/>
          <w:i/>
          <w:iCs/>
          <w:sz w:val="24"/>
          <w:szCs w:val="24"/>
        </w:rPr>
        <w:t xml:space="preserve">Factores Propios de las Instalaciones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260"/>
        <w:gridCol w:w="2900"/>
      </w:tblGrid>
      <w:tr>
        <w:trPr>
          <w:tblHeader/>
        </w:trPr>
        <w:tc>
          <w:tcPr>
            <w:tcW w:type="dxa" w:w="9360"/>
            <w:gridSpan w:val="4"/>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30"/>
                <w:szCs w:val="30"/>
              </w:rPr>
              <w:t xml:space="preserve">FACTORES PROPIOS DE LAS INSTALACIONES</w:t>
            </w:r>
          </w:p>
        </w:tc>
      </w:tr>
      <w:tr>
        <w:trPr>
          <w:tblHeader/>
        </w:trPr>
        <w:tc>
          <w:tcPr>
            <w:tcW w:type="dxa" w:w="18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NOMBRE DEL FACTOR</w:t>
            </w:r>
          </w:p>
        </w:tc>
        <w:tc>
          <w:tcPr>
            <w:tcW w:type="dxa" w:w="14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COEFICIENTE</w:t>
            </w:r>
          </w:p>
        </w:tc>
        <w:tc>
          <w:tcPr>
            <w:tcW w:type="dxa" w:w="326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JUSTIFICACIÓN</w:t>
            </w:r>
          </w:p>
        </w:tc>
        <w:tc>
          <w:tcPr>
            <w:tcW w:type="dxa" w:w="29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IMAGEN</w:t>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1.1 CONSTRUCCIÓN</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1.1.1 Altura del edificio</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1</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nave tiene una altura interior libre de 18 m hasta las cerchas que soportan la cubierta (21 m medida por el exterior). Según la tabla del método, para alturas entre 15 y 30 m le corresponde un coeficiente de 1.</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 </w:t>
            </w:r>
            <w:r>
              <w:rPr>
                <w:rFonts w:ascii="Times New Roman" w:cs="Times New Roman" w:eastAsia="Times New Roman" w:hAnsi="Times New Roman"/>
                <w:sz w:val="18"/>
                <w:szCs w:val="18"/>
              </w:rPr>
              <w:t xml:space="preserve">Fachada y altura de la nave.</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1.1.2 Mayor sector de incendio</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cubierta medida en Google Maps tiene cerca de 17.432 m². No se comprobó sectorización con muros cortafuego, por lo que toda la nave se toma como un solo sector. Al superar los 4.500 m² se asigna un coeficiente de 0.</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 </w:t>
            </w:r>
            <w:r>
              <w:rPr>
                <w:rFonts w:ascii="Times New Roman" w:cs="Times New Roman" w:eastAsia="Times New Roman" w:hAnsi="Times New Roman"/>
                <w:sz w:val="18"/>
                <w:szCs w:val="18"/>
              </w:rPr>
              <w:t xml:space="preserve">Cerramiento lateral de la nave.</w:t>
            </w:r>
          </w:p>
          <w:p>
            <w:pPr>
              <w:jc w:val="center"/>
            </w:pPr>
            <w:r>
              <w:drawing>
                <wp:inline distT="0" distB="0" distL="0" distR="0">
                  <wp:extent cx="1714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285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1.1.3 Resistencia al fuego</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cubierta se apoya en cerchas y correas metálicas sobre columnas de concreto y acero. La estructura metálica se clasifica como no combustible, por lo que se asigna un coeficiente de 5.</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 </w:t>
            </w:r>
            <w:r>
              <w:rPr>
                <w:rFonts w:ascii="Times New Roman" w:cs="Times New Roman" w:eastAsia="Times New Roman" w:hAnsi="Times New Roman"/>
                <w:sz w:val="18"/>
                <w:szCs w:val="18"/>
              </w:rPr>
              <w:t xml:space="preserve">Columnas y estructura de cubierta.</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1.1.4 Falsos techos</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cubierta metálica está a la vista en toda la bodega y no tiene cielorraso ni recubrimientos que funcionen como falso techo. Se asigna el coeficiente de 5 (sin falsos techos).</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4. </w:t>
            </w:r>
            <w:r>
              <w:rPr>
                <w:rFonts w:ascii="Times New Roman" w:cs="Times New Roman" w:eastAsia="Times New Roman" w:hAnsi="Times New Roman"/>
                <w:sz w:val="18"/>
                <w:szCs w:val="18"/>
              </w:rPr>
              <w:t xml:space="preserve">Cubierta interior a la vista.</w:t>
            </w:r>
          </w:p>
          <w:p>
            <w:pPr>
              <w:jc w:val="center"/>
            </w:pPr>
            <w:r>
              <w:drawing>
                <wp:inline distT="0" distB="0" distL="0" distR="0">
                  <wp:extent cx="1714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771525"/>
                          </a:xfrm>
                          <a:prstGeom prst="rect">
                            <a:avLst/>
                          </a:prstGeom>
                        </pic:spPr>
                      </pic:pic>
                    </a:graphicData>
                  </a:graphic>
                </wp:inline>
              </w:drawing>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1.2 FACTORES DE SITUACIÓN</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1.2.1 Distancia de los bomberos</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8</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El Cuerpo de Bomberos Voluntarios de Lebrija atiende emergencias las 24 horas. Se estima una distancia de entre 5 y 10 km por carretera y un tiempo de respuesta de 5 a 10 minutos, por lo que se asigna un coeficiente de 8.</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5. </w:t>
            </w:r>
            <w:r>
              <w:rPr>
                <w:rFonts w:ascii="Times New Roman" w:cs="Times New Roman" w:eastAsia="Times New Roman" w:hAnsi="Times New Roman"/>
                <w:sz w:val="18"/>
                <w:szCs w:val="18"/>
              </w:rPr>
              <w:t xml:space="preserve">Vía de acceso y patio de maniobras.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1.2.2 Accesibilidad del edificio</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3</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El ingreso es por la vía del sector San Pablo, con portería y talanquera. El patio de maniobras es amplio, pero el predio está en terreno montañoso, elevado sobre su entorno. La accesibilidad se considera media, con coeficiente de 3.</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6. </w:t>
            </w:r>
            <w:r>
              <w:rPr>
                <w:rFonts w:ascii="Times New Roman" w:cs="Times New Roman" w:eastAsia="Times New Roman" w:hAnsi="Times New Roman"/>
                <w:sz w:val="18"/>
                <w:szCs w:val="18"/>
              </w:rPr>
              <w:t xml:space="preserve">Portería y acceso al CEDI.</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1.3 PROCESOS</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1.3.1 Peligro de activación</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No hay llama abierta ni procesos térmicos. Las fuentes de ignición son los montacargas eléctricos en su estación de carga, los tableros eléctricos y la iluminación. El peligro de activación se considera medio, con coeficiente de 5.</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7. </w:t>
            </w:r>
            <w:r>
              <w:rPr>
                <w:rFonts w:ascii="Times New Roman" w:cs="Times New Roman" w:eastAsia="Times New Roman" w:hAnsi="Times New Roman"/>
                <w:sz w:val="18"/>
                <w:szCs w:val="18"/>
              </w:rPr>
              <w:t xml:space="preserve">Estación de carga de montacargas.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1.3.2 Carga térmica</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2</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Se almacenan alimentos empacados, bebidas, cartón, plástico y estibas de madera en grandes volúmenes. Se estima una carga térmica alta, entre 2.000 y 5.000 MJ/m², a la que corresponde un coeficiente de 2.</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8. </w:t>
            </w:r>
            <w:r>
              <w:rPr>
                <w:rFonts w:ascii="Times New Roman" w:cs="Times New Roman" w:eastAsia="Times New Roman" w:hAnsi="Times New Roman"/>
                <w:sz w:val="18"/>
                <w:szCs w:val="18"/>
              </w:rPr>
              <w:t xml:space="preserve">Mercancía almacenada.</w:t>
            </w:r>
          </w:p>
          <w:p>
            <w:pPr>
              <w:jc w:val="center"/>
            </w:pPr>
            <w:r>
              <w:drawing>
                <wp:inline distT="0" distB="0" distL="0" distR="0">
                  <wp:extent cx="1714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14500" cy="1285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1.3.3 Inflamabilidad</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3</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Predominan sólidos combustibles como cartón, plástico y la madera de las estibas; no se manejan líquidos inflamables en cantidad. La inflamabilidad se clasifica como media, con coeficiente de 3.</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9. </w:t>
            </w:r>
            <w:r>
              <w:rPr>
                <w:rFonts w:ascii="Times New Roman" w:cs="Times New Roman" w:eastAsia="Times New Roman" w:hAnsi="Times New Roman"/>
                <w:sz w:val="18"/>
                <w:szCs w:val="18"/>
              </w:rPr>
              <w:t xml:space="preserve">Estibas de madera y embalajes.</w:t>
            </w:r>
          </w:p>
          <w:p>
            <w:pPr>
              <w:jc w:val="center"/>
            </w:pPr>
            <w:r>
              <w:drawing>
                <wp:inline distT="0" distB="0" distL="0" distR="0">
                  <wp:extent cx="1714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1285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1.3.4 Orden y limpieza</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Los pasillos de circulación logística se mantienen despejados, aunque en las zonas de estibas y alistamiento se acumula material. El orden y la limpieza se consideran de nivel medio, con coeficiente de 5.</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10. </w:t>
            </w:r>
            <w:r>
              <w:rPr>
                <w:rFonts w:ascii="Times New Roman" w:cs="Times New Roman" w:eastAsia="Times New Roman" w:hAnsi="Times New Roman"/>
                <w:sz w:val="18"/>
                <w:szCs w:val="18"/>
              </w:rPr>
              <w:t xml:space="preserve">Pasillo de circulación entre racks.</w:t>
            </w:r>
          </w:p>
          <w:p>
            <w:pPr>
              <w:jc w:val="center"/>
            </w:pPr>
            <w:r>
              <w:drawing>
                <wp:inline distT="0" distB="0" distL="0" distR="0">
                  <wp:extent cx="1152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52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1.3.5 Almacenamiento en altura</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mercancía se guarda en estanterías tipo rack de varios niveles que superan los 6 m de altura. Según la tabla, para más de 6 m el coeficiente es 0.</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11. </w:t>
            </w:r>
            <w:r>
              <w:rPr>
                <w:rFonts w:ascii="Times New Roman" w:cs="Times New Roman" w:eastAsia="Times New Roman" w:hAnsi="Times New Roman"/>
                <w:sz w:val="18"/>
                <w:szCs w:val="18"/>
              </w:rPr>
              <w:t xml:space="preserve">Racks de almacenamiento.</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1.4 FACTOR DE CONCENTRACIÓN</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1.4.1 Concentración de valores</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3</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mercancía es de consumo masivo y de bajo valor unitario. Repartido sobre la gran superficie del CEDI, el valor se estima por debajo de 600 €/m², por lo que se asigna un coeficiente de 3.</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12. </w:t>
            </w:r>
            <w:r>
              <w:rPr>
                <w:rFonts w:ascii="Times New Roman" w:cs="Times New Roman" w:eastAsia="Times New Roman" w:hAnsi="Times New Roman"/>
                <w:sz w:val="18"/>
                <w:szCs w:val="18"/>
              </w:rPr>
              <w:t xml:space="preserve">Vista panorámica del almacén.</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1.5 PROPAGABILIDAD</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1.5.1 En horizontal</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3</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Los bloques de estantería están separados por pasillos, pero no hay muros cortafuego entre zonas y la mercancía es continua dentro de cada bloque. La propagabilidad horizontal se considera media, con coeficiente de 3.</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13. </w:t>
            </w:r>
            <w:r>
              <w:rPr>
                <w:rFonts w:ascii="Times New Roman" w:cs="Times New Roman" w:eastAsia="Times New Roman" w:hAnsi="Times New Roman"/>
                <w:sz w:val="18"/>
                <w:szCs w:val="18"/>
              </w:rPr>
              <w:t xml:space="preserve">Pasillos entre bloques de racks.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1.5.2 En vertical</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Los racks de varios niveles con mercancía y estibas de madera forman una columna continua de combustible hasta cerca de la cubierta, lo que facilita la subida del fuego. Se clasifica como alta, con coeficiente de 0.</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14. </w:t>
            </w:r>
            <w:r>
              <w:rPr>
                <w:rFonts w:ascii="Times New Roman" w:cs="Times New Roman" w:eastAsia="Times New Roman" w:hAnsi="Times New Roman"/>
                <w:sz w:val="18"/>
                <w:szCs w:val="18"/>
              </w:rPr>
              <w:t xml:space="preserve">Niveles verticales de los racks.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9360"/>
            <w:gridSpan w:val="4"/>
            <w:tcBorders>
              <w:top w:val="single" w:color="000000" w:sz="6"/>
              <w:left w:val="single" w:color="000000" w:sz="6"/>
              <w:bottom w:val="single" w:color="000000" w:sz="6"/>
              <w:right w:val="single" w:color="000000" w:sz="6"/>
            </w:tcBorders>
            <w:shd w:fill="FCE4D6"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1.6 DESTRUCTIBILIDAD</w:t>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1.6.1 Calor</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 cava de frío y los alimentos empacados se dañan fácilmente con el calor, igual que los paneles y equipos de refrigeración. La destructibilidad por calor es alta, con coeficiente de 0.</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15. </w:t>
            </w:r>
            <w:r>
              <w:rPr>
                <w:rFonts w:ascii="Times New Roman" w:cs="Times New Roman" w:eastAsia="Times New Roman" w:hAnsi="Times New Roman"/>
                <w:sz w:val="18"/>
                <w:szCs w:val="18"/>
              </w:rPr>
              <w:t xml:space="preserve">Zona de cava (frío).</w:t>
            </w:r>
          </w:p>
          <w:p>
            <w:pPr>
              <w:jc w:val="center"/>
            </w:pPr>
            <w:r>
              <w:drawing>
                <wp:inline distT="0" distB="0" distL="0" distR="0">
                  <wp:extent cx="9239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239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1.6.2 Humo</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Los productos alimenticios son muy susceptibles a la contaminación por humo; un incendio obligaría a desechar gran parte del inventario. La destructibilidad por humo es alta, con coeficiente de 0.</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16. </w:t>
            </w:r>
            <w:r>
              <w:rPr>
                <w:rFonts w:ascii="Times New Roman" w:cs="Times New Roman" w:eastAsia="Times New Roman" w:hAnsi="Times New Roman"/>
                <w:sz w:val="18"/>
                <w:szCs w:val="18"/>
              </w:rPr>
              <w:t xml:space="preserve">Zona de alimentos secos.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1.6.3 Corrosión</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Hay productos de aseo, conservas y enlatados que pueden generar o sufrir gases corrosivos, pero no son la mayor parte del inventario. La destructibilidad por corrosión se considera media, con coeficiente de 5.</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17. </w:t>
            </w:r>
            <w:r>
              <w:rPr>
                <w:rFonts w:ascii="Times New Roman" w:cs="Times New Roman" w:eastAsia="Times New Roman" w:hAnsi="Times New Roman"/>
                <w:sz w:val="18"/>
                <w:szCs w:val="18"/>
              </w:rPr>
              <w:t xml:space="preserve">Bebidas y productos envasados.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33525" cy="2047875"/>
                          </a:xfrm>
                          <a:prstGeom prst="rect">
                            <a:avLst/>
                          </a:prstGeom>
                        </pic:spPr>
                      </pic:pic>
                    </a:graphicData>
                  </a:graphic>
                </wp:inline>
              </w:drawing>
            </w:r>
          </w:p>
        </w:tc>
      </w:tr>
      <w:tr>
        <w:trPr>
          <w:cantSplit/>
        </w:trPr>
        <w:tc>
          <w:tcPr>
            <w:tcW w:type="dxa" w:w="1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1.6.4 Agua</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w:t>
            </w:r>
          </w:p>
        </w:tc>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Las cajas de cartón y los empaques se dañan con el agua de los rociadores, aunque muchos productos (bebidas, enlatados, envases plásticos) la resisten. La destructibilidad por agua se considera media, con coeficiente de 5.</w:t>
            </w:r>
          </w:p>
        </w:tc>
        <w:tc>
          <w:tcPr>
            <w:tcW w:type="dxa" w:w="29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18. </w:t>
            </w:r>
            <w:r>
              <w:rPr>
                <w:rFonts w:ascii="Times New Roman" w:cs="Times New Roman" w:eastAsia="Times New Roman" w:hAnsi="Times New Roman"/>
                <w:sz w:val="18"/>
                <w:szCs w:val="18"/>
              </w:rPr>
              <w:t xml:space="preserve">Cajas de cartón sobre estibas.</w:t>
            </w:r>
          </w:p>
          <w:p>
            <w:pPr>
              <w:jc w:val="center"/>
            </w:pPr>
            <w:r>
              <w:drawing>
                <wp:inline distT="0" distB="0" distL="0" distR="0">
                  <wp:extent cx="15335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33525" cy="2047875"/>
                          </a:xfrm>
                          <a:prstGeom prst="rect">
                            <a:avLst/>
                          </a:prstGeom>
                        </pic:spPr>
                      </pic:pic>
                    </a:graphicData>
                  </a:graphic>
                </wp:inline>
              </w:drawing>
            </w:r>
          </w:p>
        </w:tc>
      </w:tr>
      <w:tr>
        <w:tc>
          <w:tcPr>
            <w:tcW w:type="dxa" w:w="1800"/>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left"/>
            </w:pPr>
            <w:r>
              <w:rPr>
                <w:rFonts w:ascii="Times New Roman" w:cs="Times New Roman" w:eastAsia="Times New Roman" w:hAnsi="Times New Roman"/>
                <w:b/>
                <w:bCs/>
                <w:sz w:val="20"/>
                <w:szCs w:val="20"/>
              </w:rPr>
              <w:t xml:space="preserve">TOTAL X</w:t>
            </w:r>
          </w:p>
        </w:tc>
        <w:tc>
          <w:tcPr>
            <w:tcW w:type="dxa" w:w="1400"/>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53</w:t>
            </w:r>
          </w:p>
        </w:tc>
        <w:tc>
          <w:tcPr>
            <w:tcW w:type="dxa" w:w="6160"/>
            <w:gridSpan w:val="2"/>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Puntuación sobre un máximo de 129 puntos.</w:t>
            </w:r>
          </w:p>
        </w:tc>
      </w:tr>
    </w:tbl>
    <w:p>
      <w:pPr>
        <w:pageBreakBefore/>
      </w:pPr>
      <w:r>
        <w:rPr>
          <w:rFonts w:ascii="Times New Roman" w:cs="Times New Roman" w:eastAsia="Times New Roman" w:hAnsi="Times New Roman"/>
          <w:b/>
          <w:bCs/>
          <w:sz w:val="24"/>
          <w:szCs w:val="24"/>
        </w:rPr>
        <w:t xml:space="preserve">Tabla 2.</w:t>
      </w:r>
    </w:p>
    <w:p>
      <w:pPr>
        <w:spacing w:after="120"/>
      </w:pPr>
      <w:r>
        <w:rPr>
          <w:rFonts w:ascii="Times New Roman" w:cs="Times New Roman" w:eastAsia="Times New Roman" w:hAnsi="Times New Roman"/>
          <w:i/>
          <w:iCs/>
          <w:sz w:val="24"/>
          <w:szCs w:val="24"/>
        </w:rPr>
        <w:t xml:space="preserve">Factores de Protección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400"/>
        <w:gridCol w:w="2410"/>
        <w:gridCol w:w="2100"/>
        <w:gridCol w:w="2100"/>
      </w:tblGrid>
      <w:tr>
        <w:trPr>
          <w:tblHeader/>
        </w:trPr>
        <w:tc>
          <w:tcPr>
            <w:tcW w:type="dxa" w:w="9360"/>
            <w:gridSpan w:val="5"/>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30"/>
                <w:szCs w:val="30"/>
              </w:rPr>
              <w:t xml:space="preserve">FACTORES DE PROTECCIÓN</w:t>
            </w:r>
          </w:p>
        </w:tc>
      </w:tr>
      <w:tr>
        <w:trPr>
          <w:tblHeader/>
        </w:trPr>
        <w:tc>
          <w:tcPr>
            <w:tcW w:type="dxa" w:w="135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NOMBRE DEL FACTOR</w:t>
            </w:r>
          </w:p>
        </w:tc>
        <w:tc>
          <w:tcPr>
            <w:tcW w:type="dxa" w:w="14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COEFICIENTE</w:t>
            </w:r>
          </w:p>
        </w:tc>
        <w:tc>
          <w:tcPr>
            <w:tcW w:type="dxa" w:w="241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JUSTIFICACIÓN</w:t>
            </w:r>
          </w:p>
        </w:tc>
        <w:tc>
          <w:tcPr>
            <w:tcW w:type="dxa" w:w="21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IMAGEN DE REFERENCIA</w:t>
            </w:r>
          </w:p>
        </w:tc>
        <w:tc>
          <w:tcPr>
            <w:tcW w:type="dxa" w:w="21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6"/>
                <w:szCs w:val="16"/>
              </w:rPr>
              <w:t xml:space="preserve">IMAGEN REAL</w:t>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Extintores portátiles (EXT)</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2</w:t>
            </w:r>
          </w:p>
          <w:p>
            <w:pPr>
              <w:jc w:val="center"/>
            </w:pPr>
            <w:r>
              <w:rPr>
                <w:rFonts w:ascii="Times New Roman" w:cs="Times New Roman" w:eastAsia="Times New Roman" w:hAnsi="Times New Roman"/>
                <w:sz w:val="16"/>
                <w:szCs w:val="16"/>
              </w:rPr>
              <w:t xml:space="preserve">(con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Hay extintores portátiles ubicados en los muelles, la bodega y las áreas operativas, señalizados y con mantenimiento a cargo del personal del CEDI. Con vigilancia se asigna un coeficiente de 2.</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19. </w:t>
            </w:r>
            <w:r>
              <w:rPr>
                <w:rFonts w:ascii="Times New Roman" w:cs="Times New Roman" w:eastAsia="Times New Roman" w:hAnsi="Times New Roman"/>
                <w:sz w:val="18"/>
                <w:szCs w:val="18"/>
              </w:rPr>
              <w:t xml:space="preserve">Extintor multipropósito ABC. Safety Work. Obtenido de https://www.swsafety.com.co/producto/extintor-abc/</w:t>
            </w:r>
          </w:p>
          <w:p>
            <w:pPr>
              <w:jc w:val="center"/>
            </w:pPr>
            <w:r>
              <w:drawing>
                <wp:inline distT="0" distB="0" distL="0" distR="0">
                  <wp:extent cx="1190625"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90625" cy="923925"/>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20. </w:t>
            </w:r>
            <w:r>
              <w:rPr>
                <w:rFonts w:ascii="Times New Roman" w:cs="Times New Roman" w:eastAsia="Times New Roman" w:hAnsi="Times New Roman"/>
                <w:sz w:val="18"/>
                <w:szCs w:val="18"/>
              </w:rPr>
              <w:t xml:space="preserve">Extintor portátil en la zona de muelles.</w:t>
            </w:r>
          </w:p>
          <w:p>
            <w:pPr>
              <w:jc w:val="center"/>
            </w:pPr>
            <w:r>
              <w:drawing>
                <wp:inline distT="0" distB="0" distL="0" distR="0">
                  <wp:extent cx="1143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43000" cy="1524000"/>
                          </a:xfrm>
                          <a:prstGeom prst="rect">
                            <a:avLst/>
                          </a:prstGeom>
                        </pic:spPr>
                      </pic:pic>
                    </a:graphicData>
                  </a:graphic>
                </wp:inline>
              </w:drawing>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Bocas de incendio equipadas (BIE)</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4</w:t>
            </w:r>
          </w:p>
          <w:p>
            <w:pPr>
              <w:jc w:val="center"/>
            </w:pPr>
            <w:r>
              <w:rPr>
                <w:rFonts w:ascii="Times New Roman" w:cs="Times New Roman" w:eastAsia="Times New Roman" w:hAnsi="Times New Roman"/>
                <w:sz w:val="16"/>
                <w:szCs w:val="16"/>
              </w:rPr>
              <w:t xml:space="preserve">(con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Existe red de tuberías contra incendio con montantes, válvulas de control y gabinetes BIE, alimentada desde el cuarto de bombas. Con vigilancia corresponde un coeficiente de 4.</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21. </w:t>
            </w:r>
            <w:r>
              <w:rPr>
                <w:rFonts w:ascii="Times New Roman" w:cs="Times New Roman" w:eastAsia="Times New Roman" w:hAnsi="Times New Roman"/>
                <w:sz w:val="18"/>
                <w:szCs w:val="18"/>
              </w:rPr>
              <w:t xml:space="preserve">Boca de incendio equipada BIE. Presman. Obtenido de https://www.extintorespresman.es/boca-de-incendio-equipada/</w:t>
            </w:r>
          </w:p>
          <w:p>
            <w:pPr>
              <w:jc w:val="center"/>
            </w:pPr>
            <w:r>
              <w:drawing>
                <wp:inline distT="0" distB="0" distL="0" distR="0">
                  <wp:extent cx="1190625"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90625" cy="923925"/>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22. </w:t>
            </w:r>
            <w:r>
              <w:rPr>
                <w:rFonts w:ascii="Times New Roman" w:cs="Times New Roman" w:eastAsia="Times New Roman" w:hAnsi="Times New Roman"/>
                <w:sz w:val="18"/>
                <w:szCs w:val="18"/>
              </w:rPr>
              <w:t xml:space="preserve">Montantes y válvulas de la red contra incendio.</w:t>
            </w:r>
          </w:p>
          <w:p>
            <w:pPr>
              <w:jc w:val="center"/>
            </w:pPr>
            <w:r>
              <w:drawing>
                <wp:inline distT="0" distB="0" distL="0" distR="0">
                  <wp:extent cx="1143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143000" cy="1524000"/>
                          </a:xfrm>
                          <a:prstGeom prst="rect">
                            <a:avLst/>
                          </a:prstGeom>
                        </pic:spPr>
                      </pic:pic>
                    </a:graphicData>
                  </a:graphic>
                </wp:inline>
              </w:drawing>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Columnas hidrantes exteriores (CHE)</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p>
            <w:pPr>
              <w:jc w:val="center"/>
            </w:pPr>
            <w:r>
              <w:rPr>
                <w:rFonts w:ascii="Times New Roman" w:cs="Times New Roman" w:eastAsia="Times New Roman" w:hAnsi="Times New Roman"/>
                <w:sz w:val="16"/>
                <w:szCs w:val="16"/>
              </w:rPr>
              <w:t xml:space="preserve">(sin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Junto al muro exterior se observa una toma de la red contra incendio, pero no se ha confirmado que sea una columna hidrante exterior. Mientras se verifica se asigna 0.</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23. </w:t>
            </w:r>
            <w:r>
              <w:rPr>
                <w:rFonts w:ascii="Times New Roman" w:cs="Times New Roman" w:eastAsia="Times New Roman" w:hAnsi="Times New Roman"/>
                <w:sz w:val="18"/>
                <w:szCs w:val="18"/>
              </w:rPr>
              <w:t xml:space="preserve">Columnas hidrantes exteriores. Extintores Carlisa. Obtenido de https://extintorescarlisa.es/hidrantes-contra-incendios/</w:t>
            </w:r>
          </w:p>
          <w:p>
            <w:pPr>
              <w:jc w:val="center"/>
            </w:pPr>
            <w:r>
              <w:drawing>
                <wp:inline distT="0" distB="0" distL="0" distR="0">
                  <wp:extent cx="11906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90625" cy="1057275"/>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24. </w:t>
            </w:r>
            <w:r>
              <w:rPr>
                <w:rFonts w:ascii="Times New Roman" w:cs="Times New Roman" w:eastAsia="Times New Roman" w:hAnsi="Times New Roman"/>
                <w:sz w:val="18"/>
                <w:szCs w:val="18"/>
              </w:rPr>
              <w:t xml:space="preserve">Toma exterior junto al muro (por verificar).</w:t>
            </w:r>
          </w:p>
          <w:p>
            <w:pPr>
              <w:jc w:val="center"/>
            </w:pPr>
            <w:r>
              <w:drawing>
                <wp:inline distT="0" distB="0" distL="0" distR="0">
                  <wp:extent cx="1143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1524000"/>
                          </a:xfrm>
                          <a:prstGeom prst="rect">
                            <a:avLst/>
                          </a:prstGeom>
                        </pic:spPr>
                      </pic:pic>
                    </a:graphicData>
                  </a:graphic>
                </wp:inline>
              </w:drawing>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Detección automática (DET)</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4</w:t>
            </w:r>
          </w:p>
          <w:p>
            <w:pPr>
              <w:jc w:val="center"/>
            </w:pPr>
            <w:r>
              <w:rPr>
                <w:rFonts w:ascii="Times New Roman" w:cs="Times New Roman" w:eastAsia="Times New Roman" w:hAnsi="Times New Roman"/>
                <w:sz w:val="16"/>
                <w:szCs w:val="16"/>
              </w:rPr>
              <w:t xml:space="preserve">(con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Hay detectores de humo y dispositivos de alarma instalados bajo la cubierta y en las áreas operativas. Con vigilancia el coeficiente es 4.</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25. </w:t>
            </w:r>
            <w:r>
              <w:rPr>
                <w:rFonts w:ascii="Times New Roman" w:cs="Times New Roman" w:eastAsia="Times New Roman" w:hAnsi="Times New Roman"/>
                <w:sz w:val="18"/>
                <w:szCs w:val="18"/>
              </w:rPr>
              <w:t xml:space="preserve">Detección automática DET. Asepeyo. Obtenido de https://www.diba.cat/documents/467843/96195101/P1E07011GuiaDeteccion_automatica_incendios_Asepeyo.pdf</w:t>
            </w:r>
          </w:p>
          <w:p>
            <w:pPr>
              <w:jc w:val="center"/>
            </w:pPr>
            <w:r>
              <w:drawing>
                <wp:inline distT="0" distB="0" distL="0" distR="0">
                  <wp:extent cx="119062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90625" cy="657225"/>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26. </w:t>
            </w:r>
            <w:r>
              <w:rPr>
                <w:rFonts w:ascii="Times New Roman" w:cs="Times New Roman" w:eastAsia="Times New Roman" w:hAnsi="Times New Roman"/>
                <w:sz w:val="18"/>
                <w:szCs w:val="18"/>
              </w:rPr>
              <w:t xml:space="preserve">Dispositivos de detección y alarma bajo cubierta.</w:t>
            </w:r>
          </w:p>
          <w:p>
            <w:pPr>
              <w:jc w:val="center"/>
            </w:pPr>
            <w:r>
              <w:drawing>
                <wp:inline distT="0" distB="0" distL="0" distR="0">
                  <wp:extent cx="1143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43000" cy="1524000"/>
                          </a:xfrm>
                          <a:prstGeom prst="rect">
                            <a:avLst/>
                          </a:prstGeom>
                        </pic:spPr>
                      </pic:pic>
                    </a:graphicData>
                  </a:graphic>
                </wp:inline>
              </w:drawing>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Rociadores automáticos (ROC)</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8</w:t>
            </w:r>
          </w:p>
          <w:p>
            <w:pPr>
              <w:jc w:val="center"/>
            </w:pPr>
            <w:r>
              <w:rPr>
                <w:rFonts w:ascii="Times New Roman" w:cs="Times New Roman" w:eastAsia="Times New Roman" w:hAnsi="Times New Roman"/>
                <w:sz w:val="16"/>
                <w:szCs w:val="16"/>
              </w:rPr>
              <w:t xml:space="preserve">(con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Toda la nave tiene red de tuberías rojas con cabezas de rociadores automáticos bajo la cubierta, válvulas de control y cuarto de bombas. Con vigilancia se asigna un coeficiente de 8.</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27. </w:t>
            </w:r>
            <w:r>
              <w:rPr>
                <w:rFonts w:ascii="Times New Roman" w:cs="Times New Roman" w:eastAsia="Times New Roman" w:hAnsi="Times New Roman"/>
                <w:sz w:val="18"/>
                <w:szCs w:val="18"/>
              </w:rPr>
              <w:t xml:space="preserve">Rociadores automáticos ROC. Drexmin. Obtenido de https://drexmin.es/como-funciona-un-rociador-automatico/</w:t>
            </w:r>
          </w:p>
          <w:p>
            <w:pPr>
              <w:jc w:val="center"/>
            </w:pPr>
            <w:r>
              <w:drawing>
                <wp:inline distT="0" distB="0" distL="0" distR="0">
                  <wp:extent cx="1190625"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90625" cy="638175"/>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28. </w:t>
            </w:r>
            <w:r>
              <w:rPr>
                <w:rFonts w:ascii="Times New Roman" w:cs="Times New Roman" w:eastAsia="Times New Roman" w:hAnsi="Times New Roman"/>
                <w:sz w:val="18"/>
                <w:szCs w:val="18"/>
              </w:rPr>
              <w:t xml:space="preserve">Red de rociadores bajo la cubierta.</w:t>
            </w:r>
          </w:p>
          <w:p>
            <w:pPr>
              <w:jc w:val="center"/>
            </w:pPr>
            <w:r>
              <w:drawing>
                <wp:inline distT="0" distB="0" distL="0" distR="0">
                  <wp:extent cx="1190625"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90625" cy="533400"/>
                          </a:xfrm>
                          <a:prstGeom prst="rect">
                            <a:avLst/>
                          </a:prstGeom>
                        </pic:spPr>
                      </pic:pic>
                    </a:graphicData>
                  </a:graphic>
                </wp:inline>
              </w:drawing>
            </w:r>
          </w:p>
        </w:tc>
      </w:tr>
      <w:tr>
        <w:trPr>
          <w:cantSplit/>
        </w:trPr>
        <w:tc>
          <w:tcPr>
            <w:tcW w:type="dxa" w:w="135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Extinción por agentes gaseosos (IFE)</w:t>
            </w:r>
          </w:p>
        </w:tc>
        <w:tc>
          <w:tcPr>
            <w:tcW w:type="dxa" w:w="14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0</w:t>
            </w:r>
          </w:p>
          <w:p>
            <w:pPr>
              <w:jc w:val="center"/>
            </w:pPr>
            <w:r>
              <w:rPr>
                <w:rFonts w:ascii="Times New Roman" w:cs="Times New Roman" w:eastAsia="Times New Roman" w:hAnsi="Times New Roman"/>
                <w:sz w:val="16"/>
                <w:szCs w:val="16"/>
              </w:rPr>
              <w:t xml:space="preserve">(sin vigilancia)</w:t>
            </w:r>
          </w:p>
        </w:tc>
        <w:tc>
          <w:tcPr>
            <w:tcW w:type="dxa" w:w="241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No hay sistemas de extinción por agentes gaseosos en la zona de abarrotes y bodega; por el tamaño del área este sistema no aplica. Coeficiente de 0.</w:t>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29. </w:t>
            </w:r>
            <w:r>
              <w:rPr>
                <w:rFonts w:ascii="Times New Roman" w:cs="Times New Roman" w:eastAsia="Times New Roman" w:hAnsi="Times New Roman"/>
                <w:sz w:val="18"/>
                <w:szCs w:val="18"/>
              </w:rPr>
              <w:t xml:space="preserve">Extinción por agentes gaseosos (IFE). Ruva Seguridad. Obtenido de https://www.extintoresbadalona.com/noticias/tipos-de-agentes-gaseosos/index.html</w:t>
            </w:r>
          </w:p>
          <w:p>
            <w:pPr>
              <w:jc w:val="center"/>
            </w:pPr>
            <w:r>
              <w:drawing>
                <wp:inline distT="0" distB="0" distL="0" distR="0">
                  <wp:extent cx="11906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90625" cy="876300"/>
                          </a:xfrm>
                          <a:prstGeom prst="rect">
                            <a:avLst/>
                          </a:prstGeom>
                        </pic:spPr>
                      </pic:pic>
                    </a:graphicData>
                  </a:graphic>
                </wp:inline>
              </w:drawing>
            </w:r>
          </w:p>
        </w:tc>
        <w:tc>
          <w:tcPr>
            <w:tcW w:type="dxa" w:w="21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NO APLICA</w:t>
            </w:r>
          </w:p>
        </w:tc>
      </w:tr>
      <w:tr>
        <w:tc>
          <w:tcPr>
            <w:tcW w:type="dxa" w:w="1350"/>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left"/>
            </w:pPr>
            <w:r>
              <w:rPr>
                <w:rFonts w:ascii="Times New Roman" w:cs="Times New Roman" w:eastAsia="Times New Roman" w:hAnsi="Times New Roman"/>
                <w:b/>
                <w:bCs/>
                <w:sz w:val="20"/>
                <w:szCs w:val="20"/>
              </w:rPr>
              <w:t xml:space="preserve">TOTAL Y</w:t>
            </w:r>
          </w:p>
        </w:tc>
        <w:tc>
          <w:tcPr>
            <w:tcW w:type="dxa" w:w="1400"/>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2"/>
                <w:szCs w:val="22"/>
              </w:rPr>
              <w:t xml:space="preserve">18</w:t>
            </w:r>
          </w:p>
        </w:tc>
        <w:tc>
          <w:tcPr>
            <w:tcW w:type="dxa" w:w="6610"/>
            <w:gridSpan w:val="3"/>
            <w:tcBorders>
              <w:top w:val="single" w:color="000000" w:sz="6"/>
              <w:left w:val="single" w:color="000000" w:sz="6"/>
              <w:bottom w:val="single" w:color="000000" w:sz="6"/>
              <w:right w:val="single" w:color="000000" w:sz="6"/>
            </w:tcBorders>
            <w:shd w:fill="FFF2CC" w:color="auto" w:val="clear"/>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Puntuación sobre un máximo de 26 puntos.</w:t>
            </w:r>
          </w:p>
        </w:tc>
      </w:tr>
    </w:tbl>
    <w:p>
      <w:pPr>
        <w:spacing w:before="120"/>
      </w:pPr>
      <w:r>
        <w:rPr>
          <w:rFonts w:ascii="Times New Roman" w:cs="Times New Roman" w:eastAsia="Times New Roman" w:hAnsi="Times New Roman"/>
          <w:i/>
          <w:iCs/>
          <w:sz w:val="18"/>
          <w:szCs w:val="18"/>
        </w:rPr>
        <w:t xml:space="preserve">CV: con vigilancia. SV: sin vigilancia.</w:t>
      </w:r>
    </w:p>
    <w:p>
      <w:pPr>
        <w:pageBreakBefore/>
        <w:spacing w:after="0" w:before="0" w:line="480"/>
        <w:jc w:val="center"/>
      </w:pPr>
      <w:r>
        <w:rPr>
          <w:rFonts w:ascii="Times New Roman" w:cs="Times New Roman" w:eastAsia="Times New Roman" w:hAnsi="Times New Roman"/>
          <w:b/>
          <w:bCs/>
          <w:sz w:val="24"/>
          <w:szCs w:val="24"/>
        </w:rPr>
        <w:t xml:space="preserve">Coeficiente de Protección contra Incendios (P)</w:t>
      </w:r>
    </w:p>
    <w:p>
      <w:pPr>
        <w:spacing w:after="0" w:line="480"/>
        <w:ind w:firstLine="720"/>
        <w:jc w:val="both"/>
      </w:pPr>
      <w:r>
        <w:rPr>
          <w:rFonts w:ascii="Times New Roman" w:cs="Times New Roman" w:eastAsia="Times New Roman" w:hAnsi="Times New Roman"/>
          <w:sz w:val="24"/>
          <w:szCs w:val="24"/>
        </w:rPr>
        <w:t xml:space="preserve">Con los totales de las dos tablas se aplica la fórmula del Método de Meseri, donde X es la suma de los factores propios de las instalaciones, Y la suma de los factores de protección y BCI vale 1 si existe una brigada contra incendios y 0 si no existe. Como la brigada del CEDI no se ha podido confirmar, se toma BCI = 0.</w:t>
      </w:r>
    </w:p>
    <w:p>
      <w:pPr>
        <w:spacing w:line="48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tblGrid>
      <w:tr>
        <w:tc>
          <w:tcPr>
            <w:tcW w:type="dxa" w:w="20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8"/>
                <w:szCs w:val="18"/>
              </w:rPr>
              <w:t xml:space="preserve">FÓRMULA</w:t>
            </w:r>
          </w:p>
        </w:tc>
        <w:tc>
          <w:tcPr>
            <w:tcW w:type="dxa" w:w="50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4"/>
                <w:szCs w:val="24"/>
              </w:rPr>
              <w:t xml:space="preserve">P = (5X / 129) + (5Y / 26) + 1(BCI)</w:t>
            </w:r>
          </w:p>
        </w:tc>
      </w:tr>
      <w:tr>
        <w:tc>
          <w:tcPr>
            <w:tcW w:type="dxa" w:w="20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8"/>
                <w:szCs w:val="18"/>
              </w:rPr>
              <w:t xml:space="preserve">PROCEDIMIENTO</w:t>
            </w:r>
          </w:p>
        </w:tc>
        <w:tc>
          <w:tcPr>
            <w:tcW w:type="dxa" w:w="50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4"/>
                <w:szCs w:val="24"/>
              </w:rPr>
              <w:t xml:space="preserve">P = 5(53) / 129 + 5(18) / 26 + 0</w:t>
            </w:r>
          </w:p>
        </w:tc>
      </w:tr>
      <w:tr>
        <w:tc>
          <w:tcPr>
            <w:tcW w:type="dxa" w:w="20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18"/>
                <w:szCs w:val="18"/>
              </w:rPr>
              <w:t xml:space="preserve">RESPUESTA</w:t>
            </w:r>
          </w:p>
        </w:tc>
        <w:tc>
          <w:tcPr>
            <w:tcW w:type="dxa" w:w="50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6"/>
                <w:szCs w:val="26"/>
              </w:rPr>
              <w:t xml:space="preserve">P = 5,52</w:t>
            </w:r>
          </w:p>
        </w:tc>
      </w:tr>
    </w:tbl>
    <w:p>
      <w:pPr>
        <w:spacing w:line="480"/>
      </w:pPr>
    </w:p>
    <w:p>
      <w:pPr>
        <w:spacing w:after="0" w:line="480"/>
        <w:jc w:val="center"/>
      </w:pPr>
      <w:r>
        <w:rPr>
          <w:rFonts w:ascii="Times New Roman" w:cs="Times New Roman" w:eastAsia="Times New Roman" w:hAnsi="Times New Roman"/>
          <w:sz w:val="24"/>
          <w:szCs w:val="24"/>
        </w:rPr>
        <w:t xml:space="preserve">P = (5 × 53 / 129) + (5 × 18 / 26) + 0 = 2,054 + 3,462 + 0 = </w:t>
      </w:r>
      <w:r>
        <w:rPr>
          <w:rFonts w:ascii="Times New Roman" w:cs="Times New Roman" w:eastAsia="Times New Roman" w:hAnsi="Times New Roman"/>
          <w:b/>
          <w:bCs/>
          <w:sz w:val="24"/>
          <w:szCs w:val="24"/>
        </w:rPr>
        <w:t xml:space="preserve">5,52</w:t>
      </w:r>
    </w:p>
    <w:p>
      <w:pPr>
        <w:spacing w:line="480"/>
      </w:pPr>
    </w:p>
    <w:p>
      <w:pPr>
        <w:spacing w:after="0" w:line="480"/>
        <w:ind w:firstLine="720"/>
        <w:jc w:val="both"/>
      </w:pPr>
      <w:r>
        <w:rPr>
          <w:rFonts w:ascii="Times New Roman" w:cs="Times New Roman" w:eastAsia="Times New Roman" w:hAnsi="Times New Roman"/>
          <w:sz w:val="24"/>
          <w:szCs w:val="24"/>
        </w:rPr>
        <w:t xml:space="preserve">La siguiente tabla compara el resultado actual con dos escenarios de mejora que dependen de factores aún por verificar:</w:t>
      </w:r>
    </w:p>
    <w:p>
      <w:pPr>
        <w:spacing w:before="240"/>
      </w:pPr>
      <w:r>
        <w:rPr>
          <w:rFonts w:ascii="Times New Roman" w:cs="Times New Roman" w:eastAsia="Times New Roman" w:hAnsi="Times New Roman"/>
          <w:b/>
          <w:bCs/>
          <w:sz w:val="24"/>
          <w:szCs w:val="24"/>
        </w:rPr>
        <w:t xml:space="preserve">Tabla 3.</w:t>
      </w:r>
    </w:p>
    <w:p>
      <w:pPr>
        <w:spacing w:after="120"/>
      </w:pPr>
      <w:r>
        <w:rPr>
          <w:rFonts w:ascii="Times New Roman" w:cs="Times New Roman" w:eastAsia="Times New Roman" w:hAnsi="Times New Roman"/>
          <w:i/>
          <w:iCs/>
          <w:sz w:val="24"/>
          <w:szCs w:val="24"/>
        </w:rPr>
        <w:t xml:space="preserve">Escenarios del Coeficiente de Protección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700"/>
        <w:gridCol w:w="700"/>
        <w:gridCol w:w="800"/>
        <w:gridCol w:w="2600"/>
        <w:gridCol w:w="1300"/>
      </w:tblGrid>
      <w:tr>
        <w:trPr>
          <w:tblHeader/>
        </w:trPr>
        <w:tc>
          <w:tcPr>
            <w:tcW w:type="dxa" w:w="326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Escenario</w:t>
            </w:r>
          </w:p>
        </w:tc>
        <w:tc>
          <w:tcPr>
            <w:tcW w:type="dxa" w:w="7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X</w:t>
            </w:r>
          </w:p>
        </w:tc>
        <w:tc>
          <w:tcPr>
            <w:tcW w:type="dxa" w:w="7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Y</w:t>
            </w:r>
          </w:p>
        </w:tc>
        <w:tc>
          <w:tcPr>
            <w:tcW w:type="dxa" w:w="8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BCI</w:t>
            </w:r>
          </w:p>
        </w:tc>
        <w:tc>
          <w:tcPr>
            <w:tcW w:type="dxa" w:w="26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Procedimiento</w:t>
            </w:r>
          </w:p>
        </w:tc>
        <w:tc>
          <w:tcPr>
            <w:tcW w:type="dxa" w:w="1300"/>
            <w:tcBorders>
              <w:top w:val="single" w:color="000000" w:sz="6"/>
              <w:left w:val="single" w:color="000000" w:sz="6"/>
              <w:bottom w:val="single" w:color="000000" w:sz="6"/>
              <w:right w:val="single" w:color="000000" w:sz="6"/>
            </w:tcBorders>
            <w:shd w:fill="D9D9D9" w:color="auto" w:val="clear"/>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P</w:t>
            </w:r>
          </w:p>
        </w:tc>
      </w:tr>
      <w:tr>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Base comprobada (EXT, BIE, DET, ROC)</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53</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18</w:t>
            </w:r>
          </w:p>
        </w:tc>
        <w:tc>
          <w:tcPr>
            <w:tcW w:type="dxa" w:w="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0</w:t>
            </w:r>
          </w:p>
        </w:tc>
        <w:tc>
          <w:tcPr>
            <w:tcW w:type="dxa" w:w="26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5(53)/129 + 5(18)/26 + 0</w:t>
            </w:r>
          </w:p>
        </w:tc>
        <w:tc>
          <w:tcPr>
            <w:tcW w:type="dxa" w:w="13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5,52</w:t>
            </w:r>
          </w:p>
        </w:tc>
      </w:tr>
      <w:tr>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Con brigada contra incendios certificada</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53</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18</w:t>
            </w:r>
          </w:p>
        </w:tc>
        <w:tc>
          <w:tcPr>
            <w:tcW w:type="dxa" w:w="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1</w:t>
            </w:r>
          </w:p>
        </w:tc>
        <w:tc>
          <w:tcPr>
            <w:tcW w:type="dxa" w:w="26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5(53)/129 + 5(18)/26 + 1</w:t>
            </w:r>
          </w:p>
        </w:tc>
        <w:tc>
          <w:tcPr>
            <w:tcW w:type="dxa" w:w="13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6,52</w:t>
            </w:r>
          </w:p>
        </w:tc>
      </w:tr>
      <w:tr>
        <w:tc>
          <w:tcPr>
            <w:tcW w:type="dxa" w:w="326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left"/>
            </w:pPr>
            <w:r>
              <w:rPr>
                <w:rFonts w:ascii="Times New Roman" w:cs="Times New Roman" w:eastAsia="Times New Roman" w:hAnsi="Times New Roman"/>
                <w:sz w:val="20"/>
                <w:szCs w:val="20"/>
              </w:rPr>
              <w:t xml:space="preserve">Con hidrantes exteriores y brigada verificados</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53</w:t>
            </w:r>
          </w:p>
        </w:tc>
        <w:tc>
          <w:tcPr>
            <w:tcW w:type="dxa" w:w="7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22</w:t>
            </w:r>
          </w:p>
        </w:tc>
        <w:tc>
          <w:tcPr>
            <w:tcW w:type="dxa" w:w="8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1</w:t>
            </w:r>
          </w:p>
        </w:tc>
        <w:tc>
          <w:tcPr>
            <w:tcW w:type="dxa" w:w="26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sz w:val="20"/>
                <w:szCs w:val="20"/>
              </w:rPr>
              <w:t xml:space="preserve">5(53)/129 + 5(22)/26 + 1</w:t>
            </w:r>
          </w:p>
        </w:tc>
        <w:tc>
          <w:tcPr>
            <w:tcW w:type="dxa" w:w="1300"/>
            <w:tcBorders>
              <w:top w:val="single" w:color="000000" w:sz="6"/>
              <w:left w:val="single" w:color="000000" w:sz="6"/>
              <w:bottom w:val="single" w:color="000000" w:sz="6"/>
              <w:right w:val="single" w:color="000000" w:sz="6"/>
            </w:tcBorders>
            <w:tcMar>
              <w:top w:type="dxa" w:w="70"/>
              <w:left w:type="dxa" w:w="90"/>
              <w:bottom w:type="dxa" w:w="70"/>
              <w:right w:type="dxa" w:w="90"/>
            </w:tcMar>
            <w:vAlign w:val="center"/>
          </w:tcPr>
          <w:p>
            <w:pPr>
              <w:jc w:val="center"/>
            </w:pPr>
            <w:r>
              <w:rPr>
                <w:rFonts w:ascii="Times New Roman" w:cs="Times New Roman" w:eastAsia="Times New Roman" w:hAnsi="Times New Roman"/>
                <w:b/>
                <w:bCs/>
                <w:sz w:val="20"/>
                <w:szCs w:val="20"/>
              </w:rPr>
              <w:t xml:space="preserve">7,29</w:t>
            </w:r>
          </w:p>
        </w:tc>
      </w:tr>
    </w:tbl>
    <w:p>
      <w:pPr>
        <w:pageBreakBefore/>
        <w:spacing w:after="0" w:before="0" w:line="480"/>
        <w:jc w:val="center"/>
      </w:pPr>
      <w:r>
        <w:rPr>
          <w:rFonts w:ascii="Times New Roman" w:cs="Times New Roman" w:eastAsia="Times New Roman" w:hAnsi="Times New Roman"/>
          <w:b/>
          <w:bCs/>
          <w:sz w:val="24"/>
          <w:szCs w:val="24"/>
        </w:rPr>
        <w:t xml:space="preserve">Conclusión</w:t>
      </w:r>
    </w:p>
    <w:p>
      <w:pPr>
        <w:spacing w:after="0" w:line="480"/>
        <w:ind w:firstLine="720"/>
        <w:jc w:val="both"/>
      </w:pPr>
      <w:r>
        <w:rPr>
          <w:rFonts w:ascii="Times New Roman" w:cs="Times New Roman" w:eastAsia="Times New Roman" w:hAnsi="Times New Roman"/>
          <w:sz w:val="24"/>
          <w:szCs w:val="24"/>
        </w:rPr>
        <w:t xml:space="preserve">Este trabajo aplicó el Método de Meseri para evaluar el riesgo de incendio del CEDI D1 de Lebrija. Con base en la inspección fotográfica se calificaron los factores propios de las instalaciones, que sumaron X = 53 de 129 puntos, y los factores de protección, que sumaron Y = 18 de 26 puntos. Al aplicar la fórmula se obtuvo un coeficiente de protección P = 5,52.</w:t>
      </w:r>
    </w:p>
    <w:p>
      <w:pPr>
        <w:spacing w:after="0" w:line="480"/>
        <w:ind w:firstLine="720"/>
        <w:jc w:val="both"/>
      </w:pPr>
      <w:r>
        <w:rPr>
          <w:rFonts w:ascii="Times New Roman" w:cs="Times New Roman" w:eastAsia="Times New Roman" w:hAnsi="Times New Roman"/>
          <w:sz w:val="24"/>
          <w:szCs w:val="24"/>
        </w:rPr>
        <w:t xml:space="preserve">Según la escala del Método de Meseri de la Fundación MAPFRE, el riesgo se califica así:</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Menor de 3: </w:t>
      </w:r>
      <w:r>
        <w:rPr>
          <w:rFonts w:ascii="Times New Roman" w:cs="Times New Roman" w:eastAsia="Times New Roman" w:hAnsi="Times New Roman"/>
          <w:sz w:val="24"/>
          <w:szCs w:val="24"/>
        </w:rPr>
        <w:t xml:space="preserve">muy malo.</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De 3 a 5: </w:t>
      </w:r>
      <w:r>
        <w:rPr>
          <w:rFonts w:ascii="Times New Roman" w:cs="Times New Roman" w:eastAsia="Times New Roman" w:hAnsi="Times New Roman"/>
          <w:sz w:val="24"/>
          <w:szCs w:val="24"/>
        </w:rPr>
        <w:t xml:space="preserve">malo.</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De 5 a 8: </w:t>
      </w:r>
      <w:r>
        <w:rPr>
          <w:rFonts w:ascii="Times New Roman" w:cs="Times New Roman" w:eastAsia="Times New Roman" w:hAnsi="Times New Roman"/>
          <w:sz w:val="24"/>
          <w:szCs w:val="24"/>
        </w:rPr>
        <w:t xml:space="preserve">bueno.</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Mayor de 8: </w:t>
      </w:r>
      <w:r>
        <w:rPr>
          <w:rFonts w:ascii="Times New Roman" w:cs="Times New Roman" w:eastAsia="Times New Roman" w:hAnsi="Times New Roman"/>
          <w:sz w:val="24"/>
          <w:szCs w:val="24"/>
        </w:rPr>
        <w:t xml:space="preserve">muy bueno.</w:t>
      </w:r>
    </w:p>
    <w:p>
      <w:pPr>
        <w:spacing w:after="0" w:line="480"/>
        <w:ind w:firstLine="720"/>
        <w:jc w:val="both"/>
      </w:pPr>
      <w:r>
        <w:rPr>
          <w:rFonts w:ascii="Times New Roman" w:cs="Times New Roman" w:eastAsia="Times New Roman" w:hAnsi="Times New Roman"/>
          <w:sz w:val="24"/>
          <w:szCs w:val="24"/>
        </w:rPr>
        <w:t xml:space="preserve">Por lo tanto, la puntuación de </w:t>
      </w:r>
      <w:r>
        <w:rPr>
          <w:rFonts w:ascii="Times New Roman" w:cs="Times New Roman" w:eastAsia="Times New Roman" w:hAnsi="Times New Roman"/>
          <w:b/>
          <w:bCs/>
          <w:sz w:val="24"/>
          <w:szCs w:val="24"/>
        </w:rPr>
        <w:t xml:space="preserve">5,52</w:t>
      </w:r>
      <w:r>
        <w:rPr>
          <w:rFonts w:ascii="Times New Roman" w:cs="Times New Roman" w:eastAsia="Times New Roman" w:hAnsi="Times New Roman"/>
          <w:sz w:val="24"/>
          <w:szCs w:val="24"/>
        </w:rPr>
        <w:t xml:space="preserve"> clasifica el riesgo global del CEDI como </w:t>
      </w:r>
      <w:r>
        <w:rPr>
          <w:rFonts w:ascii="Times New Roman" w:cs="Times New Roman" w:eastAsia="Times New Roman" w:hAnsi="Times New Roman"/>
          <w:b/>
          <w:bCs/>
          <w:sz w:val="24"/>
          <w:szCs w:val="24"/>
        </w:rPr>
        <w:t xml:space="preserve">bueno</w:t>
      </w:r>
      <w:r>
        <w:rPr>
          <w:rFonts w:ascii="Times New Roman" w:cs="Times New Roman" w:eastAsia="Times New Roman" w:hAnsi="Times New Roman"/>
          <w:sz w:val="24"/>
          <w:szCs w:val="24"/>
        </w:rPr>
        <w:t xml:space="preserve"> y supera el valor mínimo aceptable de 5.</w:t>
      </w:r>
    </w:p>
    <w:p>
      <w:pPr>
        <w:spacing w:after="0" w:line="480"/>
        <w:ind w:firstLine="720"/>
        <w:jc w:val="both"/>
      </w:pPr>
      <w:r>
        <w:rPr>
          <w:rFonts w:ascii="Times New Roman" w:cs="Times New Roman" w:eastAsia="Times New Roman" w:hAnsi="Times New Roman"/>
          <w:sz w:val="24"/>
          <w:szCs w:val="24"/>
        </w:rPr>
        <w:t xml:space="preserve">Las instalaciones por sí solas son desfavorables: el CEDI es un único sector de más de 4.500 m² sin muros cortafuego, almacena mercancía en racks de más de 6 m que facilitan la propagación vertical, tiene una carga térmica alta y sus productos alimenticios se dañan con facilidad por el calor y el humo. Lo que eleva el resultado son los sistemas de protección, sobre todo los rociadores automáticos (8 puntos), la detección automática (4 puntos) y la red de BIE (4 puntos), que compensan en buena medida esa vulnerabilidad.</w:t>
      </w:r>
    </w:p>
    <w:p>
      <w:pPr>
        <w:spacing w:after="0" w:line="480"/>
        <w:ind w:firstLine="720"/>
        <w:jc w:val="both"/>
      </w:pPr>
      <w:r>
        <w:rPr>
          <w:rFonts w:ascii="Times New Roman" w:cs="Times New Roman" w:eastAsia="Times New Roman" w:hAnsi="Times New Roman"/>
          <w:sz w:val="24"/>
          <w:szCs w:val="24"/>
        </w:rPr>
        <w:t xml:space="preserve">Para mantener y mejorar este nivel de protección se recomienda:</w:t>
      </w:r>
    </w:p>
    <w:p>
      <w:pPr>
        <w:pStyle w:val="ListParagraph"/>
        <w:numPr>
          <w:ilvl w:val="0"/>
          <w:numId w:val="2"/>
        </w:numPr>
        <w:spacing w:after="0" w:line="480"/>
        <w:jc w:val="both"/>
      </w:pPr>
      <w:r>
        <w:rPr>
          <w:rFonts w:ascii="Times New Roman" w:cs="Times New Roman" w:eastAsia="Times New Roman" w:hAnsi="Times New Roman"/>
          <w:sz w:val="24"/>
          <w:szCs w:val="24"/>
        </w:rPr>
        <w:t xml:space="preserve">Mantener el programa de inspección, prueba y mantenimiento periódico de la red de rociadores, el cuarto de bombas y las válvulas de control.</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Conformar o certificar formalmente la brigada contra incendios, lo que suma 1 punto (BCI = 1) y eleva el coeficiente a 6,52.</w:t>
      </w:r>
    </w:p>
    <w:p>
      <w:pPr>
        <w:pStyle w:val="ListParagraph"/>
        <w:numPr>
          <w:ilvl w:val="0"/>
          <w:numId w:val="2"/>
        </w:numPr>
        <w:spacing w:after="0" w:line="480"/>
        <w:jc w:val="both"/>
      </w:pPr>
      <w:r>
        <w:rPr>
          <w:rFonts w:ascii="Times New Roman" w:cs="Times New Roman" w:eastAsia="Times New Roman" w:hAnsi="Times New Roman"/>
          <w:sz w:val="24"/>
          <w:szCs w:val="24"/>
        </w:rPr>
        <w:t xml:space="preserve">Verificar si la toma exterior observada junto al muro corresponde a un hidrante; de confirmarse, el factor CHE sumaría puntos adicionales.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Evaluar la sectorización física con muros cortafuego en futuras ampliaciones y controlar la acumulación de estibas de madera en las zonas de servicio.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Capacitar al personal en el uso de extintores y en los procedimientos de evacuación.</w:t>
      </w:r>
    </w:p>
    <w:p>
      <w:pPr>
        <w:spacing w:after="0" w:line="480"/>
        <w:ind w:firstLine="720"/>
        <w:jc w:val="both"/>
      </w:pPr>
      <w:r>
        <w:rPr>
          <w:rFonts w:ascii="Times New Roman" w:cs="Times New Roman" w:eastAsia="Times New Roman" w:hAnsi="Times New Roman"/>
          <w:sz w:val="24"/>
          <w:szCs w:val="24"/>
        </w:rPr>
        <w:t xml:space="preserve">En resumen, la aplicación del Método de Meseri permitió identificar tanto las debilidades propias de un centro de distribución de gran tamaño como el aporte de sus sistemas de protección. El ejercicio muestra la importancia de mantener estos sistemas en buen estado, ya que de ellos depende que el riesgo se mantenga en un nivel aceptable para los trabajadores, la mercancía y la continuidad de la operación.</w:t>
      </w:r>
    </w:p>
    <w:p>
      <w:pPr>
        <w:pageBreakBefore/>
        <w:spacing w:after="0" w:before="0" w:line="480"/>
        <w:jc w:val="center"/>
      </w:pPr>
      <w:r>
        <w:rPr>
          <w:rFonts w:ascii="Times New Roman" w:cs="Times New Roman" w:eastAsia="Times New Roman" w:hAnsi="Times New Roman"/>
          <w:b/>
          <w:bCs/>
          <w:sz w:val="24"/>
          <w:szCs w:val="24"/>
        </w:rPr>
        <w:t xml:space="preserve">Referencias</w:t>
      </w:r>
    </w:p>
    <w:p>
      <w:pPr>
        <w:spacing w:after="0" w:line="480"/>
        <w:ind w:left="720" w:hanging="720"/>
      </w:pPr>
      <w:r>
        <w:rPr>
          <w:rFonts w:ascii="Times New Roman" w:cs="Times New Roman" w:eastAsia="Times New Roman" w:hAnsi="Times New Roman"/>
          <w:sz w:val="24"/>
          <w:szCs w:val="24"/>
        </w:rPr>
        <w:t xml:space="preserve">Cuerpo de Bomberos Voluntarios de Lebrija. (s. f.). </w:t>
      </w:r>
      <w:r>
        <w:rPr>
          <w:rFonts w:ascii="Times New Roman" w:cs="Times New Roman" w:eastAsia="Times New Roman" w:hAnsi="Times New Roman"/>
          <w:i/>
          <w:iCs/>
          <w:sz w:val="24"/>
          <w:szCs w:val="24"/>
        </w:rPr>
        <w:t xml:space="preserve">Atención de emergencias</w:t>
      </w:r>
      <w:r>
        <w:rPr>
          <w:rFonts w:ascii="Times New Roman" w:cs="Times New Roman" w:eastAsia="Times New Roman" w:hAnsi="Times New Roman"/>
          <w:sz w:val="24"/>
          <w:szCs w:val="24"/>
        </w:rPr>
        <w:t xml:space="preserve">. Lebrija, Santander.</w:t>
      </w:r>
    </w:p>
    <w:p>
      <w:pPr>
        <w:spacing w:after="0" w:line="480"/>
        <w:ind w:left="720" w:hanging="720"/>
      </w:pPr>
      <w:r>
        <w:rPr>
          <w:rFonts w:ascii="Times New Roman" w:cs="Times New Roman" w:eastAsia="Times New Roman" w:hAnsi="Times New Roman"/>
          <w:sz w:val="24"/>
          <w:szCs w:val="24"/>
        </w:rPr>
        <w:t xml:space="preserve">Drexmin. (s. f.). </w:t>
      </w:r>
      <w:r>
        <w:rPr>
          <w:rFonts w:ascii="Times New Roman" w:cs="Times New Roman" w:eastAsia="Times New Roman" w:hAnsi="Times New Roman"/>
          <w:i/>
          <w:iCs/>
          <w:sz w:val="24"/>
          <w:szCs w:val="24"/>
        </w:rPr>
        <w:t xml:space="preserve">Cómo funciona un rociador automático</w:t>
      </w:r>
      <w:r>
        <w:rPr>
          <w:rFonts w:ascii="Times New Roman" w:cs="Times New Roman" w:eastAsia="Times New Roman" w:hAnsi="Times New Roman"/>
          <w:sz w:val="24"/>
          <w:szCs w:val="24"/>
        </w:rPr>
        <w:t xml:space="preserve">. https://drexmin.es/como-funciona-un-rociador-automatico/</w:t>
      </w:r>
    </w:p>
    <w:p>
      <w:pPr>
        <w:spacing w:after="0" w:line="480"/>
        <w:ind w:left="720" w:hanging="720"/>
      </w:pPr>
      <w:r>
        <w:rPr>
          <w:rFonts w:ascii="Times New Roman" w:cs="Times New Roman" w:eastAsia="Times New Roman" w:hAnsi="Times New Roman"/>
          <w:sz w:val="24"/>
          <w:szCs w:val="24"/>
        </w:rPr>
        <w:t xml:space="preserve">Extintores Carlisa. (s. f.). </w:t>
      </w:r>
      <w:r>
        <w:rPr>
          <w:rFonts w:ascii="Times New Roman" w:cs="Times New Roman" w:eastAsia="Times New Roman" w:hAnsi="Times New Roman"/>
          <w:i/>
          <w:iCs/>
          <w:sz w:val="24"/>
          <w:szCs w:val="24"/>
        </w:rPr>
        <w:t xml:space="preserve">Hidrantes contra incendios</w:t>
      </w:r>
      <w:r>
        <w:rPr>
          <w:rFonts w:ascii="Times New Roman" w:cs="Times New Roman" w:eastAsia="Times New Roman" w:hAnsi="Times New Roman"/>
          <w:sz w:val="24"/>
          <w:szCs w:val="24"/>
        </w:rPr>
        <w:t xml:space="preserve">. https://extintorescarlisa.es/hidrantes-contra-incendios/</w:t>
      </w:r>
    </w:p>
    <w:p>
      <w:pPr>
        <w:spacing w:after="0" w:line="480"/>
        <w:ind w:left="720" w:hanging="720"/>
      </w:pPr>
      <w:r>
        <w:rPr>
          <w:rFonts w:ascii="Times New Roman" w:cs="Times New Roman" w:eastAsia="Times New Roman" w:hAnsi="Times New Roman"/>
          <w:sz w:val="24"/>
          <w:szCs w:val="24"/>
        </w:rPr>
        <w:t xml:space="preserve">Extintores Presman. (s. f.). </w:t>
      </w:r>
      <w:r>
        <w:rPr>
          <w:rFonts w:ascii="Times New Roman" w:cs="Times New Roman" w:eastAsia="Times New Roman" w:hAnsi="Times New Roman"/>
          <w:i/>
          <w:iCs/>
          <w:sz w:val="24"/>
          <w:szCs w:val="24"/>
        </w:rPr>
        <w:t xml:space="preserve">Boca de incendio equipada</w:t>
      </w:r>
      <w:r>
        <w:rPr>
          <w:rFonts w:ascii="Times New Roman" w:cs="Times New Roman" w:eastAsia="Times New Roman" w:hAnsi="Times New Roman"/>
          <w:sz w:val="24"/>
          <w:szCs w:val="24"/>
        </w:rPr>
        <w:t xml:space="preserve">. https://www.extintorespresman.es/boca-de-incendio-equipada/</w:t>
      </w:r>
    </w:p>
    <w:p>
      <w:pPr>
        <w:spacing w:after="0" w:line="480"/>
        <w:ind w:left="720" w:hanging="720"/>
      </w:pPr>
      <w:r>
        <w:rPr>
          <w:rFonts w:ascii="Times New Roman" w:cs="Times New Roman" w:eastAsia="Times New Roman" w:hAnsi="Times New Roman"/>
          <w:sz w:val="24"/>
          <w:szCs w:val="24"/>
        </w:rPr>
        <w:t xml:space="preserve">Fondo Inmobiliario Colombia. (s. f.). </w:t>
      </w:r>
      <w:r>
        <w:rPr>
          <w:rFonts w:ascii="Times New Roman" w:cs="Times New Roman" w:eastAsia="Times New Roman" w:hAnsi="Times New Roman"/>
          <w:i/>
          <w:iCs/>
          <w:sz w:val="24"/>
          <w:szCs w:val="24"/>
        </w:rPr>
        <w:t xml:space="preserve">Ficha CEDI Bucaramanga / Lebrija</w:t>
      </w:r>
      <w:r>
        <w:rPr>
          <w:rFonts w:ascii="Times New Roman" w:cs="Times New Roman" w:eastAsia="Times New Roman" w:hAnsi="Times New Roman"/>
          <w:sz w:val="24"/>
          <w:szCs w:val="24"/>
        </w:rPr>
        <w:t xml:space="preserve">.</w:t>
      </w:r>
    </w:p>
    <w:p>
      <w:pPr>
        <w:spacing w:after="0" w:line="480"/>
        <w:ind w:left="720" w:hanging="720"/>
      </w:pPr>
      <w:r>
        <w:rPr>
          <w:rFonts w:ascii="Times New Roman" w:cs="Times New Roman" w:eastAsia="Times New Roman" w:hAnsi="Times New Roman"/>
          <w:sz w:val="24"/>
          <w:szCs w:val="24"/>
        </w:rPr>
        <w:t xml:space="preserve">Fundación MAPFRE. (s. f.). </w:t>
      </w:r>
      <w:r>
        <w:rPr>
          <w:rFonts w:ascii="Times New Roman" w:cs="Times New Roman" w:eastAsia="Times New Roman" w:hAnsi="Times New Roman"/>
          <w:i/>
          <w:iCs/>
          <w:sz w:val="24"/>
          <w:szCs w:val="24"/>
        </w:rPr>
        <w:t xml:space="preserve">Método simplificado de evaluación del riesgo de incendio: MESERI</w:t>
      </w:r>
      <w:r>
        <w:rPr>
          <w:rFonts w:ascii="Times New Roman" w:cs="Times New Roman" w:eastAsia="Times New Roman" w:hAnsi="Times New Roman"/>
          <w:sz w:val="24"/>
          <w:szCs w:val="24"/>
        </w:rPr>
        <w:t xml:space="preserve">. Fundación MAPFRE.</w:t>
      </w:r>
    </w:p>
    <w:p>
      <w:pPr>
        <w:spacing w:after="0" w:line="480"/>
        <w:ind w:left="720" w:hanging="720"/>
      </w:pPr>
      <w:r>
        <w:rPr>
          <w:rFonts w:ascii="Times New Roman" w:cs="Times New Roman" w:eastAsia="Times New Roman" w:hAnsi="Times New Roman"/>
          <w:sz w:val="24"/>
          <w:szCs w:val="24"/>
        </w:rPr>
        <w:t xml:space="preserve">Koba Colombia S.A.S. (s. f.). </w:t>
      </w:r>
      <w:r>
        <w:rPr>
          <w:rFonts w:ascii="Times New Roman" w:cs="Times New Roman" w:eastAsia="Times New Roman" w:hAnsi="Times New Roman"/>
          <w:i/>
          <w:iCs/>
          <w:sz w:val="24"/>
          <w:szCs w:val="24"/>
        </w:rPr>
        <w:t xml:space="preserve">Tiendas D1</w:t>
      </w:r>
      <w:r>
        <w:rPr>
          <w:rFonts w:ascii="Times New Roman" w:cs="Times New Roman" w:eastAsia="Times New Roman" w:hAnsi="Times New Roman"/>
          <w:sz w:val="24"/>
          <w:szCs w:val="24"/>
        </w:rPr>
        <w:t xml:space="preserve">.</w:t>
      </w:r>
    </w:p>
    <w:p>
      <w:pPr>
        <w:spacing w:after="0" w:line="480"/>
        <w:ind w:left="720" w:hanging="720"/>
      </w:pPr>
      <w:r>
        <w:rPr>
          <w:rFonts w:ascii="Times New Roman" w:cs="Times New Roman" w:eastAsia="Times New Roman" w:hAnsi="Times New Roman"/>
          <w:sz w:val="24"/>
          <w:szCs w:val="24"/>
        </w:rPr>
        <w:t xml:space="preserve">Asepeyo. (s. f.). </w:t>
      </w:r>
      <w:r>
        <w:rPr>
          <w:rFonts w:ascii="Times New Roman" w:cs="Times New Roman" w:eastAsia="Times New Roman" w:hAnsi="Times New Roman"/>
          <w:i/>
          <w:iCs/>
          <w:sz w:val="24"/>
          <w:szCs w:val="24"/>
        </w:rPr>
        <w:t xml:space="preserve">Guía de detección automática de incendios</w:t>
      </w:r>
      <w:r>
        <w:rPr>
          <w:rFonts w:ascii="Times New Roman" w:cs="Times New Roman" w:eastAsia="Times New Roman" w:hAnsi="Times New Roman"/>
          <w:sz w:val="24"/>
          <w:szCs w:val="24"/>
        </w:rPr>
        <w:t xml:space="preserve">. https://www.diba.cat/documents/467843/96195101/P1E07011GuiaDeteccion_automatica_incendios_Asepeyo.pdf</w:t>
      </w:r>
    </w:p>
    <w:p>
      <w:pPr>
        <w:spacing w:after="0" w:line="480"/>
        <w:ind w:left="720" w:hanging="720"/>
      </w:pPr>
      <w:r>
        <w:rPr>
          <w:rFonts w:ascii="Times New Roman" w:cs="Times New Roman" w:eastAsia="Times New Roman" w:hAnsi="Times New Roman"/>
          <w:sz w:val="24"/>
          <w:szCs w:val="24"/>
        </w:rPr>
        <w:t xml:space="preserve">Ruva Seguridad. (s. f.). </w:t>
      </w:r>
      <w:r>
        <w:rPr>
          <w:rFonts w:ascii="Times New Roman" w:cs="Times New Roman" w:eastAsia="Times New Roman" w:hAnsi="Times New Roman"/>
          <w:i/>
          <w:iCs/>
          <w:sz w:val="24"/>
          <w:szCs w:val="24"/>
        </w:rPr>
        <w:t xml:space="preserve">Tipos de agentes gaseosos</w:t>
      </w:r>
      <w:r>
        <w:rPr>
          <w:rFonts w:ascii="Times New Roman" w:cs="Times New Roman" w:eastAsia="Times New Roman" w:hAnsi="Times New Roman"/>
          <w:sz w:val="24"/>
          <w:szCs w:val="24"/>
        </w:rPr>
        <w:t xml:space="preserve">. https://www.extintoresbadalona.com/noticias/tipos-de-agentes-gaseosos/index.html</w:t>
      </w:r>
    </w:p>
    <w:p>
      <w:pPr>
        <w:spacing w:after="0" w:line="480"/>
        <w:ind w:left="720" w:hanging="720"/>
      </w:pPr>
      <w:r>
        <w:rPr>
          <w:rFonts w:ascii="Times New Roman" w:cs="Times New Roman" w:eastAsia="Times New Roman" w:hAnsi="Times New Roman"/>
          <w:sz w:val="24"/>
          <w:szCs w:val="24"/>
        </w:rPr>
        <w:t xml:space="preserve">Safety Work. (s. f.). </w:t>
      </w:r>
      <w:r>
        <w:rPr>
          <w:rFonts w:ascii="Times New Roman" w:cs="Times New Roman" w:eastAsia="Times New Roman" w:hAnsi="Times New Roman"/>
          <w:i/>
          <w:iCs/>
          <w:sz w:val="24"/>
          <w:szCs w:val="24"/>
        </w:rPr>
        <w:t xml:space="preserve">Extintor ABC</w:t>
      </w:r>
      <w:r>
        <w:rPr>
          <w:rFonts w:ascii="Times New Roman" w:cs="Times New Roman" w:eastAsia="Times New Roman" w:hAnsi="Times New Roman"/>
          <w:sz w:val="24"/>
          <w:szCs w:val="24"/>
        </w:rPr>
        <w:t xml:space="preserve">. https://www.swsafety.com.co/producto/extintor-abc/</w:t>
      </w:r>
    </w:p>
    <w:p>
      <w:pPr>
        <w:pageBreakBefore/>
        <w:spacing w:after="0" w:before="0" w:line="480"/>
        <w:jc w:val="center"/>
      </w:pPr>
      <w:r>
        <w:rPr>
          <w:rFonts w:ascii="Times New Roman" w:cs="Times New Roman" w:eastAsia="Times New Roman" w:hAnsi="Times New Roman"/>
          <w:b/>
          <w:bCs/>
          <w:sz w:val="24"/>
          <w:szCs w:val="24"/>
        </w:rPr>
        <w:t xml:space="preserve">Anexo. Registro Fotográfico Complementario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30. </w:t>
            </w:r>
            <w:r>
              <w:rPr>
                <w:rFonts w:ascii="Times New Roman" w:cs="Times New Roman" w:eastAsia="Times New Roman" w:hAnsi="Times New Roman"/>
                <w:sz w:val="18"/>
                <w:szCs w:val="18"/>
              </w:rPr>
              <w:t xml:space="preserve">Cuarto de bombas: bomba principal contra incendio y tanque de combustible.</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31. </w:t>
            </w:r>
            <w:r>
              <w:rPr>
                <w:rFonts w:ascii="Times New Roman" w:cs="Times New Roman" w:eastAsia="Times New Roman" w:hAnsi="Times New Roman"/>
                <w:sz w:val="18"/>
                <w:szCs w:val="18"/>
              </w:rPr>
              <w:t xml:space="preserve">Cuarto de bombas: vista general del equipo de bombeo.</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32. </w:t>
            </w:r>
            <w:r>
              <w:rPr>
                <w:rFonts w:ascii="Times New Roman" w:cs="Times New Roman" w:eastAsia="Times New Roman" w:hAnsi="Times New Roman"/>
                <w:sz w:val="18"/>
                <w:szCs w:val="18"/>
              </w:rPr>
              <w:t xml:space="preserve">Tubería de succión y descarga de la red contra incendio.</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33. </w:t>
            </w:r>
            <w:r>
              <w:rPr>
                <w:rFonts w:ascii="Times New Roman" w:cs="Times New Roman" w:eastAsia="Times New Roman" w:hAnsi="Times New Roman"/>
                <w:sz w:val="18"/>
                <w:szCs w:val="18"/>
              </w:rPr>
              <w:t xml:space="preserve">Bomba jockey (mantenimiento de presión de la red).</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34. </w:t>
            </w:r>
            <w:r>
              <w:rPr>
                <w:rFonts w:ascii="Times New Roman" w:cs="Times New Roman" w:eastAsia="Times New Roman" w:hAnsi="Times New Roman"/>
                <w:sz w:val="18"/>
                <w:szCs w:val="18"/>
              </w:rPr>
              <w:t xml:space="preserve">Válvulas y tubería principal en el cuarto de bombas.</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35. </w:t>
            </w:r>
            <w:r>
              <w:rPr>
                <w:rFonts w:ascii="Times New Roman" w:cs="Times New Roman" w:eastAsia="Times New Roman" w:hAnsi="Times New Roman"/>
                <w:sz w:val="18"/>
                <w:szCs w:val="18"/>
              </w:rPr>
              <w:t xml:space="preserve">Tanque hidroneumático y tubería de la red.</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36. </w:t>
            </w:r>
            <w:r>
              <w:rPr>
                <w:rFonts w:ascii="Times New Roman" w:cs="Times New Roman" w:eastAsia="Times New Roman" w:hAnsi="Times New Roman"/>
                <w:sz w:val="18"/>
                <w:szCs w:val="18"/>
              </w:rPr>
              <w:t xml:space="preserve">Tubería de rociadores en el mezanine.</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37. </w:t>
            </w:r>
            <w:r>
              <w:rPr>
                <w:rFonts w:ascii="Times New Roman" w:cs="Times New Roman" w:eastAsia="Times New Roman" w:hAnsi="Times New Roman"/>
                <w:sz w:val="18"/>
                <w:szCs w:val="18"/>
              </w:rPr>
              <w:t xml:space="preserve">Interior de la cava de frío.</w:t>
            </w:r>
          </w:p>
          <w:p>
            <w:pPr>
              <w:jc w:val="center"/>
            </w:pPr>
            <w:r>
              <w:drawing>
                <wp:inline distT="0" distB="0" distL="0" distR="0">
                  <wp:extent cx="10763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76325"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38. </w:t>
            </w:r>
            <w:r>
              <w:rPr>
                <w:rFonts w:ascii="Times New Roman" w:cs="Times New Roman" w:eastAsia="Times New Roman" w:hAnsi="Times New Roman"/>
                <w:sz w:val="18"/>
                <w:szCs w:val="18"/>
              </w:rPr>
              <w:t xml:space="preserve">Canastas plásticas y estibas en zona de alistamiento.</w:t>
            </w:r>
          </w:p>
          <w:p>
            <w:pPr>
              <w:jc w:val="center"/>
            </w:pPr>
            <w:r>
              <w:drawing>
                <wp:inline distT="0" distB="0" distL="0" distR="0">
                  <wp:extent cx="2667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2000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39. </w:t>
            </w:r>
            <w:r>
              <w:rPr>
                <w:rFonts w:ascii="Times New Roman" w:cs="Times New Roman" w:eastAsia="Times New Roman" w:hAnsi="Times New Roman"/>
                <w:sz w:val="18"/>
                <w:szCs w:val="18"/>
              </w:rPr>
              <w:t xml:space="preserve">Zona de servicio con acumulación de estibas.</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40. </w:t>
            </w:r>
            <w:r>
              <w:rPr>
                <w:rFonts w:ascii="Times New Roman" w:cs="Times New Roman" w:eastAsia="Times New Roman" w:hAnsi="Times New Roman"/>
                <w:sz w:val="18"/>
                <w:szCs w:val="18"/>
              </w:rPr>
              <w:t xml:space="preserve">Fachada del bloque de oficinas (mezanine).</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41. </w:t>
            </w:r>
            <w:r>
              <w:rPr>
                <w:rFonts w:ascii="Times New Roman" w:cs="Times New Roman" w:eastAsia="Times New Roman" w:hAnsi="Times New Roman"/>
                <w:sz w:val="18"/>
                <w:szCs w:val="18"/>
              </w:rPr>
              <w:t xml:space="preserve">Muelles de cargue y descargue.</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2381250"/>
                          </a:xfrm>
                          <a:prstGeom prst="rect">
                            <a:avLst/>
                          </a:prstGeom>
                        </pic:spPr>
                      </pic:pic>
                    </a:graphicData>
                  </a:graphic>
                </wp:inline>
              </w:drawing>
            </w:r>
          </w:p>
        </w:tc>
      </w:tr>
      <w:tr>
        <w:trPr>
          <w:cantSplit/>
        </w:trPr>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42. </w:t>
            </w:r>
            <w:r>
              <w:rPr>
                <w:rFonts w:ascii="Times New Roman" w:cs="Times New Roman" w:eastAsia="Times New Roman" w:hAnsi="Times New Roman"/>
                <w:sz w:val="18"/>
                <w:szCs w:val="18"/>
              </w:rPr>
              <w:t xml:space="preserve">Vía perimetral exterior de la nave.</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2381250"/>
                          </a:xfrm>
                          <a:prstGeom prst="rect">
                            <a:avLst/>
                          </a:prstGeom>
                        </pic:spPr>
                      </pic:pic>
                    </a:graphicData>
                  </a:graphic>
                </wp:inline>
              </w:drawing>
            </w:r>
          </w:p>
        </w:tc>
        <w:tc>
          <w:tcPr>
            <w:tcW w:type="dxa" w:w="4680"/>
            <w:tcBorders>
              <w:top w:val="single" w:color="000000" w:sz="6"/>
              <w:left w:val="single" w:color="000000" w:sz="6"/>
              <w:bottom w:val="single" w:color="000000" w:sz="6"/>
              <w:right w:val="single" w:color="000000" w:sz="6"/>
            </w:tcBorders>
            <w:tcMar>
              <w:top w:type="dxa" w:w="70"/>
              <w:left w:type="dxa" w:w="90"/>
              <w:bottom w:type="dxa" w:w="70"/>
              <w:right w:type="dxa" w:w="90"/>
            </w:tcMar>
            <w:vAlign w:val="top"/>
          </w:tcPr>
          <w:p>
            <w:pPr>
              <w:spacing w:after="40"/>
              <w:jc w:val="left"/>
            </w:pPr>
            <w:r>
              <w:rPr>
                <w:rFonts w:ascii="Times New Roman" w:cs="Times New Roman" w:eastAsia="Times New Roman" w:hAnsi="Times New Roman"/>
                <w:b/>
                <w:bCs/>
                <w:sz w:val="18"/>
                <w:szCs w:val="18"/>
              </w:rPr>
              <w:t xml:space="preserve">Imagen 43. </w:t>
            </w:r>
            <w:r>
              <w:rPr>
                <w:rFonts w:ascii="Times New Roman" w:cs="Times New Roman" w:eastAsia="Times New Roman" w:hAnsi="Times New Roman"/>
                <w:sz w:val="18"/>
                <w:szCs w:val="18"/>
              </w:rPr>
              <w:t xml:space="preserve">Trabajo de mantenimiento en altura bajo la cubierta.</w:t>
            </w:r>
          </w:p>
          <w:p>
            <w:pPr>
              <w:jc w:val="center"/>
            </w:pPr>
            <w:r>
              <w:drawing>
                <wp:inline distT="0" distB="0" distL="0" distR="0">
                  <wp:extent cx="17907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2381250"/>
                          </a:xfrm>
                          <a:prstGeom prst="rect">
                            <a:avLst/>
                          </a:prstGeom>
                        </pic:spPr>
                      </pic:pic>
                    </a:graphicData>
                  </a:graphic>
                </wp:inline>
              </w:drawing>
            </w:r>
          </w:p>
        </w:tc>
      </w:tr>
    </w:tbl>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33d700c9e41f9c0540ba4e9a23a690077e2377.jpg"/><Relationship Id="rId9" Type="http://schemas.openxmlformats.org/officeDocument/2006/relationships/image" Target="media/21628236ef1841bfd3732fb9cb6e9927dfd39fe2.jpg"/><Relationship Id="rId10" Type="http://schemas.openxmlformats.org/officeDocument/2006/relationships/image" Target="media/b89623e7d60923370eea8ca77f66ffd23408f8c4.jpg"/><Relationship Id="rId11" Type="http://schemas.openxmlformats.org/officeDocument/2006/relationships/image" Target="media/3b6e3b513a9869f766001ff0dfb23d33da00f125.jpg"/><Relationship Id="rId12" Type="http://schemas.openxmlformats.org/officeDocument/2006/relationships/image" Target="media/1f7c392b0559112f738926b33b3da2dc760baaed.jpg"/><Relationship Id="rId13" Type="http://schemas.openxmlformats.org/officeDocument/2006/relationships/image" Target="media/68d8a9e99ffa239cb6279bb9c2c6fe4e6533d5eb.jpg"/><Relationship Id="rId14" Type="http://schemas.openxmlformats.org/officeDocument/2006/relationships/image" Target="media/9c26dd34005cc2c1e9dab01d888594fd152ecfd6.jpg"/><Relationship Id="rId15" Type="http://schemas.openxmlformats.org/officeDocument/2006/relationships/image" Target="media/76efc6bbac95ff580b270c2ce9fb5485d339a51f.jpg"/><Relationship Id="rId16" Type="http://schemas.openxmlformats.org/officeDocument/2006/relationships/image" Target="media/04afd7878cb29215ac01a0b3630eb1d1cd6e36eb.jpg"/><Relationship Id="rId17" Type="http://schemas.openxmlformats.org/officeDocument/2006/relationships/image" Target="media/378b03b3cd85f794a80986aa955c904bc4157bb3.jpg"/><Relationship Id="rId18" Type="http://schemas.openxmlformats.org/officeDocument/2006/relationships/image" Target="media/9b344648fdc2d7ea6f1b09f7f0281a141330e441.jpg"/><Relationship Id="rId19" Type="http://schemas.openxmlformats.org/officeDocument/2006/relationships/image" Target="media/d9ff7b0649e00c8b76786a06a16343713f9eaa8a.jpg"/><Relationship Id="rId20" Type="http://schemas.openxmlformats.org/officeDocument/2006/relationships/image" Target="media/1ac67bd5cfde93c5a1ef7bb3327f480a29bf59c3.jpg"/><Relationship Id="rId21" Type="http://schemas.openxmlformats.org/officeDocument/2006/relationships/image" Target="media/e2de5a784be67fb3375fa291abd55ef4e1fc9e45.jpg"/><Relationship Id="rId22" Type="http://schemas.openxmlformats.org/officeDocument/2006/relationships/image" Target="media/2570bb747df224255cac7f2fa23780b134e537b8.jpg"/><Relationship Id="rId23" Type="http://schemas.openxmlformats.org/officeDocument/2006/relationships/image" Target="media/4a41d4ce59ef5dfcb7ad279c54ec61bfeba75245.jpg"/><Relationship Id="rId24" Type="http://schemas.openxmlformats.org/officeDocument/2006/relationships/image" Target="media/152ec815c90eb60dfdee68d1abdd2cfe97293b00.jpg"/><Relationship Id="rId25" Type="http://schemas.openxmlformats.org/officeDocument/2006/relationships/image" Target="media/602d67b0d88782f318c681ce1242e917f209cf58.jpg"/><Relationship Id="rId26" Type="http://schemas.openxmlformats.org/officeDocument/2006/relationships/image" Target="media/df23d938787d5412c0ac48200cf70e87923fbd4f.jpg"/><Relationship Id="rId27" Type="http://schemas.openxmlformats.org/officeDocument/2006/relationships/image" Target="media/b1d8731438040ff6a35a57757c8c0f332d35f71a.jpg"/><Relationship Id="rId28" Type="http://schemas.openxmlformats.org/officeDocument/2006/relationships/image" Target="media/4976f55adf45ff3b05eebb00323e03675ce263d8.jpg"/><Relationship Id="rId29" Type="http://schemas.openxmlformats.org/officeDocument/2006/relationships/image" Target="media/0081a2ecd0bbab16e443be2b7de98d6075294a05.jpg"/><Relationship Id="rId30" Type="http://schemas.openxmlformats.org/officeDocument/2006/relationships/image" Target="media/f38fa3d41f7ad87c0d65e8fbfcd7d61a83cbcb43.jpg"/><Relationship Id="rId31" Type="http://schemas.openxmlformats.org/officeDocument/2006/relationships/image" Target="media/108588d769b4f25e636efd5d845f696ef10a471c.jpg"/><Relationship Id="rId32" Type="http://schemas.openxmlformats.org/officeDocument/2006/relationships/image" Target="media/5795ce662fb600400504b6406ecdcd5d98ab6794.jpg"/><Relationship Id="rId33" Type="http://schemas.openxmlformats.org/officeDocument/2006/relationships/image" Target="media/9f7403409e51e9de519a5b524be245d812fa9b5d.jpg"/><Relationship Id="rId34" Type="http://schemas.openxmlformats.org/officeDocument/2006/relationships/image" Target="media/c3bdfbf8ad1fdb6d7b65cba4cf564303ffdc78f8.jpg"/><Relationship Id="rId35" Type="http://schemas.openxmlformats.org/officeDocument/2006/relationships/image" Target="media/959c04e3de5be5d9b66bf4fdc8b21fb0ed23c2ba.jpg"/><Relationship Id="rId36" Type="http://schemas.openxmlformats.org/officeDocument/2006/relationships/image" Target="media/9273a5e387478a574659a2bed36b70a649d2f3ad.jpg"/><Relationship Id="rId37" Type="http://schemas.openxmlformats.org/officeDocument/2006/relationships/image" Target="media/bff4ea8dbce4836353fb3ccd374abfcfdab29d4a.jpg"/><Relationship Id="rId38" Type="http://schemas.openxmlformats.org/officeDocument/2006/relationships/image" Target="media/bb334a3ce89307b00c94873a89b20f0eca2fc33f.jpg"/><Relationship Id="rId39" Type="http://schemas.openxmlformats.org/officeDocument/2006/relationships/image" Target="media/80244ef50445be639e5a4932c1a84457351a6790.jpg"/><Relationship Id="rId40" Type="http://schemas.openxmlformats.org/officeDocument/2006/relationships/image" Target="media/d505863d0fa5019cc9ae1e40efaa23a0a491ea80.jpg"/><Relationship Id="rId41" Type="http://schemas.openxmlformats.org/officeDocument/2006/relationships/image" Target="media/4c4353bc366870a7622278913c0102a0f5b209ab.jpg"/><Relationship Id="rId42" Type="http://schemas.openxmlformats.org/officeDocument/2006/relationships/image" Target="media/790a58e46039de166ca8a5ecb7fc178265544968.jpg"/><Relationship Id="rId43" Type="http://schemas.openxmlformats.org/officeDocument/2006/relationships/image" Target="media/74cd7490c7e6e72344bca2e1b5469c175203315c.jpg"/><Relationship Id="rId44" Type="http://schemas.openxmlformats.org/officeDocument/2006/relationships/image" Target="media/9c23fca7d5585cc48b0584953a70001925b58c03.jpg"/><Relationship Id="rId45" Type="http://schemas.openxmlformats.org/officeDocument/2006/relationships/image" Target="media/7d63ea5c16fcd9291c52615ec8ed085ba1982c76.jpg"/><Relationship Id="rId46" Type="http://schemas.openxmlformats.org/officeDocument/2006/relationships/image" Target="media/f9a834c313234ad4ab8d937d00fd50f65e9c34b2.jpg"/><Relationship Id="rId47" Type="http://schemas.openxmlformats.org/officeDocument/2006/relationships/image" Target="media/eb93e4f7804f2d4eecd48a76a23e5920ff5f6abc.jpg"/><Relationship Id="rId48" Type="http://schemas.openxmlformats.org/officeDocument/2006/relationships/image" Target="media/87e242c47bb9ec88fc5bd6904a34adcbbdb9b419.jpg"/><Relationship Id="rId49" Type="http://schemas.openxmlformats.org/officeDocument/2006/relationships/image" Target="media/3513b9d50c57210af7f0fc4cb4f72230cd0931f2.jp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Riesgos de Incendio – Método de Meseri</dc:title>
  <dc:creator>CEDI D1 Lebrija</dc:creator>
  <cp:lastModifiedBy>Un-named</cp:lastModifiedBy>
  <cp:revision>1</cp:revision>
  <dcterms:created xsi:type="dcterms:W3CDTF">2026-10-23T03:18:48.807Z</dcterms:created>
  <dcterms:modified xsi:type="dcterms:W3CDTF">2026-10-23T03:18:48.807Z</dcterms:modified>
</cp:coreProperties>
</file>

<file path=docProps/custom.xml><?xml version="1.0" encoding="utf-8"?>
<Properties xmlns="http://schemas.openxmlformats.org/officeDocument/2006/custom-properties" xmlns:vt="http://schemas.openxmlformats.org/officeDocument/2006/docPropsVTypes"/>
</file>