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"/>
        <w:jc w:val="center"/>
      </w:pPr>
      <w:r>
        <w:drawing>
          <wp:inline distT="0" distB="0" distL="0" distR="0">
            <wp:extent cx="1238250" cy="866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100" w:line="480" w:lineRule="auto"/>
        <w:jc w:val="center"/>
      </w:pPr>
      <w:r>
        <w:rPr>
          <w:rFonts w:ascii="Arial" w:cs="Arial" w:eastAsia="Arial" w:hAnsi="Arial"/>
          <w:b/>
          <w:bCs/>
          <w:color w:val="3B3B3B"/>
          <w:sz w:val="28"/>
          <w:szCs w:val="28"/>
        </w:rPr>
        <w:t xml:space="preserve">Evaluación de Riesgos de Incendio con el Método MESERI</w:t>
      </w:r>
    </w:p>
    <w:p>
      <w:pPr>
        <w:pBdr>
          <w:bottom w:val="single" w:color="CAD225" w:sz="18" w:space="14"/>
        </w:pBdr>
        <w:spacing w:after="0" w:before="0" w:line="480" w:lineRule="auto"/>
        <w:jc w:val="center"/>
      </w:pPr>
      <w:r>
        <w:rPr>
          <w:rFonts w:ascii="Arial" w:cs="Arial" w:eastAsia="Arial" w:hAnsi="Arial"/>
          <w:b/>
          <w:bCs/>
          <w:color w:val="3B3B3B"/>
          <w:sz w:val="28"/>
          <w:szCs w:val="28"/>
        </w:rPr>
        <w:t xml:space="preserve">en el CEDI D1 Bucaramanga / Lebrija</w:t>
      </w:r>
    </w:p>
    <w:p>
      <w:pPr>
        <w:spacing w:after="0" w:before="48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/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Angely Tatiana Osorio Sánchez</w:t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Unidades Tecnológicas de Santander</w:t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Electiva Complementaria Salud Ocupacional – Grupo E133</w:t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Docente: Jhonny Mauricio Ceron Cifuentes</w:t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Octubre de 2026</w:t>
      </w:r>
    </w:p>
    <w:p>
      <w:pPr>
        <w:pStyle w:val="Heading1"/>
        <w:keepNext/>
        <w:pageBreakBefore/>
      </w:pPr>
      <w:r>
        <w:t xml:space="preserve">Introducción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Este informe evalúa el riesgo de incendio del Centro de Distribución (CEDI) de Tiendas D1 en Lebrija, Santander, mediante el Método MESERI. Los coeficientes se asignaron a partir de una inspección fotográfica de las instalaciones realizada entre marzo y octubre de 2026.</w:t>
      </w: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1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Ficha técnica del CEDI evaluado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7160"/>
      </w:tblGrid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Empresa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Tiendas D1 – Koba Colombia S.A.S.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Ubicación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Sector San Pablo, Lebrija (Santander), vía Bucaramanga–Barrancabermeja. A 15 min de Bucaramanga y 2,5 km del aeropuerto Palonegro.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Actividad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Recepción, almacenamiento y despacho de alimentos, bebidas y productos de aseo.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 cubierta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17.432 m² (medición en Google Maps), sin sectorización comprobada.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Altura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18 m libres en el interior; 21 m por el exterior.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Accesos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Portería vehicular de 8 m de ancho y peatonal de 2 × 0,80 m. Edificio del CEDI con 6 entradas: 3 de 2,50 × 2,50 m y 3 de 2,50 × 0,80 m (alto × ancho).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Estructura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Columnas de concreto y acero, cerchas y cubierta metálicas, muros de bloque.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Áreas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Bodega con racks, cava (frío), muelles, zonas de servicio y mezanine con oficinas, sala de capacitación y comedor.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Protección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automáticos, gabinetes BIE, hidrante exterior, detección, extintores y cuarto de bombas.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Elaboración propia con datos del Fondo Inmobiliario Colombia (s. f.), de la inspección en sitio y del personal del CEDI (comunicación personal, octubre de 2026).</w:t>
      </w:r>
    </w:p>
    <w:p>
      <w:pPr>
        <w:pStyle w:val="Heading1"/>
        <w:keepNext/>
      </w:pPr>
      <w:r>
        <w:t xml:space="preserve">Metodología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Método MESERI (Fundación MAPFRE, s. f.) califica por separado dos grupos de factores y los combina en un coeficiente de protección P, de 0 a 10 (Unidades Tecnológicas de Santander, s. f.):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X – Factores propios de las instalaciones: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construcción, situación, procesos, concentración, propagabilidad y destructibilidad (máximo 129 puntos).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Y – Factores de protección: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extintores, BIE, hidrantes, detección, rociadores e instalaciones especiales (máximo 26 puntos).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BCI – Brigada contra incendios: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1 punto si existe, 0 si no.</w:t>
      </w:r>
    </w:p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5X / 129  +  5Y / 26  +  BCI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Un valor de P igual o superior a 5 se considera aceptable.</w:t>
            </w:r>
          </w:p>
        </w:tc>
      </w:tr>
    </w:tbl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2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Escala de calificación del riesgo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6D5D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&lt; 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BE5C4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3 – 5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5 –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Bueno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&gt;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bueno</w:t>
            </w:r>
          </w:p>
        </w:tc>
      </w:tr>
    </w:tbl>
    <w:p>
      <w:pPr>
        <w:pStyle w:val="Heading1"/>
        <w:keepNext/>
      </w:pPr>
      <w:r>
        <w:t xml:space="preserve">Factores Propios de las Instalaciones (X)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factor se calificó con la tabla del método según lo observado en la inspección. Los factores con coeficiente 0 son los que más aumentan el riesgo.</w:t>
      </w: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3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Factores propios de las instalaciones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050"/>
        <w:gridCol w:w="3610"/>
        <w:gridCol w:w="2700"/>
      </w:tblGrid>
      <w:tr>
        <w:trPr>
          <w:tblHeader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1.1  CONSTRUCCIÓN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1.1.1 Altura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Un piso con mezanine (coef. 3) y 18 m hasta las cerchas (entre 15 y 20 m, coef. 1). Se toma el menor: 1.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Fachada principal.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1.1.2 Mayor sector de incendio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Superficie de 17.432 m² medida en Google Maps (Google, s. f.), sin muros cortafuego. Supera los 4.500 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Medición en Google Maps.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1.1.3 Resistencia al fuego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7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Estructura mixta: columnas de concreto (resistente, 10) y cerchas metálicas (no combustible, 5). Se toma un valor intermedio: 7.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Columnas y cubierta.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1.1.4 Falsos techos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La bodega no tiene cielo raso. Solo las oficinas y el comedor del mezanine lo tienen, una parte pequeña del edificio. Se toma sin falsos techos.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Bodega: cubierta a la vista.</w:t>
            </w:r>
          </w:p>
          <w:p>
            <w:pPr>
              <w:spacing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Comedor: cielo raso.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7E8410"/>
                <w:sz w:val="13"/>
                <w:szCs w:val="13"/>
              </w:rPr>
              <w:t xml:space="preserve">(ampliadas en el Anexo A)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1.2  FACTORES DE SITUACIÓN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1.2.1 Distancia de los bomberos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Ruta desde la Estación de Bomberos de Lebrija: 3,4 km y 5 min (Google, s. f.). Menos de 5 km.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Ruta desde la estación de bomberos.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1.2.2 Accesibilidad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Acceso pavimentado con portería vehicular de 8 m de ancho (más de 4 m), vía perimetral alrededor del edificio y 6 entradas al edificio del CEDI. Accesibilidad buena.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Portería de ingreso.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1.3  PROCESOS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1.3.1 Peligro de activación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Sin llama abierta. Fuentes de ignición: carga de baterías de montacargas en la bodega y equipos eléctricos de la cocina del comedor, con cableado expuesto. Peligro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Carga de montacargas.</w:t>
            </w:r>
          </w:p>
          <w:p>
            <w:pPr>
              <w:spacing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Cocina: cableado expuesto.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7E8410"/>
                <w:sz w:val="13"/>
                <w:szCs w:val="13"/>
              </w:rPr>
              <w:t xml:space="preserve">(ampliadas en el Anexo A)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1.3.2 Carga térmica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Gran volumen de alimentos y bebidas empacados en cartón y plástico, apilados hasta 10 m: carga alta, más de 200 Mcal/m².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Mercancía almacenada.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1.3.3 Combustibilidad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Cartón, madera de estibas y plástico de empaque: materiales de combustibilidad media (M.2 y M.3).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Estibas y embalajes.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1.3.4 Orden y limpieza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Pasillos de bodega y corredores de oficinas despejados y señalizados; acumulación de estibas en zonas de servicio. Nivel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 de la bodega.</w:t>
            </w:r>
          </w:p>
          <w:p>
            <w:pPr>
              <w:spacing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de oficinas.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7E8410"/>
                <w:sz w:val="13"/>
                <w:szCs w:val="13"/>
              </w:rPr>
              <w:t xml:space="preserve">(ampliadas en el Anexo A)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1.3.5 Almacenamiento en altura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Estanterías de unos 10 m de alto, por encima del límite de 6 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Estanterías de almacenamiento.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1.4  CONCENTRACIÓN DE VALORES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1.4.1 Concentración de valores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Inventario y equipos ≈ 500.000 millones COP ÷ 17.432 m² ≈ 28,7 millones COP/m² (≈ 1.060.000 pts/m²). Supera 200.000 pts/m².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Vista general del almacén.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1.5  PROPAGABILIDAD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1.5.1 Horizontal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Bloques de almacenamiento separados por pasillos, sin muros cortafuego.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Pasillos entre bloques.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1.5.2 Vertical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Mide el paso del fuego entre pisos. El edificio es de un piso, pero el mezanine de oficinas da a la bodega por ventanales de vidrio.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Ventanal del mezanine hacia la bodega.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1.6  DESTRUCTIBILIDAD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1.6.1 Calor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Cava de frío y alimentos muy sensibles al calor.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Zona de cava (frío).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1.6.2 Humo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Alimentos empacados en cajas y bebidas: el humo y el hollín contaminan empaques y producto, que ya no puede venderse.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Cajas de alimentos almacenadas.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1.6.3 Corrosión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Empaques plásticos (incluido PVC) y productos de aseo pueden liberar gases corrosivos, sin dañar de forma importante el edificio.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Productos envasados.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1.6.4 Agua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El cartón se daña con el agua; bebidas y enlatados la resisten.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Cajas sobre estibas.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X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57</w:t>
            </w:r>
          </w:p>
        </w:tc>
        <w:tc>
          <w:tcPr>
            <w:tcW w:type="dxa" w:w="6310"/>
            <w:gridSpan w:val="2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129 puntos posibles (44 %)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Coeficientes asignados según la tabla del Método MESERI (Fundación MAPFRE, s. f.; Unidades Tecnológicas de Santander, s. f.). La altura de las estanterías, el acceso pavimentado, las medidas de los accesos y el valor del inventario los informó el personal del CEDI (comunicación personal, octubre de 2026).</w:t>
      </w:r>
    </w:p>
    <w:p>
      <w:pPr>
        <w:pStyle w:val="Heading1"/>
        <w:keepNext/>
      </w:pPr>
      <w:r>
        <w:t xml:space="preserve">Factores de Protección (Y)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medio de protección se califica según exista con vigilancia (CV) o sin ella (SV). Se entiende por vigilancia la presencia permanente, todos los días del año, de una persona capacitada en el manejo de los equipos de extinción y con un plan de alarma (Unidades Tecnológicas de Santander, s. f.). Se califica con vigilancia porque el CEDI tiene personal de seguridad permanente en portería y los equipos reciben mantenimiento.</w:t>
      </w: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4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Factores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100"/>
        <w:gridCol w:w="34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Extintores portátiles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EXT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Extintores en bodega, muelles, corredores y comedor, señalizados, demarcados y con mantenimiento.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de CO₂ demarcado.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Bocas de incendio equipadas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BIE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Gabinetes con manguera, válvula y extintor, señalizados y conectados a la red del cuarto de bombas.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Gabinete contra incendio.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Columnas hidrantes exteriores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CHE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Hidrante junto al muro exterior, conectado a la red, con válvulas y salidas para manguera de bomberos.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Hidrante exterior.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Detección automática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DET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Detectores de humo y alarmas bajo la cubierta y en áreas operativas.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Detección y alarma.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Rociadores automáticos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ROC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bajo toda la cubierta, con válvulas de control y cuarto de bombas.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Red de rociadores.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Extinción por agentes gaseosos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IFE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No hay sistemas de agentes gaseosos; no aplican en la bodega.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i/>
                <w:iCs/>
                <w:color w:val="6B6B6B"/>
                <w:sz w:val="18"/>
                <w:szCs w:val="18"/>
              </w:rPr>
              <w:t xml:space="preserve">No aplica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Y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22</w:t>
            </w:r>
          </w:p>
        </w:tc>
        <w:tc>
          <w:tcPr>
            <w:tcW w:type="dxa" w:w="6360"/>
            <w:gridSpan w:val="2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26 puntos posibles (85 %)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CV = con vigilancia; SV = sin vigilancia. El personal del CEDI identificó la toma exterior como hidrante (comunicación personal, octubre de 2026).</w:t>
      </w:r>
    </w:p>
    <w:p>
      <w:pPr>
        <w:pStyle w:val="Heading1"/>
        <w:keepNext/>
      </w:pPr>
      <w:r>
        <w:t xml:space="preserve">Resultados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X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57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129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Y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22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26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BRIGADA (BCI)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no existe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AD225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RESULTADO P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6,44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Riesgo bueno</w:t>
            </w:r>
          </w:p>
        </w:tc>
      </w:tr>
    </w:tbl>
    <w:p>
      <w:pPr>
        <w:spacing w:after="280"/>
      </w:pP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5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Cálculo del coeficiente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FÓRMULA</w:t>
            </w:r>
          </w:p>
        </w:tc>
        <w:tc>
          <w:tcPr>
            <w:tcW w:type="dxa" w:w="69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6"/>
                <w:szCs w:val="26"/>
              </w:rPr>
              <w:t xml:space="preserve">P = 5X / 129  +  5Y / 26  +  1(BCI)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PROCEDIMIENTO</w:t>
            </w:r>
          </w:p>
        </w:tc>
        <w:tc>
          <w:tcPr>
            <w:tcW w:type="dxa" w:w="69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P = 5(57) / 129  +  5(22) / 26  +  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69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P = 2,209  +  4,231  +  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RESPUESTA</w:t>
            </w:r>
          </w:p>
        </w:tc>
        <w:tc>
          <w:tcPr>
            <w:tcW w:type="dxa" w:w="69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6,44  →  Riesgo bueno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X = factores propios de las instalaciones (máx. 129); Y = factores de protección (máx. 26); BCI = brigada contra incendios (1 si existe, 0 si no).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CEDI obtiene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P = 6,44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, por encima del mínimo aceptable de 5, lo que lo ubica en la categoría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El CEDI no cuenta con brigada contra incendios, por lo que BCI = 0; la Tabla 6 muestra cómo mejoraría el resultado si se conformara una.</w:t>
      </w: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6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Escenarios del coeficiente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0"/>
        <w:gridCol w:w="800"/>
        <w:gridCol w:w="800"/>
        <w:gridCol w:w="800"/>
        <w:gridCol w:w="2200"/>
        <w:gridCol w:w="1500"/>
      </w:tblGrid>
      <w:tr>
        <w:trPr>
          <w:tblHeader/>
        </w:trP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ESCENARIO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X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Y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BCI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CÁLCULO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Actual (EXT, BIE, CHE, DET, ROC)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57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5(57)/129 + 5(22)/26 + 0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6,44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B3B3B"/>
                <w:sz w:val="18"/>
                <w:szCs w:val="18"/>
              </w:rPr>
              <w:t xml:space="preserve">Si se conforma una brigada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57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5(57)/129 + 5(22)/26 + 1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7,44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La brigada contra incendios (BCI) suma 1 punto directamente a P. La ausencia de brigada la informó el personal del CEDI (comunicación personal, octubre de 2026).</w:t>
      </w:r>
    </w:p>
    <w:p>
      <w:pPr>
        <w:pStyle w:val="Heading1"/>
        <w:keepNext/>
      </w:pPr>
      <w:r>
        <w:t xml:space="preserve">Conclusiones y Recomendaciones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riesgo de incendio del CEDI D1 Lebrija es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 (P = 6,44)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Las instalaciones por sí solas son desfavorables, pero los sistemas de protección compensan buena parte de esa vulnerabilidad.</w:t>
      </w:r>
    </w:p>
    <w:p>
      <w:pPr>
        <w:pStyle w:val="Heading2"/>
        <w:keepNext/>
      </w:pPr>
      <w:r>
        <w:t xml:space="preserve">Factores que aumentan el riesgo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 solo sector de incendio de más de 4.500 m², sin muros cortafuego.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Almacenamiento de unos 10 m de alto.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Cocina del comedor con equipos eléctricos y cableado expuesto.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Carga térmica alta (más de 200 Mcal/m²) y mercancía muy sensible al calor y al humo.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Alta concentración de valores: cerca de 28,7 millones de pesos por m².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No existe brigada contra incendios.</w:t>
      </w:r>
    </w:p>
    <w:p>
      <w:pPr>
        <w:pStyle w:val="Heading2"/>
        <w:keepNext/>
      </w:pPr>
      <w:r>
        <w:t xml:space="preserve">Factores que lo reducen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Rociadores automáticos en todo el edificio, bajo la cubierta (8 puntos).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Detección automática, gabinetes BIE e hidrante exterior (4 puntos cada uno).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Extintores portátiles con mantenimiento y cuarto de bombas propio.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Extintores y rutas de evacuación señalizadas también en oficinas y comedor.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Estación de bomberos a solo 3,4 km (5 min) por carretera.</w:t>
      </w:r>
    </w:p>
    <w:p>
      <w:pPr>
        <w:pStyle w:val="Heading2"/>
        <w:keepNext/>
      </w:pPr>
      <w:r>
        <w:t xml:space="preserve">Recomendaciones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Mantener la inspección y prueba periódica de rociadores, bombas y válvulas.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Conformar y capacitar una brigada contra incendios: P subiría a 7,44.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Mantener el hidrante exterior señalizado, despejado y con prueba periódica.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Controlar la acumulación de estibas y evaluar muros cortafuego en futuras ampliaciones.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Corregir el cableado expuesto en la cocina del comedor.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Capacitar al personal en uso de extintores y evacuación.</w:t>
      </w:r>
    </w:p>
    <w:p>
      <w:pPr>
        <w:pStyle w:val="Heading1"/>
        <w:keepNext/>
        <w:pageBreakBefore/>
      </w:pPr>
      <w:r>
        <w:t xml:space="preserve">Referencias</w:t>
      </w:r>
    </w:p>
    <w:p>
      <w:pPr>
        <w:spacing w:after="0" w:line="480" w:lineRule="auto"/>
        <w:ind w:left="720" w:hanging="720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Fondo Inmobiliario Colombia. (s. f.). </w:t>
      </w: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Ficha CEDI Bucaramanga / Lebrija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</w:t>
      </w:r>
    </w:p>
    <w:p>
      <w:pPr>
        <w:spacing w:after="0" w:line="480" w:lineRule="auto"/>
        <w:ind w:left="720" w:hanging="720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Fundación MAPFRE. (s. f.). </w:t>
      </w: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Método simplificado de evaluación del riesgo de incendio: MESERI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</w:t>
      </w:r>
    </w:p>
    <w:p>
      <w:pPr>
        <w:spacing w:after="0" w:line="480" w:lineRule="auto"/>
        <w:ind w:left="720" w:hanging="720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Google. (s. f.). [Medición de la superficie del CEDI D1 Lebrija y ruta desde la Estación de Bomberos de Lebrija, Santander]. </w:t>
      </w: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Google Maps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Recuperado el 23 de octubre de 2026, de https://maps.google.com</w:t>
      </w:r>
    </w:p>
    <w:p>
      <w:pPr>
        <w:spacing w:after="0" w:line="480" w:lineRule="auto"/>
        <w:ind w:left="720" w:hanging="720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Unidades Tecnológicas de Santander. (s. f.). </w:t>
      </w: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Metodología: evaluación del riesgo de incendio MESERI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 [Diapositivas de clase]. Electiva Complementaria Salud Ocupacional.</w:t>
      </w:r>
    </w:p>
    <w:p>
      <w:pPr>
        <w:pStyle w:val="Heading1"/>
        <w:keepNext/>
        <w:pageBreakBefore/>
      </w:pPr>
      <w:r>
        <w:t xml:space="preserve">Anexo A</w:t>
      </w:r>
    </w:p>
    <w:p>
      <w:pPr>
        <w:spacing w:after="0" w:line="480"/>
        <w:jc w:val="center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Registro Fotográfico Complementario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Figuras Ampliadas de la Tabla 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Bodega: cubierta a la vista.</w:t>
            </w:r>
          </w:p>
        </w:tc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Comedor: cielo raso.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Carga de montacargas.</w:t>
            </w:r>
          </w:p>
        </w:tc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Cocina: cableado expuesto.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 de la bodega.</w:t>
            </w:r>
          </w:p>
        </w:tc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de oficinas.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Mezanine Administrativo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Acceso a oficinas.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interno.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Sala de capacitación.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Señal de extintor.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Sistema de Bombeo Contra Incendio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principal.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jockey.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Válvulas de la red.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Tanque hidroneumático.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Equipos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Gabinete y salida de emergencia.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Montantes y válvulas.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en corredor.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en el comedor.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Bodega y Muelles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Rociadores en el mezanine.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Interior de la cava.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Acumulación de estibas.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Muelles de cargue.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9C9" w:sz="6" w:space="6"/>
      </w:pBdr>
      <w:jc w:val="center"/>
    </w:pPr>
    <w:r>
      <w:rPr>
        <w:rFonts w:ascii="Arial" w:cs="Arial" w:eastAsia="Arial" w:hAnsi="Arial"/>
        <w:color w:val="6B6B6B"/>
        <w:sz w:val="16"/>
        <w:szCs w:val="16"/>
      </w:rPr>
      <w:t xml:space="preserve">Evaluación de Riesgos de Incendio – Método MESERI · CEDI D1 Lebrija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225" w:sz="12" w:space="6"/>
      </w:pBdr>
      <w:tabs>
        <w:tab w:val="right" w:pos="9360"/>
      </w:tabs>
    </w:pPr>
    <w:r>
      <w:drawing>
        <wp:inline distT="0" distB="0" distL="0" distR="0">
          <wp:extent cx="323850" cy="2286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	</w:t>
    </w:r>
    <w:r>
      <w:rPr>
        <w:rFonts w:ascii="Arial" w:cs="Arial" w:eastAsia="Arial" w:hAnsi="Arial"/>
        <w:color w:val="3B3B3B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3B3B3B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560" w:hanging="300"/>
      </w:pPr>
      <w:rPr>
        <w:color w:val="CAD225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B3B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360" w:line="480"/>
      <w:jc w:val="center"/>
      <w:outlineLvl w:val="0"/>
    </w:pPr>
    <w:rPr>
      <w:rFonts w:ascii="Arial" w:cs="Arial" w:eastAsia="Arial" w:hAnsi="Arial"/>
      <w:b/>
      <w:bCs/>
      <w:color w:val="3B3B3B"/>
      <w:sz w:val="22"/>
      <w:szCs w:val="22"/>
    </w:rPr>
  </w:style>
  <w:style w:type="paragraph" w:styleId="Heading2">
    <w:name w:val="Heading 2"/>
    <w:basedOn w:val="Normal"/>
    <w:next w:val="Normal"/>
    <w:qFormat/>
    <w:pPr>
      <w:keepNext/>
      <w:spacing w:after="0" w:before="120" w:line="480"/>
      <w:jc w:val="left"/>
      <w:outlineLvl w:val="1"/>
    </w:pPr>
    <w:rPr>
      <w:rFonts w:ascii="Arial" w:cs="Arial" w:eastAsia="Arial" w:hAnsi="Arial"/>
      <w:b/>
      <w:bCs/>
      <w:color w:val="3B3B3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cec7767423571e44399f80317da09f83bd960d12.png"/><Relationship Id="rId12" Type="http://schemas.openxmlformats.org/officeDocument/2006/relationships/image" Target="media/cb5ca1a99486506f6648eba90f7c4f4a6a315abb.jpg"/><Relationship Id="rId13" Type="http://schemas.openxmlformats.org/officeDocument/2006/relationships/image" Target="media/7de187e903c463034a070588c63180027b998f4a.jpg"/><Relationship Id="rId14" Type="http://schemas.openxmlformats.org/officeDocument/2006/relationships/image" Target="media/89bc142259407c5d56bb7a1abc103884b840c91b.jpg"/><Relationship Id="rId15" Type="http://schemas.openxmlformats.org/officeDocument/2006/relationships/image" Target="media/9a2152f264ff0b8d47426670e0325a8f16a81d57.jpg"/><Relationship Id="rId16" Type="http://schemas.openxmlformats.org/officeDocument/2006/relationships/image" Target="media/db27d87def3db46cd62879d3739518bc2920b65f.jpg"/><Relationship Id="rId17" Type="http://schemas.openxmlformats.org/officeDocument/2006/relationships/image" Target="media/421f5e514b8831187701a9ecf2b9240b1d8b5923.jpg"/><Relationship Id="rId18" Type="http://schemas.openxmlformats.org/officeDocument/2006/relationships/image" Target="media/5fa581d7bb723f1a63d63cea0f393f538761de0c.jpg"/><Relationship Id="rId19" Type="http://schemas.openxmlformats.org/officeDocument/2006/relationships/image" Target="media/cfb687fb5ed71ff778d0112e458230228f62dabc.jpg"/><Relationship Id="rId20" Type="http://schemas.openxmlformats.org/officeDocument/2006/relationships/image" Target="media/5a5a419eaca7fb6484dc7d0e6ea8b426d41f9057.jpg"/><Relationship Id="rId21" Type="http://schemas.openxmlformats.org/officeDocument/2006/relationships/image" Target="media/5e5500b961be8a3c2d41a8fc5dbdf285431d5ce4.jpg"/><Relationship Id="rId22" Type="http://schemas.openxmlformats.org/officeDocument/2006/relationships/image" Target="media/cf9d995420f237e5f467e32b92536250228cd216.jpg"/><Relationship Id="rId23" Type="http://schemas.openxmlformats.org/officeDocument/2006/relationships/image" Target="media/0f9be68fdb19beb564ec0b3af42998b7a2c7ccdd.jpg"/><Relationship Id="rId24" Type="http://schemas.openxmlformats.org/officeDocument/2006/relationships/image" Target="media/b03d6cadaf050bdacc990d15903ff23af349e0fa.jpg"/><Relationship Id="rId25" Type="http://schemas.openxmlformats.org/officeDocument/2006/relationships/image" Target="media/a1ad16adc5098955d99da07ffbbfee9dcd0c4642.jpg"/><Relationship Id="rId26" Type="http://schemas.openxmlformats.org/officeDocument/2006/relationships/image" Target="media/98ae398a421a0d06d2eb2111ffe8be6460b530fa.jpg"/><Relationship Id="rId27" Type="http://schemas.openxmlformats.org/officeDocument/2006/relationships/image" Target="media/243786a2a3f8f18fc6f75f1b05bb388cf3af794f.jpg"/><Relationship Id="rId28" Type="http://schemas.openxmlformats.org/officeDocument/2006/relationships/image" Target="media/4432effcc5f6f44b9178831efdaf2338c658c36d.jpg"/><Relationship Id="rId29" Type="http://schemas.openxmlformats.org/officeDocument/2006/relationships/image" Target="media/50e8892188ab26e17d2505d4da272193ea7de849.jpg"/><Relationship Id="rId30" Type="http://schemas.openxmlformats.org/officeDocument/2006/relationships/image" Target="media/1c8b8ddcd71a93f158a982417d38c0a99a77b696.jpg"/><Relationship Id="rId31" Type="http://schemas.openxmlformats.org/officeDocument/2006/relationships/image" Target="media/2123fca6546a1776189094adebe92e282d15b090.jpg"/><Relationship Id="rId32" Type="http://schemas.openxmlformats.org/officeDocument/2006/relationships/image" Target="media/befc82a2b9de96697ebdf701f482262dd44f8378.jpg"/><Relationship Id="rId33" Type="http://schemas.openxmlformats.org/officeDocument/2006/relationships/image" Target="media/a1b5d34746f3686ac3a8e9a111e40288901d08af.jpg"/><Relationship Id="rId34" Type="http://schemas.openxmlformats.org/officeDocument/2006/relationships/image" Target="media/c8cca60513b0002deb672cee14e46bfcc35d2b37.jpg"/><Relationship Id="rId35" Type="http://schemas.openxmlformats.org/officeDocument/2006/relationships/image" Target="media/1d6619b9674b2919b64f6a187c1e743bb151c83b.jpg"/><Relationship Id="rId36" Type="http://schemas.openxmlformats.org/officeDocument/2006/relationships/image" Target="media/ec1f03383798701c9a5ed9754b996512c79eb037.jpg"/><Relationship Id="rId37" Type="http://schemas.openxmlformats.org/officeDocument/2006/relationships/image" Target="media/c584303f0fdd04cf5355595cb89d78c10f830161.jpg"/><Relationship Id="rId38" Type="http://schemas.openxmlformats.org/officeDocument/2006/relationships/image" Target="media/357b00b66262ba7685acbda355fb8c006501ea4f.jpg"/><Relationship Id="rId39" Type="http://schemas.openxmlformats.org/officeDocument/2006/relationships/image" Target="media/e00865220f506dee2d9fe1e970d1f06c1907c6f0.jpg"/><Relationship Id="rId40" Type="http://schemas.openxmlformats.org/officeDocument/2006/relationships/image" Target="media/7f3dc5d50fcbb727dab8d4aaa693d622054b540b.jpg"/><Relationship Id="rId41" Type="http://schemas.openxmlformats.org/officeDocument/2006/relationships/image" Target="media/98944a46b070bad5773fbb0d72e7dd7d52c4e2a8.jpg"/><Relationship Id="rId42" Type="http://schemas.openxmlformats.org/officeDocument/2006/relationships/image" Target="media/275428c780a97e874d547e74178b053dcf0db269.jpg"/><Relationship Id="rId43" Type="http://schemas.openxmlformats.org/officeDocument/2006/relationships/image" Target="media/4fac5df6c9686d2d0b3fa093c5cf6aa1ea074e94.jpg"/><Relationship Id="rId44" Type="http://schemas.openxmlformats.org/officeDocument/2006/relationships/image" Target="media/946269947347a0943640007d8aea13d51398d542.jpg"/><Relationship Id="rId45" Type="http://schemas.openxmlformats.org/officeDocument/2006/relationships/image" Target="media/ed249e4e051821d61838c1729b4f7b430f370a24.jpg"/><Relationship Id="rId46" Type="http://schemas.openxmlformats.org/officeDocument/2006/relationships/image" Target="media/f0513aacbbecd59a42bf025f1857b6834a2ea207.jpg"/><Relationship Id="rId47" Type="http://schemas.openxmlformats.org/officeDocument/2006/relationships/image" Target="media/6b7110c80222de0817ccf621184546041a7264cf.jpg"/><Relationship Id="rId48" Type="http://schemas.openxmlformats.org/officeDocument/2006/relationships/image" Target="media/9a91da3da36eab67f490a95fda49e159d3e2fe4a.jpg"/><Relationship Id="rId49" Type="http://schemas.openxmlformats.org/officeDocument/2006/relationships/image" Target="media/a47d3ecd60e7840161a954afc6c2650a4bb183ed.jpg"/><Relationship Id="rId50" Type="http://schemas.openxmlformats.org/officeDocument/2006/relationships/image" Target="media/c988c5b6dd0ff60bc665709bd79fef102e876b64.jpg"/><Relationship Id="rId51" Type="http://schemas.openxmlformats.org/officeDocument/2006/relationships/image" Target="media/667eb30d4702357feba5c50b68c89bb1941915d5.jpg"/><Relationship Id="rId52" Type="http://schemas.openxmlformats.org/officeDocument/2006/relationships/image" Target="media/e4b36bb6e9766dc60d914e198fe2648485a122fb.jpg"/><Relationship Id="rId5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ec7767423571e44399f80317da09f83bd960d12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Evaluación de Riesgos de Incendio – Método MESERI – CEDI D1 Lebrija</dc:title>
  <dc:creator>Estudiante UTS</dc:creator>
  <cp:lastModifiedBy>Un-named</cp:lastModifiedBy>
  <cp:revision>1</cp:revision>
  <dcterms:created xsi:type="dcterms:W3CDTF">2026-10-23T19:15:01.092Z</dcterms:created>
  <dcterms:modified xsi:type="dcterms:W3CDTF">2026-10-23T19:15:01.094Z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