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  <w:jc w:val="center"/>
      </w:pPr>
      <w:r>
        <w:drawing>
          <wp:inline distT="0" distB="0" distL="0" distR="0">
            <wp:extent cx="1238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1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Angely Tatiana Osorio Sánchez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Docente: Jhonny Mauricio Ceron Cifuentes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Octubre de 2026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Accesos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Portería vehicular de 8 m de ancho y peatonal de 2 × 0,80 m. Edificio del CEDI con 6 entradas: 3 de 2,50 × 2,50 m y 3 de 2,50 × 0,80 m (alto × ancho).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f.), de la inspección en sitio y del personal del CEDI (comunicación personal, octubre de 2026).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Un piso con mezanine (coef. 3) y 18 m hasta las cerchas (entre 15 y 20 m, coef. 1). Se toma el menor: 1.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7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Estructura mixta: columnas de concreto (resistente, 10) y cerchas metálicas (no combustible, 5). Se toma un valor intermedio: 7.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con portería vehicular de 8 m de ancho (más de 4 m), vía perimetral alrededor del edificio y 6 entradas al edificio del CEDI.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plástico, apilados hasta 10 m: carga alta, más de 200 Mcal/m².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Combustibilidad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Cartón, madera de estibas y plástico de empaque: materiales de combustibilidad media (M.2 y M.3).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Mide el paso del fuego entre pisos. El edificio es de un piso, pero el mezanine de oficinas da a la bodega por ventanales de vidrio.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Ventanal del mezanine hacia la bodega.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Empaques plásticos (incluido PVC) y productos de aseo pueden liberar gases corrosivos, sin dañar de forma importante el edificio.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5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(más de 200 Mcal/m²)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todo el edificio, bajo la cubierta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7,44.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98ae398a421a0d06d2eb2111ffe8be6460b530fa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4432effcc5f6f44b9178831efdaf2338c658c36d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2026-10-23T19:11:12.562Z</dcterms:created>
  <dcterms:modified xsi:type="dcterms:W3CDTF">2026-10-23T19:11:12.567Z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