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/>
        <w:jc w:val="center"/>
      </w:pPr>
      <w:r>
        <w:drawing>
          <wp:inline distT="0" distB="0" distL="0" distR="0">
            <wp:extent cx="123825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10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Evaluación de Riesgos de Incendio con el Método MESERI</w:t>
      </w:r>
    </w:p>
    <w:p>
      <w:pPr>
        <w:pBdr>
          <w:bottom w:val="single" w:color="CAD225" w:sz="18" w:space="14"/>
        </w:pBd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en el CEDI D1 Bucaramanga / Lebrija</w:t>
      </w:r>
    </w:p>
    <w:p>
      <w:pPr>
        <w:spacing w:after="0" w:before="48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/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Angely Tatiana Osorio Sánchez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Electiva Complementaria Salud Ocupacional – Grupo E133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Docente: Jhonny Mauricio Ceron Cifuentes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Octubre de 2026</w:t>
      </w:r>
    </w:p>
    <w:p>
      <w:pPr>
        <w:pStyle w:val="Heading1"/>
        <w:keepNext/>
        <w:pageBreakBefore/>
      </w:pPr>
      <w:r>
        <w:t xml:space="preserve">Introducción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1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Accesos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Portería vehicular de 8 m de ancho y peatonal de 2 × 0,80 m. Bodega con 6 entradas: 3 de 2,50 × 2,50 m y 3 de 2,50 × 0,80 m (alto × ancho).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Elaboración propia con datos del Fondo Inmobiliario Colombia (s. f.), de la inspección en sitio y del personal del CEDI (comunicación personal, octubre de 2026).</w:t>
      </w:r>
    </w:p>
    <w:p>
      <w:pPr>
        <w:pStyle w:val="Heading1"/>
        <w:keepNext/>
      </w:pPr>
      <w:r>
        <w:t xml:space="preserve">Metodología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MAPFRE, s. f.) califica por separado dos grupos de factores y los combina en un coeficiente de protección P, de 0 a 10 (Unidades Tecnológicas de Santander, s. f.):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2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Factores Propios de las Instalaciones (X)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3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Un piso con mezanine (coef. 3) y 18 m hasta las cerchas (entre 15 y 20 m, coef. 1). Se toma el menor: 1.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de 17.432 m² medida en Google Maps (Google, s. f.),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7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Estructura mixta: columnas de concreto (resistente, 10) y cerchas metálicas (no combustible, 5). Se toma un valor intermedio: 7.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desde la Estación de Bomberos de Lebrija: 3,4 km y 5 min (Google, s. f.).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con portería vehicular de 8 m de ancho (más de 4 m), vía perimetral alrededor de la nave y 6 entradas a la bodega.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plástico, apilados hasta 10 m: carga alta, más de 200 Mcal/m².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Combustibilidad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Cartón, madera de estibas y plástico de empaque: materiales de combustibilidad media (M.2 y M.3).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Inventario y equipos ≈ 500.000 millones COP ÷ 17.432 m² ≈ 28,7 millones COP/m² (≈ 1.060.000 pts/m²). Supera 200.000 pts/m².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Vista general del almacén.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Mide el paso del fuego entre pisos. La nave es de un piso, pero el mezanine de oficinas da a la bodega por ventanales de vidrio.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Ventanal del mezanine hacia la bodega.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Empaques plásticos (incluido PVC) y productos de aseo pueden liberar gases corrosivos, sin dañar de forma importante el edificio.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Coeficientes asignados según la tabla del Método MESERI (Fundación MAPFRE, s. f.; Unidades Tecnológicas de Santander, s. f.). La altura de las estanterías, el acceso pavimentado, las medidas de los accesos y el valor del inventario los informó el personal del CEDI (comunicación personal, octubre de 2026).</w:t>
      </w:r>
    </w:p>
    <w:p>
      <w:pPr>
        <w:pStyle w:val="Heading1"/>
        <w:keepNext/>
      </w:pPr>
      <w:r>
        <w:t xml:space="preserve">Factores de Protección (Y)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 Se entiende por vigilancia la presencia permanente, todos los días del año, de una persona capacitada en el manejo de los equipos de extinción y con un plan de alarma (Unidades Tecnológicas de Santander, s. f.). Se califica con vigilancia porque el CEDI tiene personal de seguridad permanente en portería y los equipos reciben mantenimiento.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4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CV = con vigilancia; SV = sin vigilancia. El personal del CEDI identificó la toma exterior como hidrante (comunicación personal, octubre de 2026).</w:t>
      </w:r>
    </w:p>
    <w:p>
      <w:pPr>
        <w:pStyle w:val="Heading1"/>
        <w:keepNext/>
      </w:pPr>
      <w:r>
        <w:t xml:space="preserve">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no existe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5(22) / 26  +  0  =  2,209 + 4,231 + 0  =  6,44</w:t>
            </w:r>
          </w:p>
        </w:tc>
      </w:tr>
    </w:tbl>
    <w:p>
      <w:pPr>
        <w:spacing w:after="280"/>
      </w:pP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6,44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El CEDI no cuenta con brigada contra incendios, por lo que BCI = 0; la Tabla 5 muestra cómo mejoraría el resultado si se conformara una.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5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Si se conforma una brigada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La brigada contra incendios (BCI) suma 1 punto directamente a P. La ausencia de brigada la informó el personal del CEDI (comunicación personal, octubre de 2026).</w:t>
      </w:r>
    </w:p>
    <w:p>
      <w:pPr>
        <w:pStyle w:val="Heading1"/>
        <w:keepNext/>
      </w:pPr>
      <w:r>
        <w:t xml:space="preserve">Conclusiones y Recomendaciones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6,44)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pStyle w:val="Heading2"/>
        <w:keepNext/>
      </w:pPr>
      <w: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(más de 200 Mcal/m²) y mercancía muy sensible al calor y al humo.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Alta concentración de valores: cerca de 28,7 millones de pesos por m².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No existe brigada contra incendios.</w:t>
      </w:r>
    </w:p>
    <w:p>
      <w:pPr>
        <w:pStyle w:val="Heading2"/>
        <w:keepNext/>
      </w:pPr>
      <w: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pStyle w:val="Heading2"/>
        <w:keepNext/>
      </w:pPr>
      <w: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Conformar y capacitar una brigada contra incendios: P subiría a 7,44.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  <w:pageBreakBefore/>
      </w:pPr>
      <w:r>
        <w:t xml:space="preserve">Referencias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Google. (s. f.). [Medición de la superficie del CEDI D1 Lebrija y ruta desde la Estación de Bomberos de Lebrija, Santander].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Google Maps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Recuperado el 23 de octubre de 2026, de https://maps.google.com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Metodología: evaluación del riesgo de incendio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 [Diapositivas de clase]. Electiva Complementaria Salud Ocupacional.</w:t>
      </w:r>
    </w:p>
    <w:p>
      <w:pPr>
        <w:pStyle w:val="Heading1"/>
        <w:keepNext/>
        <w:pageBreakBefore/>
      </w:pPr>
      <w:r>
        <w:t xml:space="preserve">Anexo A</w:t>
      </w:r>
    </w:p>
    <w:p>
      <w:pPr>
        <w:spacing w:after="0" w:line="480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Registro Fotográfico Complementario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Figuras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jc w:val="center"/>
    </w:pP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 · CEDI D1 Lebrija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360" w:line="480"/>
      <w:jc w:val="center"/>
      <w:outlineLvl w:val="0"/>
    </w:pPr>
    <w:rPr>
      <w:rFonts w:ascii="Arial" w:cs="Arial" w:eastAsia="Arial" w:hAnsi="Arial"/>
      <w:b/>
      <w:bCs/>
      <w:color w:val="3B3B3B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spacing w:after="0" w:before="120" w:line="480"/>
      <w:jc w:val="left"/>
      <w:outlineLvl w:val="1"/>
    </w:pPr>
    <w:rPr>
      <w:rFonts w:ascii="Arial" w:cs="Arial" w:eastAsia="Arial" w:hAnsi="Arial"/>
      <w:b/>
      <w:bCs/>
      <w:color w:val="3B3B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98ae398a421a0d06d2eb2111ffe8be6460b530fa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4432effcc5f6f44b9178831efdaf2338c658c36d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2026-10-23T18:55:54.899Z</dcterms:created>
  <dcterms:modified xsi:type="dcterms:W3CDTF">2026-10-23T18:55:54.900Z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