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C6" w:rsidRDefault="004C0AC6" w:rsidP="004C0AC6">
      <w:r>
        <w:t xml:space="preserve">1. </w:t>
      </w:r>
      <w:proofErr w:type="gramStart"/>
      <w:r>
        <w:t>a</w:t>
      </w:r>
      <w:proofErr w:type="gramEnd"/>
      <w:r>
        <w:t>)</w:t>
      </w:r>
      <w:r w:rsidR="00A440C0">
        <w:t xml:space="preserve"> Parallel coordinate plot of original data</w:t>
      </w:r>
    </w:p>
    <w:p w:rsidR="004C0AC6" w:rsidRDefault="004C0AC6">
      <w:r>
        <w:rPr>
          <w:noProof/>
        </w:rPr>
        <w:drawing>
          <wp:inline distT="0" distB="0" distL="0" distR="0" wp14:anchorId="2276FECD" wp14:editId="5C0DCC6C">
            <wp:extent cx="4175017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017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CD" w:rsidRDefault="007300CD">
      <w:r>
        <w:t>This plot is color coded to show the properties that are above (green) and below (red) the mean price value. There appears to be a negative correlation of proportion of older units that are occupied by owners (“age”), per capital crime rate to value.</w:t>
      </w:r>
      <w:r w:rsidR="001B32ED">
        <w:t xml:space="preserve"> Nitric oxide concentration, number of rooms per dwelling, distance to employment center and parent-teacher ratio all seem to move in the same way.</w:t>
      </w:r>
    </w:p>
    <w:p w:rsidR="007300CD" w:rsidRDefault="007300CD"/>
    <w:p w:rsidR="004C0AC6" w:rsidRPr="00A440C0" w:rsidRDefault="004C0AC6">
      <w:r>
        <w:t xml:space="preserve">   (b)</w:t>
      </w:r>
      <w:r w:rsidR="00A440C0">
        <w:t xml:space="preserve"> Parallel coordinate plots of rank</w:t>
      </w:r>
      <w:r w:rsidR="00A440C0">
        <w:rPr>
          <w:i/>
        </w:rPr>
        <w:t xml:space="preserve"> k</w:t>
      </w:r>
      <w:r w:rsidR="00A440C0">
        <w:t xml:space="preserve"> approximations</w:t>
      </w:r>
    </w:p>
    <w:p w:rsidR="004C0AC6" w:rsidRDefault="004C0AC6">
      <w:r>
        <w:rPr>
          <w:noProof/>
        </w:rPr>
        <w:drawing>
          <wp:inline distT="0" distB="0" distL="0" distR="0" wp14:anchorId="0DF41FD7" wp14:editId="74A3EA48">
            <wp:extent cx="4175017" cy="2011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017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0EB92" wp14:editId="2305688E">
            <wp:extent cx="4175017" cy="2011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017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C6" w:rsidRDefault="00881B7B">
      <w:r>
        <w:rPr>
          <w:noProof/>
        </w:rPr>
        <w:lastRenderedPageBreak/>
        <w:drawing>
          <wp:inline distT="0" distB="0" distL="0" distR="0" wp14:anchorId="3B6CA70D" wp14:editId="19A9C965">
            <wp:extent cx="4175017" cy="2011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017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C6" w:rsidRDefault="004C0AC6">
      <w:r>
        <w:t xml:space="preserve">   </w:t>
      </w:r>
      <w:proofErr w:type="gramStart"/>
      <w:r>
        <w:t>c)</w:t>
      </w:r>
      <w:r w:rsidR="00A440C0">
        <w:t xml:space="preserve"> Parallel coordinate plots of residual matrices</w:t>
      </w:r>
      <w:r w:rsidR="00EC4BFC">
        <w:t xml:space="preserve"> for rank 1, 2, and 3 approximations.</w:t>
      </w:r>
      <w:proofErr w:type="gramEnd"/>
      <w:r w:rsidR="00EC4BFC">
        <w:t xml:space="preserve"> Scales are different for each plot, with the plot for rank 1 approximation showing the largest range of errors.</w:t>
      </w:r>
      <w:r w:rsidR="00353A04">
        <w:t xml:space="preserve"> </w:t>
      </w:r>
    </w:p>
    <w:p w:rsidR="004C0AC6" w:rsidRDefault="004C0AC6">
      <w:r>
        <w:rPr>
          <w:noProof/>
        </w:rPr>
        <w:drawing>
          <wp:inline distT="0" distB="0" distL="0" distR="0" wp14:anchorId="00C1C8E8" wp14:editId="6A052E72">
            <wp:extent cx="4175017" cy="2011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017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C6" w:rsidRDefault="00353A04">
      <w:r>
        <w:t>In Rank 1 approximation the largest errors occur in the full-value property and proportion of African-Americans variables</w:t>
      </w:r>
    </w:p>
    <w:p w:rsidR="004C0AC6" w:rsidRDefault="004C0AC6">
      <w:r>
        <w:rPr>
          <w:noProof/>
        </w:rPr>
        <w:drawing>
          <wp:inline distT="0" distB="0" distL="0" distR="0" wp14:anchorId="00F3A0EB" wp14:editId="171B5D17">
            <wp:extent cx="4175017" cy="2011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5017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04" w:rsidRDefault="00353A04">
      <w:r>
        <w:t>Overall errors are smaller for Rank 2 approximation, with the largest errors occurring in the crime rate and full-value property variables.</w:t>
      </w:r>
    </w:p>
    <w:p w:rsidR="00881B7B" w:rsidRDefault="00881B7B">
      <w:r>
        <w:rPr>
          <w:noProof/>
        </w:rPr>
        <w:lastRenderedPageBreak/>
        <w:drawing>
          <wp:inline distT="0" distB="0" distL="0" distR="0" wp14:anchorId="0477EB46" wp14:editId="41A21D21">
            <wp:extent cx="4175017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5017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C2" w:rsidRDefault="00353A04">
      <w:r>
        <w:t>The overall range of errors is smaller in Rank 3 approximation than in Rank 2 approximation.</w:t>
      </w:r>
    </w:p>
    <w:p w:rsidR="00353A04" w:rsidRDefault="00353A04"/>
    <w:p w:rsidR="008576C2" w:rsidRDefault="00A440C0">
      <w:r>
        <w:t xml:space="preserve">   d)</w:t>
      </w:r>
      <w:r w:rsidR="00D312AF">
        <w:t xml:space="preserve"> PCA of centered and scaled data</w:t>
      </w:r>
    </w:p>
    <w:p w:rsidR="0058669F" w:rsidRDefault="00353A04">
      <w:r>
        <w:rPr>
          <w:noProof/>
        </w:rPr>
        <w:drawing>
          <wp:anchor distT="0" distB="0" distL="114300" distR="114300" simplePos="0" relativeHeight="251658240" behindDoc="0" locked="0" layoutInCell="1" allowOverlap="1" wp14:anchorId="61F4CEF0" wp14:editId="07B3B1AC">
            <wp:simplePos x="0" y="0"/>
            <wp:positionH relativeFrom="column">
              <wp:posOffset>3192780</wp:posOffset>
            </wp:positionH>
            <wp:positionV relativeFrom="paragraph">
              <wp:posOffset>1146175</wp:posOffset>
            </wp:positionV>
            <wp:extent cx="2743200" cy="213868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18A46" wp14:editId="77826F4D">
            <wp:simplePos x="0" y="0"/>
            <wp:positionH relativeFrom="column">
              <wp:posOffset>57150</wp:posOffset>
            </wp:positionH>
            <wp:positionV relativeFrom="paragraph">
              <wp:posOffset>843915</wp:posOffset>
            </wp:positionV>
            <wp:extent cx="2747010" cy="27432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69F">
        <w:tab/>
        <w:t>1) PCA scatter plot</w:t>
      </w:r>
      <w:r>
        <w:t>. There appears to be a separation of groups when looking at PC 1 versus PC 3. When colored according to median value, these groups did not represent a higher or lower price (but perhaps this is because we are using X</w:t>
      </w:r>
      <w:r w:rsidRPr="00353A04">
        <w:rPr>
          <w:vertAlign w:val="subscript"/>
        </w:rPr>
        <w:t>14</w:t>
      </w:r>
      <w:r>
        <w:t xml:space="preserve"> in the analysis itself).</w:t>
      </w:r>
    </w:p>
    <w:p w:rsidR="00353A04" w:rsidRDefault="00353A04"/>
    <w:p w:rsidR="00353A04" w:rsidRDefault="00353A04">
      <w:r>
        <w:tab/>
        <w:t>2) The scree plot indicates that the majority of variation is explained by the first three Principal Components, with the remainder adding very little additional information.</w:t>
      </w:r>
    </w:p>
    <w:p w:rsidR="00353A04" w:rsidRDefault="00353A04"/>
    <w:p w:rsidR="00353A04" w:rsidRDefault="00353A04">
      <w:r>
        <w:br w:type="page"/>
      </w:r>
    </w:p>
    <w:p w:rsidR="0058669F" w:rsidRDefault="00535391">
      <w:r>
        <w:lastRenderedPageBreak/>
        <w:t xml:space="preserve">2. </w:t>
      </w:r>
    </w:p>
    <w:p w:rsidR="002B50C1" w:rsidRDefault="00855D7D" w:rsidP="00855D7D">
      <w:r>
        <w:t>a)</w:t>
      </w:r>
      <w:r w:rsidR="002B50C1">
        <w:t xml:space="preserve"> Eigenvector for second largest eigenvalue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2B50C1" w:rsidRPr="002B50C1" w:rsidTr="002B50C1">
        <w:tc>
          <w:tcPr>
            <w:tcW w:w="1197" w:type="dxa"/>
          </w:tcPr>
          <w:p w:rsidR="002B50C1" w:rsidRPr="002B50C1" w:rsidRDefault="002B50C1" w:rsidP="00C0410F">
            <w:pPr>
              <w:rPr>
                <w:sz w:val="18"/>
              </w:rPr>
            </w:pPr>
            <w:r w:rsidRPr="002B50C1">
              <w:rPr>
                <w:sz w:val="18"/>
              </w:rPr>
              <w:t>Cement</w:t>
            </w:r>
          </w:p>
        </w:tc>
        <w:tc>
          <w:tcPr>
            <w:tcW w:w="1197" w:type="dxa"/>
          </w:tcPr>
          <w:p w:rsidR="002B50C1" w:rsidRPr="002B50C1" w:rsidRDefault="002B50C1" w:rsidP="00C0410F">
            <w:pPr>
              <w:rPr>
                <w:sz w:val="18"/>
              </w:rPr>
            </w:pPr>
            <w:r w:rsidRPr="002B50C1">
              <w:rPr>
                <w:sz w:val="18"/>
              </w:rPr>
              <w:t>Slag</w:t>
            </w:r>
          </w:p>
        </w:tc>
        <w:tc>
          <w:tcPr>
            <w:tcW w:w="1197" w:type="dxa"/>
          </w:tcPr>
          <w:p w:rsidR="002B50C1" w:rsidRPr="002B50C1" w:rsidRDefault="002B50C1" w:rsidP="00C0410F">
            <w:pPr>
              <w:rPr>
                <w:sz w:val="18"/>
              </w:rPr>
            </w:pPr>
            <w:r w:rsidRPr="002B50C1">
              <w:rPr>
                <w:sz w:val="18"/>
              </w:rPr>
              <w:t>Ash</w:t>
            </w:r>
          </w:p>
        </w:tc>
        <w:tc>
          <w:tcPr>
            <w:tcW w:w="1197" w:type="dxa"/>
          </w:tcPr>
          <w:p w:rsidR="002B50C1" w:rsidRPr="002B50C1" w:rsidRDefault="002B50C1" w:rsidP="00C0410F">
            <w:pPr>
              <w:rPr>
                <w:sz w:val="18"/>
              </w:rPr>
            </w:pPr>
            <w:r w:rsidRPr="002B50C1">
              <w:rPr>
                <w:sz w:val="18"/>
              </w:rPr>
              <w:t>Water</w:t>
            </w:r>
          </w:p>
        </w:tc>
        <w:tc>
          <w:tcPr>
            <w:tcW w:w="1197" w:type="dxa"/>
          </w:tcPr>
          <w:p w:rsidR="002B50C1" w:rsidRPr="002B50C1" w:rsidRDefault="002B50C1" w:rsidP="00C0410F">
            <w:pPr>
              <w:rPr>
                <w:sz w:val="18"/>
              </w:rPr>
            </w:pPr>
            <w:r w:rsidRPr="002B50C1">
              <w:rPr>
                <w:sz w:val="18"/>
              </w:rPr>
              <w:t>Plasticizer</w:t>
            </w:r>
          </w:p>
        </w:tc>
        <w:tc>
          <w:tcPr>
            <w:tcW w:w="1197" w:type="dxa"/>
          </w:tcPr>
          <w:p w:rsidR="002B50C1" w:rsidRPr="002B50C1" w:rsidRDefault="002B50C1" w:rsidP="00C0410F">
            <w:pPr>
              <w:rPr>
                <w:sz w:val="18"/>
              </w:rPr>
            </w:pPr>
            <w:r w:rsidRPr="002B50C1">
              <w:rPr>
                <w:sz w:val="18"/>
              </w:rPr>
              <w:t>Coarse</w:t>
            </w:r>
          </w:p>
        </w:tc>
        <w:tc>
          <w:tcPr>
            <w:tcW w:w="1197" w:type="dxa"/>
          </w:tcPr>
          <w:p w:rsidR="002B50C1" w:rsidRPr="002B50C1" w:rsidRDefault="002B50C1" w:rsidP="00C0410F">
            <w:pPr>
              <w:rPr>
                <w:sz w:val="18"/>
              </w:rPr>
            </w:pPr>
            <w:r w:rsidRPr="002B50C1">
              <w:rPr>
                <w:sz w:val="18"/>
              </w:rPr>
              <w:t>Fine</w:t>
            </w:r>
          </w:p>
        </w:tc>
        <w:tc>
          <w:tcPr>
            <w:tcW w:w="1197" w:type="dxa"/>
          </w:tcPr>
          <w:p w:rsidR="002B50C1" w:rsidRPr="002B50C1" w:rsidRDefault="002B50C1" w:rsidP="00C0410F">
            <w:pPr>
              <w:rPr>
                <w:sz w:val="18"/>
              </w:rPr>
            </w:pPr>
            <w:r w:rsidRPr="002B50C1">
              <w:rPr>
                <w:sz w:val="18"/>
              </w:rPr>
              <w:t>Age</w:t>
            </w:r>
          </w:p>
        </w:tc>
      </w:tr>
      <w:tr w:rsidR="002B50C1" w:rsidRPr="002B50C1" w:rsidTr="002B50C1">
        <w:tc>
          <w:tcPr>
            <w:tcW w:w="1197" w:type="dxa"/>
          </w:tcPr>
          <w:p w:rsidR="002B50C1" w:rsidRPr="002B50C1" w:rsidRDefault="002B50C1" w:rsidP="00C0410F">
            <w:pPr>
              <w:rPr>
                <w:sz w:val="18"/>
              </w:rPr>
            </w:pPr>
            <w:r w:rsidRPr="002B50C1">
              <w:rPr>
                <w:sz w:val="18"/>
              </w:rPr>
              <w:t>0.11373709</w:t>
            </w:r>
          </w:p>
        </w:tc>
        <w:tc>
          <w:tcPr>
            <w:tcW w:w="1197" w:type="dxa"/>
          </w:tcPr>
          <w:p w:rsidR="002B50C1" w:rsidRPr="002B50C1" w:rsidRDefault="002B50C1" w:rsidP="00C0410F">
            <w:pPr>
              <w:rPr>
                <w:sz w:val="18"/>
              </w:rPr>
            </w:pPr>
            <w:r w:rsidRPr="002B50C1">
              <w:rPr>
                <w:sz w:val="18"/>
              </w:rPr>
              <w:t>-0.68605290</w:t>
            </w:r>
          </w:p>
        </w:tc>
        <w:tc>
          <w:tcPr>
            <w:tcW w:w="1197" w:type="dxa"/>
          </w:tcPr>
          <w:p w:rsidR="002B50C1" w:rsidRPr="002B50C1" w:rsidRDefault="002B50C1" w:rsidP="00C0410F">
            <w:pPr>
              <w:rPr>
                <w:sz w:val="18"/>
              </w:rPr>
            </w:pPr>
            <w:r w:rsidRPr="002B50C1">
              <w:rPr>
                <w:sz w:val="18"/>
              </w:rPr>
              <w:t>0.14294751</w:t>
            </w:r>
          </w:p>
        </w:tc>
        <w:tc>
          <w:tcPr>
            <w:tcW w:w="1197" w:type="dxa"/>
          </w:tcPr>
          <w:p w:rsidR="002B50C1" w:rsidRPr="002B50C1" w:rsidRDefault="002B50C1" w:rsidP="00C0410F">
            <w:pPr>
              <w:rPr>
                <w:sz w:val="18"/>
              </w:rPr>
            </w:pPr>
            <w:r w:rsidRPr="002B50C1">
              <w:rPr>
                <w:sz w:val="18"/>
              </w:rPr>
              <w:t>-0.05325628</w:t>
            </w:r>
          </w:p>
        </w:tc>
        <w:tc>
          <w:tcPr>
            <w:tcW w:w="1197" w:type="dxa"/>
          </w:tcPr>
          <w:p w:rsidR="002B50C1" w:rsidRPr="002B50C1" w:rsidRDefault="002B50C1" w:rsidP="00C0410F">
            <w:pPr>
              <w:rPr>
                <w:sz w:val="18"/>
              </w:rPr>
            </w:pPr>
            <w:r w:rsidRPr="002B50C1">
              <w:rPr>
                <w:sz w:val="18"/>
              </w:rPr>
              <w:t>-0.28292960</w:t>
            </w:r>
          </w:p>
        </w:tc>
        <w:tc>
          <w:tcPr>
            <w:tcW w:w="1197" w:type="dxa"/>
          </w:tcPr>
          <w:p w:rsidR="002B50C1" w:rsidRPr="002B50C1" w:rsidRDefault="002B50C1" w:rsidP="00C0410F">
            <w:pPr>
              <w:rPr>
                <w:sz w:val="18"/>
              </w:rPr>
            </w:pPr>
            <w:r w:rsidRPr="002B50C1">
              <w:rPr>
                <w:sz w:val="18"/>
              </w:rPr>
              <w:t>0.62994342</w:t>
            </w:r>
          </w:p>
        </w:tc>
        <w:tc>
          <w:tcPr>
            <w:tcW w:w="1197" w:type="dxa"/>
          </w:tcPr>
          <w:p w:rsidR="002B50C1" w:rsidRPr="002B50C1" w:rsidRDefault="002B50C1" w:rsidP="00C0410F">
            <w:pPr>
              <w:rPr>
                <w:sz w:val="18"/>
              </w:rPr>
            </w:pPr>
            <w:r w:rsidRPr="002B50C1">
              <w:rPr>
                <w:sz w:val="18"/>
              </w:rPr>
              <w:t>0.01939111</w:t>
            </w:r>
          </w:p>
        </w:tc>
        <w:tc>
          <w:tcPr>
            <w:tcW w:w="1197" w:type="dxa"/>
          </w:tcPr>
          <w:p w:rsidR="002B50C1" w:rsidRPr="002B50C1" w:rsidRDefault="002B50C1" w:rsidP="00C0410F">
            <w:pPr>
              <w:rPr>
                <w:sz w:val="18"/>
              </w:rPr>
            </w:pPr>
            <w:r w:rsidRPr="002B50C1">
              <w:rPr>
                <w:sz w:val="18"/>
              </w:rPr>
              <w:t>0.12598089</w:t>
            </w:r>
          </w:p>
        </w:tc>
      </w:tr>
    </w:tbl>
    <w:p w:rsidR="00B41218" w:rsidRDefault="00B41218" w:rsidP="00855D7D"/>
    <w:p w:rsidR="002B50C1" w:rsidRDefault="002B50C1" w:rsidP="00855D7D">
      <w:r>
        <w:t>Coarse aggregate and blast furnace slag contribute approximately equal amounts</w:t>
      </w:r>
      <w:r w:rsidR="00515D0C">
        <w:t xml:space="preserve"> to PC 2</w:t>
      </w:r>
      <w:r>
        <w:t>, but in opposite directions</w:t>
      </w:r>
      <w:r w:rsidR="00515D0C">
        <w:t xml:space="preserve">, and each contribution twice times the next highest factor, which is </w:t>
      </w:r>
      <w:proofErr w:type="spellStart"/>
      <w:r w:rsidR="00515D0C">
        <w:t>superplasticizer</w:t>
      </w:r>
      <w:proofErr w:type="spellEnd"/>
      <w:r w:rsidR="00515D0C">
        <w:t xml:space="preserve">. Each of cement, fly ash, and aging contribute about half of the </w:t>
      </w:r>
      <w:proofErr w:type="spellStart"/>
      <w:r w:rsidR="00515D0C">
        <w:t>superplasticizer</w:t>
      </w:r>
      <w:proofErr w:type="spellEnd"/>
      <w:r w:rsidR="00515D0C">
        <w:t xml:space="preserve"> contribution, and in the opposite direction. </w:t>
      </w:r>
      <w:r w:rsidR="00515D0C">
        <w:t>Water and fine aggregate are not important contributors to PC 2.</w:t>
      </w:r>
    </w:p>
    <w:p w:rsidR="00515D0C" w:rsidRDefault="00855D7D" w:rsidP="00855D7D">
      <w:r>
        <w:t>b)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15D0C" w:rsidRPr="00515D0C" w:rsidTr="00515D0C">
        <w:tc>
          <w:tcPr>
            <w:tcW w:w="1197" w:type="dxa"/>
          </w:tcPr>
          <w:p w:rsidR="00515D0C" w:rsidRPr="00515D0C" w:rsidRDefault="00515D0C" w:rsidP="00C3634A">
            <w:pPr>
              <w:rPr>
                <w:sz w:val="18"/>
              </w:rPr>
            </w:pPr>
            <w:r w:rsidRPr="00515D0C">
              <w:rPr>
                <w:sz w:val="18"/>
              </w:rPr>
              <w:t>Cement</w:t>
            </w:r>
          </w:p>
        </w:tc>
        <w:tc>
          <w:tcPr>
            <w:tcW w:w="1197" w:type="dxa"/>
          </w:tcPr>
          <w:p w:rsidR="00515D0C" w:rsidRPr="00515D0C" w:rsidRDefault="00515D0C" w:rsidP="00C3634A">
            <w:pPr>
              <w:rPr>
                <w:sz w:val="18"/>
              </w:rPr>
            </w:pPr>
            <w:r w:rsidRPr="00515D0C">
              <w:rPr>
                <w:sz w:val="18"/>
              </w:rPr>
              <w:t>Slag</w:t>
            </w:r>
          </w:p>
        </w:tc>
        <w:tc>
          <w:tcPr>
            <w:tcW w:w="1197" w:type="dxa"/>
          </w:tcPr>
          <w:p w:rsidR="00515D0C" w:rsidRPr="00515D0C" w:rsidRDefault="00515D0C" w:rsidP="00C3634A">
            <w:pPr>
              <w:rPr>
                <w:sz w:val="18"/>
              </w:rPr>
            </w:pPr>
            <w:r w:rsidRPr="00515D0C">
              <w:rPr>
                <w:sz w:val="18"/>
              </w:rPr>
              <w:t>Ash</w:t>
            </w:r>
          </w:p>
        </w:tc>
        <w:tc>
          <w:tcPr>
            <w:tcW w:w="1197" w:type="dxa"/>
          </w:tcPr>
          <w:p w:rsidR="00515D0C" w:rsidRPr="00515D0C" w:rsidRDefault="00515D0C" w:rsidP="00515D0C">
            <w:pPr>
              <w:rPr>
                <w:sz w:val="18"/>
              </w:rPr>
            </w:pPr>
            <w:r w:rsidRPr="00515D0C">
              <w:rPr>
                <w:sz w:val="18"/>
              </w:rPr>
              <w:t>Water</w:t>
            </w:r>
          </w:p>
        </w:tc>
        <w:tc>
          <w:tcPr>
            <w:tcW w:w="1197" w:type="dxa"/>
          </w:tcPr>
          <w:p w:rsidR="00515D0C" w:rsidRPr="00515D0C" w:rsidRDefault="00515D0C" w:rsidP="00C3634A">
            <w:pPr>
              <w:rPr>
                <w:sz w:val="18"/>
              </w:rPr>
            </w:pPr>
            <w:r w:rsidRPr="00515D0C">
              <w:rPr>
                <w:sz w:val="18"/>
              </w:rPr>
              <w:t>Plasticizer</w:t>
            </w:r>
          </w:p>
        </w:tc>
        <w:tc>
          <w:tcPr>
            <w:tcW w:w="1197" w:type="dxa"/>
          </w:tcPr>
          <w:p w:rsidR="00515D0C" w:rsidRPr="00515D0C" w:rsidRDefault="00515D0C" w:rsidP="00C3634A">
            <w:pPr>
              <w:rPr>
                <w:sz w:val="18"/>
              </w:rPr>
            </w:pPr>
            <w:r w:rsidRPr="00515D0C">
              <w:rPr>
                <w:sz w:val="18"/>
              </w:rPr>
              <w:t>Coarse</w:t>
            </w:r>
          </w:p>
        </w:tc>
        <w:tc>
          <w:tcPr>
            <w:tcW w:w="1197" w:type="dxa"/>
          </w:tcPr>
          <w:p w:rsidR="00515D0C" w:rsidRPr="00515D0C" w:rsidRDefault="00515D0C" w:rsidP="00C3634A">
            <w:pPr>
              <w:rPr>
                <w:sz w:val="18"/>
              </w:rPr>
            </w:pPr>
            <w:r w:rsidRPr="00515D0C">
              <w:rPr>
                <w:sz w:val="18"/>
              </w:rPr>
              <w:t>Fine</w:t>
            </w:r>
          </w:p>
        </w:tc>
        <w:tc>
          <w:tcPr>
            <w:tcW w:w="1197" w:type="dxa"/>
          </w:tcPr>
          <w:p w:rsidR="00515D0C" w:rsidRPr="00515D0C" w:rsidRDefault="00515D0C" w:rsidP="00C3634A">
            <w:pPr>
              <w:rPr>
                <w:sz w:val="18"/>
              </w:rPr>
            </w:pPr>
            <w:r w:rsidRPr="00515D0C">
              <w:rPr>
                <w:sz w:val="18"/>
              </w:rPr>
              <w:t>Age</w:t>
            </w:r>
          </w:p>
        </w:tc>
      </w:tr>
      <w:tr w:rsidR="00515D0C" w:rsidRPr="00515D0C" w:rsidTr="00515D0C">
        <w:tc>
          <w:tcPr>
            <w:tcW w:w="1197" w:type="dxa"/>
          </w:tcPr>
          <w:p w:rsidR="00515D0C" w:rsidRPr="00515D0C" w:rsidRDefault="00515D0C" w:rsidP="00C3634A">
            <w:pPr>
              <w:rPr>
                <w:sz w:val="18"/>
              </w:rPr>
            </w:pPr>
            <w:r w:rsidRPr="00515D0C">
              <w:rPr>
                <w:sz w:val="18"/>
              </w:rPr>
              <w:t>-0.44616267</w:t>
            </w:r>
          </w:p>
        </w:tc>
        <w:tc>
          <w:tcPr>
            <w:tcW w:w="1197" w:type="dxa"/>
          </w:tcPr>
          <w:p w:rsidR="00515D0C" w:rsidRPr="00515D0C" w:rsidRDefault="00515D0C" w:rsidP="00C3634A">
            <w:pPr>
              <w:rPr>
                <w:sz w:val="18"/>
              </w:rPr>
            </w:pPr>
            <w:r w:rsidRPr="00515D0C">
              <w:rPr>
                <w:sz w:val="18"/>
              </w:rPr>
              <w:t>-0.43738376</w:t>
            </w:r>
          </w:p>
        </w:tc>
        <w:tc>
          <w:tcPr>
            <w:tcW w:w="1197" w:type="dxa"/>
          </w:tcPr>
          <w:p w:rsidR="00515D0C" w:rsidRPr="00515D0C" w:rsidRDefault="00515D0C" w:rsidP="00C3634A">
            <w:pPr>
              <w:rPr>
                <w:sz w:val="18"/>
              </w:rPr>
            </w:pPr>
            <w:r w:rsidRPr="00515D0C">
              <w:rPr>
                <w:sz w:val="18"/>
              </w:rPr>
              <w:t>-0.38188581</w:t>
            </w:r>
          </w:p>
        </w:tc>
        <w:tc>
          <w:tcPr>
            <w:tcW w:w="1197" w:type="dxa"/>
          </w:tcPr>
          <w:p w:rsidR="00515D0C" w:rsidRPr="00515D0C" w:rsidRDefault="00515D0C" w:rsidP="00C3634A">
            <w:pPr>
              <w:rPr>
                <w:sz w:val="18"/>
              </w:rPr>
            </w:pPr>
            <w:r w:rsidRPr="00515D0C">
              <w:rPr>
                <w:sz w:val="18"/>
              </w:rPr>
              <w:t>-0.38874117</w:t>
            </w:r>
          </w:p>
        </w:tc>
        <w:tc>
          <w:tcPr>
            <w:tcW w:w="1197" w:type="dxa"/>
          </w:tcPr>
          <w:p w:rsidR="00515D0C" w:rsidRPr="00515D0C" w:rsidRDefault="00515D0C" w:rsidP="00C3634A">
            <w:pPr>
              <w:rPr>
                <w:sz w:val="18"/>
              </w:rPr>
            </w:pPr>
            <w:r w:rsidRPr="00515D0C">
              <w:rPr>
                <w:sz w:val="18"/>
              </w:rPr>
              <w:t>-0.05174995</w:t>
            </w:r>
          </w:p>
        </w:tc>
        <w:tc>
          <w:tcPr>
            <w:tcW w:w="1197" w:type="dxa"/>
          </w:tcPr>
          <w:p w:rsidR="00515D0C" w:rsidRPr="00515D0C" w:rsidRDefault="00515D0C" w:rsidP="00C3634A">
            <w:pPr>
              <w:rPr>
                <w:sz w:val="18"/>
              </w:rPr>
            </w:pPr>
            <w:r w:rsidRPr="00515D0C">
              <w:rPr>
                <w:sz w:val="18"/>
              </w:rPr>
              <w:t>-0.34931986</w:t>
            </w:r>
          </w:p>
        </w:tc>
        <w:tc>
          <w:tcPr>
            <w:tcW w:w="1197" w:type="dxa"/>
          </w:tcPr>
          <w:p w:rsidR="00515D0C" w:rsidRPr="00515D0C" w:rsidRDefault="00515D0C" w:rsidP="00C3634A">
            <w:pPr>
              <w:rPr>
                <w:sz w:val="18"/>
              </w:rPr>
            </w:pPr>
            <w:r w:rsidRPr="00515D0C">
              <w:rPr>
                <w:sz w:val="18"/>
              </w:rPr>
              <w:t>-0.43336994</w:t>
            </w:r>
          </w:p>
        </w:tc>
        <w:tc>
          <w:tcPr>
            <w:tcW w:w="1197" w:type="dxa"/>
          </w:tcPr>
          <w:p w:rsidR="00515D0C" w:rsidRPr="00515D0C" w:rsidRDefault="00515D0C" w:rsidP="00C3634A">
            <w:pPr>
              <w:rPr>
                <w:sz w:val="18"/>
              </w:rPr>
            </w:pPr>
            <w:r w:rsidRPr="00515D0C">
              <w:rPr>
                <w:sz w:val="18"/>
              </w:rPr>
              <w:t>-0.01288097</w:t>
            </w:r>
          </w:p>
        </w:tc>
      </w:tr>
    </w:tbl>
    <w:p w:rsidR="00515D0C" w:rsidRDefault="00515D0C"/>
    <w:p w:rsidR="00535391" w:rsidRDefault="00B41218">
      <w:r>
        <w:t xml:space="preserve">All but two of the variables contribute approximately equal weights to the last PC. </w:t>
      </w:r>
      <w:proofErr w:type="spellStart"/>
      <w:r>
        <w:t>Superplasticizer</w:t>
      </w:r>
      <w:proofErr w:type="spellEnd"/>
      <w:r>
        <w:t xml:space="preserve"> and aging have very little contribution to this PC. The last PC explains </w:t>
      </w:r>
      <w:r w:rsidR="00855D7D">
        <w:t xml:space="preserve">0.4% of the </w:t>
      </w:r>
      <w:r>
        <w:t>variability.</w:t>
      </w:r>
    </w:p>
    <w:p w:rsidR="00535391" w:rsidRDefault="0017674D">
      <w:r>
        <w:t>c) Correlation matrix</w:t>
      </w: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17674D" w:rsidRPr="0017674D" w:rsidTr="00145215"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Cement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Slag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Ash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Water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Plasticizer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Coarse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Fine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Age</w:t>
            </w:r>
          </w:p>
        </w:tc>
      </w:tr>
      <w:tr w:rsidR="00145215" w:rsidRPr="0017674D" w:rsidTr="00145215"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17674D" w:rsidRPr="0017674D" w:rsidRDefault="0017674D" w:rsidP="00145215">
            <w:r w:rsidRPr="0017674D">
              <w:t>Cement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1.00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0.28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F327A4">
              <w:t>-0.40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-0.08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0.09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-0.11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-0.22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0.08</w:t>
            </w:r>
          </w:p>
        </w:tc>
      </w:tr>
      <w:tr w:rsidR="00145215" w:rsidRPr="0017674D" w:rsidTr="00145215"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17674D" w:rsidRPr="0017674D" w:rsidRDefault="0017674D" w:rsidP="00145215">
            <w:r w:rsidRPr="0017674D">
              <w:t>Slag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0.28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1.00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-0.32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0.11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0.04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-0.28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-0.28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-0.04</w:t>
            </w:r>
          </w:p>
        </w:tc>
      </w:tr>
      <w:tr w:rsidR="0017674D" w:rsidRPr="0017674D" w:rsidTr="00145215"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17674D" w:rsidRPr="0017674D" w:rsidRDefault="0017674D" w:rsidP="00145215">
            <w:r w:rsidRPr="0017674D">
              <w:t>Ash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F327A4">
              <w:rPr>
                <w:highlight w:val="yellow"/>
              </w:rPr>
              <w:t>-0.40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-0.32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1.00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-0.26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0.38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-0.01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0.08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-0.15</w:t>
            </w:r>
          </w:p>
        </w:tc>
      </w:tr>
      <w:tr w:rsidR="0017674D" w:rsidRPr="0017674D" w:rsidTr="00145215"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17674D" w:rsidRPr="0017674D" w:rsidRDefault="0017674D" w:rsidP="00145215">
            <w:r w:rsidRPr="0017674D">
              <w:t>Water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-0.08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0.11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-0.26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1.00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-0.66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-0.18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-0.45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0.28</w:t>
            </w:r>
          </w:p>
        </w:tc>
      </w:tr>
      <w:tr w:rsidR="0017674D" w:rsidRPr="0017674D" w:rsidTr="00145215"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17674D" w:rsidRPr="0017674D" w:rsidRDefault="0017674D" w:rsidP="00145215">
            <w:r w:rsidRPr="0017674D">
              <w:t>Plasticizer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0.09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0.04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0.38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122BD">
              <w:rPr>
                <w:highlight w:val="yellow"/>
              </w:rPr>
              <w:t>-0.66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1.00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-0.27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0.22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-0.19</w:t>
            </w:r>
          </w:p>
        </w:tc>
      </w:tr>
      <w:tr w:rsidR="0017674D" w:rsidRPr="0017674D" w:rsidTr="00145215"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17674D" w:rsidRPr="0017674D" w:rsidRDefault="0017674D" w:rsidP="00145215">
            <w:r w:rsidRPr="0017674D">
              <w:t>Coarse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-0.11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-0.28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-0.01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-0.18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-0.27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1.00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-0.18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0.00</w:t>
            </w:r>
          </w:p>
        </w:tc>
      </w:tr>
      <w:tr w:rsidR="0017674D" w:rsidRPr="0017674D" w:rsidTr="00907629"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17674D" w:rsidRPr="0017674D" w:rsidRDefault="0017674D" w:rsidP="00145215">
            <w:r w:rsidRPr="0017674D">
              <w:t>Fine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-0.22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-0.28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0.08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991612">
              <w:rPr>
                <w:highlight w:val="yellow"/>
              </w:rPr>
              <w:t>-0.45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0.22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-0.18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1.00</w:t>
            </w:r>
          </w:p>
        </w:tc>
        <w:tc>
          <w:tcPr>
            <w:tcW w:w="1152" w:type="dxa"/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-0.16</w:t>
            </w:r>
          </w:p>
        </w:tc>
      </w:tr>
      <w:tr w:rsidR="0017674D" w:rsidRPr="0017674D" w:rsidTr="00907629">
        <w:tc>
          <w:tcPr>
            <w:tcW w:w="115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7674D" w:rsidRPr="0017674D" w:rsidRDefault="0017674D" w:rsidP="00145215">
            <w:r w:rsidRPr="0017674D">
              <w:t>Age</w:t>
            </w: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0.08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-0.04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-0.15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0.28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-0.19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0.00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-0.16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:rsidR="0017674D" w:rsidRPr="0017674D" w:rsidRDefault="0017674D" w:rsidP="0017674D">
            <w:pPr>
              <w:jc w:val="center"/>
            </w:pPr>
            <w:r w:rsidRPr="0017674D">
              <w:t>1.00</w:t>
            </w:r>
          </w:p>
        </w:tc>
      </w:tr>
    </w:tbl>
    <w:p w:rsidR="00907629" w:rsidRDefault="00907629" w:rsidP="0017674D"/>
    <w:p w:rsidR="00CD5945" w:rsidRDefault="002C47C3" w:rsidP="0017674D">
      <w:r>
        <w:t xml:space="preserve">The strongest correlations </w:t>
      </w:r>
      <w:r w:rsidR="00F327A4">
        <w:t xml:space="preserve">shown </w:t>
      </w:r>
      <w:r>
        <w:t xml:space="preserve">are the negative correlations </w:t>
      </w:r>
      <w:r w:rsidR="00F327A4">
        <w:t xml:space="preserve">between fly ash and cement, </w:t>
      </w:r>
      <w:proofErr w:type="spellStart"/>
      <w:r w:rsidR="00F327A4">
        <w:t>superplasticizer</w:t>
      </w:r>
      <w:proofErr w:type="spellEnd"/>
      <w:r w:rsidR="00F327A4">
        <w:t xml:space="preserve"> and </w:t>
      </w:r>
      <w:proofErr w:type="gramStart"/>
      <w:r w:rsidR="00F327A4">
        <w:t>water</w:t>
      </w:r>
      <w:r>
        <w:t xml:space="preserve"> </w:t>
      </w:r>
      <w:r w:rsidR="00F327A4">
        <w:t>,</w:t>
      </w:r>
      <w:proofErr w:type="gramEnd"/>
      <w:r w:rsidR="00F327A4">
        <w:t xml:space="preserve"> and fine aggregate and water. </w:t>
      </w:r>
      <w:proofErr w:type="spellStart"/>
      <w:r w:rsidR="00CD5945">
        <w:t>Superplasticizer</w:t>
      </w:r>
      <w:proofErr w:type="spellEnd"/>
      <w:r w:rsidR="00CD5945">
        <w:t xml:space="preserve"> and fly ash also show a moderate </w:t>
      </w:r>
      <w:r>
        <w:t xml:space="preserve">positive </w:t>
      </w:r>
      <w:r w:rsidR="00CD5945">
        <w:t>correlation.</w:t>
      </w:r>
    </w:p>
    <w:p w:rsidR="00535391" w:rsidRDefault="0017674D">
      <w:r>
        <w:t>d)</w:t>
      </w:r>
      <w:r w:rsidR="00CD5945">
        <w:t xml:space="preserve"> </w:t>
      </w:r>
      <w:r w:rsidR="00CD5945">
        <w:t xml:space="preserve">There is some </w:t>
      </w:r>
      <w:proofErr w:type="spellStart"/>
      <w:r w:rsidR="00CD5945">
        <w:t>multicollinearity</w:t>
      </w:r>
      <w:proofErr w:type="spellEnd"/>
      <w:r w:rsidR="00CD5945">
        <w:t xml:space="preserve"> in the explanatory variables, particularly among fly ash, cement, water, and </w:t>
      </w:r>
      <w:proofErr w:type="spellStart"/>
      <w:r w:rsidR="00CD5945">
        <w:t>superplasticizer</w:t>
      </w:r>
      <w:proofErr w:type="spellEnd"/>
      <w:r w:rsidR="00CD5945">
        <w:t xml:space="preserve">. </w:t>
      </w:r>
      <w:r w:rsidR="00CD5945">
        <w:t>Correlation in the explanatory variables</w:t>
      </w:r>
      <w:r w:rsidR="00CD5945">
        <w:t xml:space="preserve"> results in non-unique coefficient estimates in ordinary least squares analysis.</w:t>
      </w:r>
      <w:r w:rsidR="008A0910">
        <w:t xml:space="preserve"> The variances and </w:t>
      </w:r>
      <w:proofErr w:type="spellStart"/>
      <w:r w:rsidR="008A0910">
        <w:t>covariances</w:t>
      </w:r>
      <w:proofErr w:type="spellEnd"/>
      <w:r w:rsidR="008A0910">
        <w:t xml:space="preserve"> are therefore large.</w:t>
      </w:r>
    </w:p>
    <w:p w:rsidR="004A5C98" w:rsidRDefault="00ED1D6A">
      <w:r>
        <w:t xml:space="preserve">e) </w:t>
      </w:r>
      <w:r w:rsidR="008A0910">
        <w:t>For a regression model, I would use at least t</w:t>
      </w:r>
      <w:r>
        <w:t>he first 5 principal components</w:t>
      </w:r>
      <w:r w:rsidR="008A0910">
        <w:t>.</w:t>
      </w:r>
      <w:r>
        <w:t xml:space="preserve"> </w:t>
      </w:r>
      <w:r w:rsidR="008A0910">
        <w:t xml:space="preserve">These PCs </w:t>
      </w:r>
      <w:r>
        <w:t xml:space="preserve">explain </w:t>
      </w:r>
      <w:r w:rsidR="004A5C98">
        <w:t xml:space="preserve">87.5% of the </w:t>
      </w:r>
      <w:r w:rsidR="008A0910">
        <w:t>variance.</w:t>
      </w:r>
      <w:bookmarkStart w:id="0" w:name="_GoBack"/>
      <w:bookmarkEnd w:id="0"/>
    </w:p>
    <w:sectPr w:rsidR="004A5C9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2D7" w:rsidRDefault="006762D7" w:rsidP="007300CD">
      <w:pPr>
        <w:spacing w:after="0" w:line="240" w:lineRule="auto"/>
      </w:pPr>
      <w:r>
        <w:separator/>
      </w:r>
    </w:p>
  </w:endnote>
  <w:endnote w:type="continuationSeparator" w:id="0">
    <w:p w:rsidR="006762D7" w:rsidRDefault="006762D7" w:rsidP="0073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2D7" w:rsidRDefault="006762D7" w:rsidP="007300CD">
      <w:pPr>
        <w:spacing w:after="0" w:line="240" w:lineRule="auto"/>
      </w:pPr>
      <w:r>
        <w:separator/>
      </w:r>
    </w:p>
  </w:footnote>
  <w:footnote w:type="continuationSeparator" w:id="0">
    <w:p w:rsidR="006762D7" w:rsidRDefault="006762D7" w:rsidP="00730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0CD" w:rsidRDefault="007300CD">
    <w:pPr>
      <w:pStyle w:val="Header"/>
    </w:pPr>
    <w:r>
      <w:t>Barbara Andre HW2 STAT 560 FALL 2014 10/1/14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665C"/>
    <w:multiLevelType w:val="hybridMultilevel"/>
    <w:tmpl w:val="86BE9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EDF"/>
    <w:rsid w:val="001122BD"/>
    <w:rsid w:val="00112A24"/>
    <w:rsid w:val="00145215"/>
    <w:rsid w:val="0017674D"/>
    <w:rsid w:val="001B32ED"/>
    <w:rsid w:val="002B50C1"/>
    <w:rsid w:val="002C47C3"/>
    <w:rsid w:val="00353A04"/>
    <w:rsid w:val="004A5C98"/>
    <w:rsid w:val="004C0AC6"/>
    <w:rsid w:val="004C4EDF"/>
    <w:rsid w:val="00515D0C"/>
    <w:rsid w:val="00535391"/>
    <w:rsid w:val="0058669F"/>
    <w:rsid w:val="006762D7"/>
    <w:rsid w:val="007300CD"/>
    <w:rsid w:val="007956DD"/>
    <w:rsid w:val="00855D7D"/>
    <w:rsid w:val="008576C2"/>
    <w:rsid w:val="00881B7B"/>
    <w:rsid w:val="008A0910"/>
    <w:rsid w:val="00907629"/>
    <w:rsid w:val="00991612"/>
    <w:rsid w:val="00A440C0"/>
    <w:rsid w:val="00B41218"/>
    <w:rsid w:val="00CD5945"/>
    <w:rsid w:val="00D25893"/>
    <w:rsid w:val="00D312AF"/>
    <w:rsid w:val="00E37DCE"/>
    <w:rsid w:val="00EC4BFC"/>
    <w:rsid w:val="00ED1D6A"/>
    <w:rsid w:val="00F3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AC6"/>
    <w:pPr>
      <w:ind w:left="720"/>
      <w:contextualSpacing/>
    </w:pPr>
  </w:style>
  <w:style w:type="table" w:styleId="TableGrid">
    <w:name w:val="Table Grid"/>
    <w:basedOn w:val="TableNormal"/>
    <w:uiPriority w:val="59"/>
    <w:rsid w:val="00176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CD"/>
  </w:style>
  <w:style w:type="paragraph" w:styleId="Footer">
    <w:name w:val="footer"/>
    <w:basedOn w:val="Normal"/>
    <w:link w:val="FooterChar"/>
    <w:uiPriority w:val="99"/>
    <w:unhideWhenUsed/>
    <w:rsid w:val="0073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AC6"/>
    <w:pPr>
      <w:ind w:left="720"/>
      <w:contextualSpacing/>
    </w:pPr>
  </w:style>
  <w:style w:type="table" w:styleId="TableGrid">
    <w:name w:val="Table Grid"/>
    <w:basedOn w:val="TableNormal"/>
    <w:uiPriority w:val="59"/>
    <w:rsid w:val="00176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CD"/>
  </w:style>
  <w:style w:type="paragraph" w:styleId="Footer">
    <w:name w:val="footer"/>
    <w:basedOn w:val="Normal"/>
    <w:link w:val="FooterChar"/>
    <w:uiPriority w:val="99"/>
    <w:unhideWhenUsed/>
    <w:rsid w:val="0073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Uncommon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Andre</dc:creator>
  <cp:lastModifiedBy>Andre,Barb</cp:lastModifiedBy>
  <cp:revision>21</cp:revision>
  <cp:lastPrinted>2014-10-01T17:48:00Z</cp:lastPrinted>
  <dcterms:created xsi:type="dcterms:W3CDTF">2014-10-01T02:38:00Z</dcterms:created>
  <dcterms:modified xsi:type="dcterms:W3CDTF">2014-10-01T17:59:00Z</dcterms:modified>
</cp:coreProperties>
</file>