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Steyerberg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Based </w:t>
      </w:r>
      <w:r w:rsidR="003A5099">
        <w:rPr>
          <w:rFonts w:ascii="Calibri" w:eastAsia="Calibri" w:hAnsi="Calibri" w:cs="Calibri"/>
          <w:lang w:val="nl-NL"/>
        </w:rPr>
        <w:t>Operation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713FBB98" w14:textId="7873906C" w:rsidR="004E657C" w:rsidRDefault="00E71200" w:rsidP="00B07D8C">
      <w:pPr>
        <w:spacing w:line="276" w:lineRule="auto"/>
        <w:rPr>
          <w:rFonts w:ascii="Calibri" w:hAnsi="Calibri" w:cs="Calibri"/>
        </w:rPr>
      </w:pPr>
      <w:r w:rsidRPr="00E71200">
        <w:rPr>
          <w:rFonts w:ascii="Calibri" w:hAnsi="Calibri" w:cs="Calibri"/>
        </w:rPr>
        <w:t xml:space="preserve">Class I </w:t>
      </w:r>
      <w:r w:rsidR="00964D07" w:rsidRPr="00E71200">
        <w:rPr>
          <w:rFonts w:ascii="Calibri" w:hAnsi="Calibri" w:cs="Calibri"/>
        </w:rPr>
        <w:t xml:space="preserve">evidence was </w:t>
      </w:r>
      <w:r w:rsidRPr="00E71200">
        <w:rPr>
          <w:rFonts w:ascii="Calibri" w:hAnsi="Calibri" w:cs="Calibri"/>
        </w:rPr>
        <w:t xml:space="preserve">not available for most </w:t>
      </w:r>
      <w:r w:rsidR="00964D07" w:rsidRPr="00E71200">
        <w:rPr>
          <w:rFonts w:ascii="Calibri" w:hAnsi="Calibri" w:cs="Calibri"/>
        </w:rPr>
        <w:t xml:space="preserve">surgeries. If </w:t>
      </w:r>
      <w:r w:rsidRPr="00E71200">
        <w:rPr>
          <w:rFonts w:ascii="Calibri" w:hAnsi="Calibri" w:cs="Calibri"/>
        </w:rPr>
        <w:t>best available evidence was used</w:t>
      </w:r>
      <w:r w:rsidR="0069315C" w:rsidRPr="00E71200">
        <w:rPr>
          <w:rFonts w:ascii="Calibri" w:hAnsi="Calibri" w:cs="Calibri"/>
        </w:rPr>
        <w:t>, t</w:t>
      </w:r>
      <w:r w:rsidR="00950350" w:rsidRPr="00E71200">
        <w:rPr>
          <w:rFonts w:ascii="Calibri" w:hAnsi="Calibri" w:cs="Calibri"/>
        </w:rPr>
        <w:t>he t</w:t>
      </w:r>
      <w:r w:rsidR="00E0358A" w:rsidRPr="00E71200">
        <w:rPr>
          <w:rFonts w:ascii="Calibri" w:hAnsi="Calibri" w:cs="Calibri"/>
        </w:rPr>
        <w:t>h</w:t>
      </w:r>
      <w:r w:rsidR="00950350" w:rsidRPr="00E71200">
        <w:rPr>
          <w:rFonts w:ascii="Calibri" w:hAnsi="Calibri" w:cs="Calibri"/>
        </w:rPr>
        <w:t>ree most u</w:t>
      </w:r>
      <w:r w:rsidR="00354D49" w:rsidRPr="00E71200">
        <w:rPr>
          <w:rFonts w:ascii="Calibri" w:hAnsi="Calibri" w:cs="Calibri"/>
        </w:rPr>
        <w:t xml:space="preserve">rgent </w:t>
      </w:r>
      <w:r w:rsidR="00ED4E16" w:rsidRPr="00E71200">
        <w:rPr>
          <w:rFonts w:ascii="Calibri" w:hAnsi="Calibri" w:cs="Calibri"/>
        </w:rPr>
        <w:t>surgeries</w:t>
      </w:r>
      <w:r w:rsidR="00354D49" w:rsidRPr="00E71200">
        <w:rPr>
          <w:rFonts w:ascii="Calibri" w:hAnsi="Calibri" w:cs="Calibri"/>
        </w:rPr>
        <w:t xml:space="preserve"> were </w:t>
      </w:r>
      <w:r w:rsidR="00F3324B" w:rsidRPr="004323E1">
        <w:rPr>
          <w:rFonts w:ascii="Calibri" w:hAnsi="Calibri" w:cs="Calibri"/>
        </w:rPr>
        <w:t>bypass surgery for Fontaine III/IV peripheral arterial disease</w:t>
      </w:r>
      <w:r w:rsidR="00F3324B" w:rsidRPr="00E71200">
        <w:rPr>
          <w:rFonts w:ascii="Calibri" w:hAnsi="Calibri" w:cs="Calibri"/>
        </w:rPr>
        <w:t xml:space="preserve"> </w:t>
      </w:r>
      <w:r w:rsidR="00354D49" w:rsidRPr="00E71200">
        <w:rPr>
          <w:rFonts w:ascii="Calibri" w:hAnsi="Calibri" w:cs="Calibri"/>
        </w:rPr>
        <w:t>(</w:t>
      </w:r>
      <w:r w:rsidR="00F3324B" w:rsidRPr="004323E1">
        <w:rPr>
          <w:rFonts w:ascii="Calibri" w:hAnsi="Calibri" w:cs="Calibri"/>
        </w:rPr>
        <w:t>0.23 QALY loss/</w:t>
      </w:r>
      <w:r w:rsidR="00F3324B">
        <w:rPr>
          <w:rFonts w:ascii="Calibri" w:hAnsi="Calibri" w:cs="Calibri"/>
        </w:rPr>
        <w:t xml:space="preserve">month </w:t>
      </w:r>
      <w:r w:rsidR="00F3324B" w:rsidRPr="004323E1">
        <w:rPr>
          <w:rFonts w:ascii="Calibri" w:hAnsi="Calibri" w:cs="Calibri"/>
        </w:rPr>
        <w:t>0.09 - 0.24</w:t>
      </w:r>
      <w:r w:rsidR="005145A4" w:rsidRPr="00E71200">
        <w:rPr>
          <w:rFonts w:ascii="Calibri" w:hAnsi="Calibri" w:cs="Calibri"/>
        </w:rPr>
        <w:t>)</w:t>
      </w:r>
      <w:r w:rsidR="00354D49" w:rsidRPr="00E71200">
        <w:rPr>
          <w:rFonts w:ascii="Calibri" w:hAnsi="Calibri" w:cs="Calibri"/>
        </w:rPr>
        <w:t xml:space="preserve">, </w:t>
      </w:r>
      <w:r w:rsidR="00F3324B" w:rsidRPr="004323E1">
        <w:rPr>
          <w:rFonts w:ascii="Calibri" w:hAnsi="Calibri" w:cs="Calibri"/>
        </w:rPr>
        <w:t>transaortic valve implantation (0.15 QALY loss/month, 95% CI: 0.09 - 0.24), and total nephrectomy for renal carcinoma (0.12 QALY loss/month, 95% CI: 0.09 - 0.15</w:t>
      </w:r>
      <w:r w:rsidR="00F3324B">
        <w:rPr>
          <w:rFonts w:ascii="Calibri" w:hAnsi="Calibri" w:cs="Calibri"/>
        </w:rPr>
        <w:t>)</w:t>
      </w:r>
      <w:r w:rsidR="00354D49" w:rsidRPr="00E71200">
        <w:rPr>
          <w:rFonts w:ascii="Calibri" w:hAnsi="Calibri" w:cs="Calibri"/>
        </w:rPr>
        <w:t xml:space="preserve">. The </w:t>
      </w:r>
      <w:r w:rsidR="27D80749" w:rsidRPr="00E71200">
        <w:rPr>
          <w:rFonts w:ascii="Calibri" w:hAnsi="Calibri" w:cs="Calibri"/>
        </w:rPr>
        <w:t>three</w:t>
      </w:r>
      <w:r w:rsidR="00354D49" w:rsidRPr="00E71200">
        <w:rPr>
          <w:rFonts w:ascii="Calibri" w:hAnsi="Calibri" w:cs="Calibri"/>
        </w:rPr>
        <w:t xml:space="preserve"> least urgent </w:t>
      </w:r>
      <w:r w:rsidR="00F203BD" w:rsidRPr="00E71200">
        <w:rPr>
          <w:rFonts w:ascii="Calibri" w:hAnsi="Calibri" w:cs="Calibri"/>
        </w:rPr>
        <w:t>surgeries</w:t>
      </w:r>
      <w:r w:rsidR="00354D49" w:rsidRPr="00E71200">
        <w:rPr>
          <w:rFonts w:ascii="Calibri" w:hAnsi="Calibri" w:cs="Calibri"/>
        </w:rPr>
        <w:t xml:space="preserve"> were</w:t>
      </w:r>
      <w:r w:rsidR="09766975" w:rsidRPr="00E71200">
        <w:rPr>
          <w:rFonts w:ascii="Calibri" w:hAnsi="Calibri" w:cs="Calibri"/>
        </w:rPr>
        <w:t xml:space="preserve"> placing a shunt for </w:t>
      </w:r>
      <w:r w:rsidR="5B7A8D53" w:rsidRPr="00E71200">
        <w:rPr>
          <w:rFonts w:ascii="Calibri" w:hAnsi="Calibri" w:cs="Calibri"/>
        </w:rPr>
        <w:t>dialysis</w:t>
      </w:r>
      <w:r w:rsidR="09766975" w:rsidRPr="00E71200">
        <w:rPr>
          <w:rFonts w:ascii="Calibri" w:hAnsi="Calibri" w:cs="Calibri"/>
        </w:rPr>
        <w:t xml:space="preserve"> </w:t>
      </w:r>
      <w:r w:rsidR="00354D49" w:rsidRPr="00E71200">
        <w:rPr>
          <w:rFonts w:ascii="Calibri" w:hAnsi="Calibri" w:cs="Calibri"/>
        </w:rPr>
        <w:t>(</w:t>
      </w:r>
      <w:r w:rsidR="00B36A8C" w:rsidRPr="00E71200">
        <w:rPr>
          <w:rFonts w:ascii="Calibri" w:hAnsi="Calibri" w:cs="Calibri"/>
        </w:rPr>
        <w:t>0.0</w:t>
      </w:r>
      <w:r w:rsidR="707B638D" w:rsidRPr="00E71200">
        <w:rPr>
          <w:rFonts w:ascii="Calibri" w:hAnsi="Calibri" w:cs="Calibri"/>
        </w:rPr>
        <w:t>1</w:t>
      </w:r>
      <w:r w:rsidR="0002381C" w:rsidRPr="00E71200">
        <w:rPr>
          <w:rFonts w:ascii="Calibri" w:hAnsi="Calibri" w:cs="Calibri"/>
        </w:rPr>
        <w:t>,</w:t>
      </w:r>
      <w:r w:rsidR="001545FF" w:rsidRPr="00E71200">
        <w:rPr>
          <w:rFonts w:ascii="Calibri" w:hAnsi="Calibri" w:cs="Calibri"/>
        </w:rPr>
        <w:t xml:space="preserve"> 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00354D49" w:rsidRPr="00E71200">
        <w:rPr>
          <w:rFonts w:ascii="Calibri" w:hAnsi="Calibri" w:cs="Calibri"/>
        </w:rPr>
        <w:t xml:space="preserve"> </w:t>
      </w:r>
      <w:r w:rsidR="007259FA" w:rsidRPr="00E71200">
        <w:rPr>
          <w:rFonts w:ascii="Calibri" w:hAnsi="Calibri" w:cs="Calibri"/>
        </w:rPr>
        <w:t xml:space="preserve">0.005 </w:t>
      </w:r>
      <w:r w:rsidR="0002381C" w:rsidRPr="00E71200">
        <w:rPr>
          <w:rFonts w:ascii="Calibri" w:hAnsi="Calibri" w:cs="Calibri"/>
        </w:rPr>
        <w:t>-</w:t>
      </w:r>
      <w:r w:rsidR="007259FA" w:rsidRPr="00E71200">
        <w:rPr>
          <w:rFonts w:ascii="Calibri" w:hAnsi="Calibri" w:cs="Calibri"/>
        </w:rPr>
        <w:t xml:space="preserve"> </w:t>
      </w:r>
      <w:r w:rsidR="00B36A8C" w:rsidRPr="00E71200">
        <w:rPr>
          <w:rFonts w:ascii="Calibri" w:hAnsi="Calibri" w:cs="Calibri"/>
        </w:rPr>
        <w:t>0.0</w:t>
      </w:r>
      <w:r w:rsidR="2F7E9E83" w:rsidRPr="00E71200">
        <w:rPr>
          <w:rFonts w:ascii="Calibri" w:hAnsi="Calibri" w:cs="Calibri"/>
        </w:rPr>
        <w:t>1</w:t>
      </w:r>
      <w:r w:rsidR="00B36A8C" w:rsidRPr="00E71200">
        <w:rPr>
          <w:rFonts w:ascii="Calibri" w:hAnsi="Calibri" w:cs="Calibri"/>
        </w:rPr>
        <w:t xml:space="preserve">), </w:t>
      </w:r>
      <w:r w:rsidR="5260BC75" w:rsidRPr="00E71200">
        <w:rPr>
          <w:rFonts w:ascii="Calibri" w:hAnsi="Calibri" w:cs="Calibri"/>
        </w:rPr>
        <w:t xml:space="preserve">thyroid </w:t>
      </w:r>
      <w:r w:rsidR="00AF0E0B" w:rsidRPr="00E71200">
        <w:rPr>
          <w:rFonts w:ascii="Calibri" w:hAnsi="Calibri" w:cs="Calibri"/>
        </w:rPr>
        <w:t>carcinoma</w:t>
      </w:r>
      <w:r w:rsidR="00556FF3" w:rsidRPr="00E71200">
        <w:rPr>
          <w:rFonts w:ascii="Calibri" w:hAnsi="Calibri" w:cs="Calibri"/>
        </w:rPr>
        <w:t xml:space="preserve"> resection</w:t>
      </w:r>
      <w:r w:rsidR="5260BC75" w:rsidRPr="00E71200">
        <w:rPr>
          <w:rFonts w:ascii="Calibri" w:hAnsi="Calibri" w:cs="Calibri"/>
        </w:rPr>
        <w:t xml:space="preserve"> (0.01</w:t>
      </w:r>
      <w:r w:rsidR="0002381C" w:rsidRPr="00E71200">
        <w:rPr>
          <w:rFonts w:ascii="Calibri" w:hAnsi="Calibri" w:cs="Calibri"/>
        </w:rPr>
        <w:t xml:space="preserve">, </w:t>
      </w:r>
      <w:r w:rsidR="001545FF" w:rsidRPr="00E71200">
        <w:rPr>
          <w:rFonts w:ascii="Calibri" w:hAnsi="Calibri" w:cs="Calibri"/>
        </w:rPr>
        <w:t>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5260BC75" w:rsidRPr="00E71200">
        <w:rPr>
          <w:rFonts w:ascii="Calibri" w:hAnsi="Calibri" w:cs="Calibri"/>
        </w:rPr>
        <w:t xml:space="preserve"> </w:t>
      </w:r>
      <w:r w:rsidR="007259FA" w:rsidRPr="00E71200">
        <w:rPr>
          <w:rFonts w:ascii="Calibri" w:hAnsi="Calibri" w:cs="Calibri"/>
        </w:rPr>
        <w:t>0.01</w:t>
      </w:r>
      <w:r w:rsidR="00AA3B86" w:rsidRPr="00E71200">
        <w:rPr>
          <w:rFonts w:ascii="Calibri" w:hAnsi="Calibri" w:cs="Calibri"/>
        </w:rPr>
        <w:t xml:space="preserve"> </w:t>
      </w:r>
      <w:r w:rsidR="0002381C" w:rsidRPr="00E71200">
        <w:rPr>
          <w:rFonts w:ascii="Calibri" w:hAnsi="Calibri" w:cs="Calibri"/>
        </w:rPr>
        <w:t>-</w:t>
      </w:r>
      <w:r w:rsidR="007259FA" w:rsidRPr="00E71200">
        <w:rPr>
          <w:rFonts w:ascii="Calibri" w:hAnsi="Calibri" w:cs="Calibri"/>
        </w:rPr>
        <w:t xml:space="preserve"> </w:t>
      </w:r>
      <w:r w:rsidR="5260BC75" w:rsidRPr="00E71200">
        <w:rPr>
          <w:rFonts w:ascii="Calibri" w:hAnsi="Calibri" w:cs="Calibri"/>
        </w:rPr>
        <w:t>0.02),</w:t>
      </w:r>
      <w:r w:rsidR="38B50232" w:rsidRPr="00E71200">
        <w:rPr>
          <w:rFonts w:ascii="Calibri" w:hAnsi="Calibri" w:cs="Calibri"/>
        </w:rPr>
        <w:t xml:space="preserve"> and </w:t>
      </w:r>
      <w:r w:rsidR="53716C4C" w:rsidRPr="00E71200">
        <w:rPr>
          <w:rFonts w:ascii="Calibri" w:hAnsi="Calibri" w:cs="Calibri"/>
        </w:rPr>
        <w:t>mild salivary gland carcinoma</w:t>
      </w:r>
      <w:r w:rsidR="00556FF3" w:rsidRPr="00E71200">
        <w:rPr>
          <w:rFonts w:ascii="Calibri" w:hAnsi="Calibri" w:cs="Calibri"/>
        </w:rPr>
        <w:t xml:space="preserve"> resection</w:t>
      </w:r>
      <w:r w:rsidR="53716C4C" w:rsidRPr="00E71200">
        <w:rPr>
          <w:rFonts w:ascii="Calibri" w:hAnsi="Calibri" w:cs="Calibri"/>
        </w:rPr>
        <w:t xml:space="preserve"> (0.01</w:t>
      </w:r>
      <w:r w:rsidR="0002381C" w:rsidRPr="00E71200">
        <w:rPr>
          <w:rFonts w:ascii="Calibri" w:hAnsi="Calibri" w:cs="Calibri"/>
        </w:rPr>
        <w:t>,</w:t>
      </w:r>
      <w:r w:rsidR="001545FF" w:rsidRPr="00E71200">
        <w:rPr>
          <w:rFonts w:ascii="Calibri" w:hAnsi="Calibri" w:cs="Calibri"/>
        </w:rPr>
        <w:t xml:space="preserve"> 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001545FF" w:rsidRPr="00E71200">
        <w:rPr>
          <w:rFonts w:ascii="Calibri" w:hAnsi="Calibri" w:cs="Calibri"/>
        </w:rPr>
        <w:t xml:space="preserve"> </w:t>
      </w:r>
      <w:r w:rsidR="007259FA" w:rsidRPr="00E71200">
        <w:rPr>
          <w:rFonts w:ascii="Calibri" w:hAnsi="Calibri" w:cs="Calibri"/>
        </w:rPr>
        <w:t xml:space="preserve">0.01 </w:t>
      </w:r>
      <w:r w:rsidR="0002381C" w:rsidRPr="00E71200">
        <w:rPr>
          <w:rFonts w:ascii="Calibri" w:hAnsi="Calibri" w:cs="Calibri"/>
        </w:rPr>
        <w:t>-</w:t>
      </w:r>
      <w:r w:rsidR="007259FA" w:rsidRPr="00E71200">
        <w:rPr>
          <w:rFonts w:ascii="Calibri" w:hAnsi="Calibri" w:cs="Calibri"/>
        </w:rPr>
        <w:t xml:space="preserve"> </w:t>
      </w:r>
      <w:r w:rsidR="53716C4C" w:rsidRPr="00E71200">
        <w:rPr>
          <w:rFonts w:ascii="Calibri" w:hAnsi="Calibri" w:cs="Calibri"/>
        </w:rPr>
        <w:t>0.03)</w:t>
      </w:r>
      <w:r w:rsidR="00D240FC" w:rsidRPr="00E71200">
        <w:rPr>
          <w:rFonts w:ascii="Calibri" w:hAnsi="Calibri" w:cs="Calibri"/>
        </w:rPr>
        <w:t xml:space="preserve">: </w:t>
      </w:r>
      <w:r w:rsidR="00A83EA1" w:rsidRPr="00E71200">
        <w:rPr>
          <w:rFonts w:ascii="Calibri" w:hAnsi="Calibri" w:cs="Calibri"/>
        </w:rPr>
        <w:t>the</w:t>
      </w:r>
      <w:r w:rsidR="00D240FC" w:rsidRPr="00E71200">
        <w:rPr>
          <w:rFonts w:ascii="Calibri" w:hAnsi="Calibri" w:cs="Calibri"/>
        </w:rPr>
        <w:t>se surgeries were associated with a limited amount of health lost on the waiting list</w:t>
      </w:r>
      <w:r w:rsidR="38B50232" w:rsidRPr="00E71200">
        <w:rPr>
          <w:rFonts w:ascii="Calibri" w:hAnsi="Calibri" w:cs="Calibri"/>
        </w:rPr>
        <w:t>.</w:t>
      </w:r>
    </w:p>
    <w:p w14:paraId="218CA587" w14:textId="77777777" w:rsidR="00F3324B" w:rsidRPr="0092480E" w:rsidRDefault="00F3324B"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A9A901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7157AFA"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D240FC">
        <w:rPr>
          <w:rFonts w:ascii="Calibri" w:eastAsiaTheme="minorEastAsia" w:hAnsi="Calibri" w:cs="Calibri"/>
        </w:rPr>
        <w:t xml:space="preserve">A modeling study showed that the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the life expectancy of these patients</w:t>
      </w:r>
      <w:r w:rsidR="00D240FC">
        <w:rPr>
          <w:rFonts w:ascii="Calibri" w:eastAsiaTheme="minorEastAsia" w:hAnsi="Calibri" w:cs="Calibri"/>
        </w:rPr>
        <w:t>.</w:t>
      </w:r>
      <w:r w:rsidR="00D240F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9&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C7EE9" w:rsidRPr="00C2764C">
        <w:rPr>
          <w:rFonts w:ascii="Calibri" w:eastAsiaTheme="minorEastAsia" w:hAnsi="Calibri" w:cs="Calibri"/>
        </w:rPr>
        <w:t>A</w:t>
      </w:r>
      <w:r w:rsidR="00D240FC">
        <w:rPr>
          <w:rFonts w:ascii="Calibri" w:eastAsiaTheme="minorEastAsia" w:hAnsi="Calibri" w:cs="Calibri"/>
        </w:rPr>
        <w:t>nother</w:t>
      </w:r>
      <w:r w:rsidR="001C7EE9" w:rsidRPr="00C2764C">
        <w:rPr>
          <w:rFonts w:ascii="Calibri" w:eastAsiaTheme="minorEastAsia" w:hAnsi="Calibri" w:cs="Calibri"/>
        </w:rPr>
        <w:t xml:space="preserve"> model</w:t>
      </w:r>
      <w:r w:rsidR="51EB5119" w:rsidRPr="00C2764C">
        <w:rPr>
          <w:rFonts w:ascii="Calibri" w:eastAsiaTheme="minorEastAsia" w:hAnsi="Calibri" w:cs="Calibri"/>
        </w:rPr>
        <w:t xml:space="preserve">ing study </w:t>
      </w:r>
      <w:r w:rsidR="005572BE">
        <w:rPr>
          <w:rFonts w:ascii="Calibri" w:eastAsiaTheme="minorEastAsia" w:hAnsi="Calibri" w:cs="Calibri"/>
        </w:rPr>
        <w:t xml:space="preserve">in </w:t>
      </w:r>
      <w:r w:rsidR="001C7EE9" w:rsidRPr="00C2764C">
        <w:rPr>
          <w:rFonts w:ascii="Calibri" w:eastAsiaTheme="minorEastAsia" w:hAnsi="Calibri" w:cs="Calibri"/>
        </w:rPr>
        <w:t>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5572BE">
        <w:rPr>
          <w:rFonts w:ascii="Calibri" w:eastAsiaTheme="minorEastAsia" w:hAnsi="Calibri" w:cs="Calibri"/>
        </w:rPr>
        <w:t xml:space="preserve"> </w:t>
      </w:r>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10&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5572BE">
        <w:rPr>
          <w:rFonts w:ascii="Calibri" w:eastAsiaTheme="minorEastAsia" w:hAnsi="Calibri" w:cs="Calibri"/>
        </w:rPr>
        <w:t xml:space="preserve">Another modeling study in cardiothoracic surgery showed that if </w:t>
      </w:r>
      <w:r w:rsidR="00AC2E3D">
        <w:rPr>
          <w:rFonts w:ascii="Calibri" w:eastAsiaTheme="minorEastAsia" w:hAnsi="Calibri" w:cs="Calibri"/>
        </w:rPr>
        <w:t xml:space="preserve">regular 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the backlog may never clear.</w:t>
      </w:r>
      <w:r w:rsidR="005572BE">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eviouslyFormattedCitation":"&lt;sup&gt;11&lt;/sup&gt;"},"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650899B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12–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D4A0236"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w:t>
      </w:r>
      <w:r w:rsidR="00B07D8C">
        <w:rPr>
          <w:rFonts w:ascii="Calibri" w:hAnsi="Calibri" w:cs="Calibri"/>
        </w:rPr>
        <w:lastRenderedPageBreak/>
        <w:t>experts</w:t>
      </w:r>
      <w:r w:rsidR="00C2764C" w:rsidRPr="00C2764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BAD1D5C" w:rsidR="00404879" w:rsidRDefault="004A5E8C" w:rsidP="00EF191E">
      <w:pPr>
        <w:spacing w:line="276" w:lineRule="auto"/>
        <w:rPr>
          <w:rFonts w:ascii="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00EF191E" w:rsidRPr="00EF191E">
        <w:rPr>
          <w:rFonts w:ascii="Calibri" w:eastAsia="Calibri" w:hAnsi="Calibri" w:cs="Calibri"/>
        </w:rPr>
        <w:t xml:space="preserve">Although this strategy was conceived during the COVID-19 pandemic, our decision model should also be useful in times of scarcity </w:t>
      </w:r>
      <w:r w:rsidR="00EF191E">
        <w:rPr>
          <w:rFonts w:ascii="Calibri" w:eastAsia="Calibri" w:hAnsi="Calibri" w:cs="Calibri"/>
        </w:rPr>
        <w:t xml:space="preserve">in surgical capacity </w:t>
      </w:r>
      <w:r w:rsidR="00EF191E" w:rsidRPr="00EF191E">
        <w:rPr>
          <w:rFonts w:ascii="Calibri" w:eastAsia="Calibri" w:hAnsi="Calibri" w:cs="Calibri"/>
        </w:rPr>
        <w:t>due to other causes.</w:t>
      </w: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AFEF87"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83596A">
        <w:rPr>
          <w:rFonts w:ascii="Calibri" w:hAnsi="Calibri" w:cs="Calibri"/>
        </w:rPr>
        <w:t xml:space="preserve">, </w:t>
      </w:r>
      <w:r w:rsidR="00EF191E">
        <w:rPr>
          <w:rFonts w:ascii="Calibri" w:hAnsi="Calibri" w:cs="Calibri"/>
        </w:rPr>
        <w:t xml:space="preserve">we </w:t>
      </w:r>
      <w:r w:rsidR="007C0CF8">
        <w:rPr>
          <w:rFonts w:ascii="Calibri" w:hAnsi="Calibri" w:cs="Calibri"/>
        </w:rPr>
        <w:t>searched for</w:t>
      </w:r>
      <w:r>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00F888F"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(JvS – emeritus professor internal medicine, RBdJ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C8046C">
        <w:rPr>
          <w:rFonts w:ascii="Calibri" w:hAnsi="Calibri" w:cs="Calibri"/>
        </w:rPr>
        <w:t>47</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77777777"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 xml:space="preserve">rces can be found in Appendix A. </w:t>
      </w:r>
    </w:p>
    <w:p w14:paraId="6449E01F" w14:textId="77777777" w:rsidR="00AC2E3D" w:rsidRDefault="00AC2E3D" w:rsidP="00153762">
      <w:pPr>
        <w:spacing w:line="276" w:lineRule="auto"/>
        <w:rPr>
          <w:rFonts w:ascii="Calibri" w:hAnsi="Calibri" w:cs="Calibri"/>
        </w:rPr>
      </w:pPr>
    </w:p>
    <w:p w14:paraId="0B904099" w14:textId="67CDFC03" w:rsidR="008A38A5" w:rsidRPr="00B04FAC" w:rsidRDefault="00AC2E3D" w:rsidP="00153762">
      <w:pPr>
        <w:spacing w:line="276" w:lineRule="auto"/>
        <w:rPr>
          <w:rFonts w:ascii="Calibri" w:hAnsi="Calibri" w:cs="Calibri"/>
        </w:rPr>
      </w:pPr>
      <w:r>
        <w:rPr>
          <w:rFonts w:ascii="Calibri" w:hAnsi="Calibri" w:cs="Calibri"/>
        </w:rPr>
        <w:t>The class of evidence we collected was defined as class I (Randomized Controlled Trials or systematic reviews of Randomized Controlled Trials), class IIa (Prospective observational studies, before-after studies), class IIb (Retrospective observational studies, expert panels for the utilities, national registries), and class III (expert opinion).</w:t>
      </w:r>
    </w:p>
    <w:p w14:paraId="72A495DE" w14:textId="77777777" w:rsidR="008A38A5" w:rsidRPr="008A38A5" w:rsidRDefault="008A38A5" w:rsidP="00153762">
      <w:pPr>
        <w:spacing w:line="276" w:lineRule="auto"/>
      </w:pPr>
    </w:p>
    <w:p w14:paraId="2ECEC6E2" w14:textId="1E2E3FE7"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0872A8">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20&lt;/sup&gt;","plainTextFormattedCitation":"20","previouslyFormattedCitation":"&lt;sup&gt;20&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20</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0872A8">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21&lt;/sup&gt;","plainTextFormattedCitation":"21","previouslyFormattedCitation":"&lt;sup&gt;21&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21</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0872A8">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22&lt;/sup&gt;","plainTextFormattedCitation":"22","previouslyFormattedCitation":"&lt;sup&gt;22&lt;/sup&gt;"},"properties":{"noteIndex":0},"schema":"https://github.com/citation-style-language/schema/raw/master/csl-citation.json"}</w:instrText>
      </w:r>
      <w:r w:rsidR="00C047C6" w:rsidRPr="002C1AFD">
        <w:rPr>
          <w:rFonts w:ascii="Calibri" w:hAnsi="Calibri" w:cs="Calibri"/>
        </w:rPr>
        <w:fldChar w:fldCharType="separate"/>
      </w:r>
      <w:r w:rsidR="005572BE" w:rsidRPr="005572BE">
        <w:rPr>
          <w:rFonts w:ascii="Calibri" w:hAnsi="Calibri" w:cs="Calibri"/>
          <w:noProof/>
          <w:vertAlign w:val="superscript"/>
        </w:rPr>
        <w:t>22</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23&lt;/sup&gt;","plainTextFormattedCitation":"23","previouslyFormattedCitation":"&lt;sup&gt;23&lt;/sup&gt;"},"properties":{"noteIndex":0},"schema":"https://github.com/citation-style-language/schema/raw/master/csl-citation.json"}</w:instrText>
      </w:r>
      <w:r w:rsidR="00CE7F86" w:rsidRPr="002C1AFD">
        <w:rPr>
          <w:rFonts w:ascii="Calibri" w:hAnsi="Calibri" w:cs="Calibri"/>
        </w:rPr>
        <w:fldChar w:fldCharType="separate"/>
      </w:r>
      <w:r w:rsidR="005572BE" w:rsidRPr="005572BE">
        <w:rPr>
          <w:rFonts w:ascii="Calibri" w:hAnsi="Calibri" w:cs="Calibri"/>
          <w:noProof/>
          <w:vertAlign w:val="superscript"/>
        </w:rPr>
        <w:t>23</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71D64B6"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24&lt;/sup&gt;","plainTextFormattedCitation":"24","previouslyFormattedCitation":"&lt;sup&gt;24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24</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25&lt;/sup&gt;","plainTextFormattedCitation":"25","previouslyFormattedCitation":"&lt;sup&gt;25&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26&lt;/sup&gt;","plainTextFormattedCitation":"26","previouslyFormattedCitation":"&lt;sup&gt;26&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26</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9E5A890"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04FAC" w:rsidRPr="0092480E">
        <w:rPr>
          <w:rFonts w:ascii="Calibri" w:hAnsi="Calibri" w:cs="Calibri"/>
        </w:rPr>
        <w:fldChar w:fldCharType="begin" w:fldLock="1"/>
      </w:r>
      <w:r w:rsidR="000872A8">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27&lt;/sup&gt;","plainTextFormattedCitation":"27","previouslyFormattedCitation":"&lt;sup&gt;27&lt;/sup&gt;"},"properties":{"noteIndex":0},"schema":"https://github.com/citation-style-language/schema/raw/master/csl-citation.json"}</w:instrText>
      </w:r>
      <w:r w:rsidR="00B04FAC" w:rsidRPr="0092480E">
        <w:rPr>
          <w:rFonts w:ascii="Calibri" w:hAnsi="Calibri" w:cs="Calibri"/>
        </w:rPr>
        <w:fldChar w:fldCharType="separate"/>
      </w:r>
      <w:r w:rsidR="005572BE" w:rsidRPr="005572BE">
        <w:rPr>
          <w:rFonts w:ascii="Calibri" w:hAnsi="Calibri" w:cs="Calibri"/>
          <w:noProof/>
          <w:vertAlign w:val="superscript"/>
        </w:rPr>
        <w:t>27</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Stouthard, in the way that we did not make use of the EQ-5D to classify all health conditions</w:t>
      </w:r>
      <w:r w:rsidR="00B07D8C">
        <w:rPr>
          <w:rFonts w:ascii="Calibri" w:hAnsi="Calibri" w:cs="Calibri"/>
        </w:rPr>
        <w:t xml:space="preserve"> at hand</w:t>
      </w:r>
      <w:r w:rsidR="006D35E8">
        <w:rPr>
          <w:rFonts w:ascii="Calibri" w:hAnsi="Calibri" w:cs="Calibri"/>
        </w:rPr>
        <w:t>, but we used the VAS instead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w:t>
      </w:r>
      <w:r w:rsidR="00B04FAC" w:rsidRPr="0092480E">
        <w:rPr>
          <w:rFonts w:ascii="Calibri" w:hAnsi="Calibri" w:cs="Calibri"/>
        </w:rPr>
        <w:lastRenderedPageBreak/>
        <w:t xml:space="preserve">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538E67A7"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(cSTM).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28,29&lt;/sup&gt;","plainTextFormattedCitation":"28,29","previouslyFormattedCitation":"&lt;sup&gt;28,29&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28,29</w:t>
      </w:r>
      <w:r w:rsidRPr="0092480E">
        <w:rPr>
          <w:rFonts w:ascii="Calibri" w:hAnsi="Calibri" w:cs="Calibri"/>
        </w:rPr>
        <w:fldChar w:fldCharType="end"/>
      </w:r>
      <w:r w:rsidRPr="0092480E">
        <w:rPr>
          <w:rFonts w:ascii="Calibri" w:hAnsi="Calibri" w:cs="Calibri"/>
        </w:rPr>
        <w:t xml:space="preserve"> A cSTM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23,28&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23,28</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23,30&lt;/sup&gt;","plainTextFormattedCitation":"23,30","previouslyFormattedCitation":"&lt;sup&gt;23,30&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23,30</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Pr="0092480E">
        <w:rPr>
          <w:rFonts w:ascii="Calibri" w:eastAsia="Calibri" w:hAnsi="Calibri" w:cs="Calibri"/>
        </w:rPr>
        <w:t>cSTM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4001ACF"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r w:rsidR="003B69E1">
        <w:rPr>
          <w:rFonts w:ascii="Calibri" w:hAnsi="Calibri" w:cs="Calibri"/>
          <w:sz w:val="24"/>
          <w:szCs w:val="24"/>
          <w:lang w:val="en-US"/>
        </w:rPr>
        <w:t>N</w:t>
      </w:r>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067D8F95"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0872A8">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31,32&lt;/sup&gt;","plainTextFormattedCitation":"31,32","previouslyFormattedCitation":"&lt;sup&gt;31,32&lt;/sup&gt;"},"properties":{"noteIndex":0},"schema":"https://github.com/citation-style-language/schema/raw/master/csl-citation.json"}</w:instrText>
      </w:r>
      <w:r w:rsidR="0047125E">
        <w:rPr>
          <w:rFonts w:ascii="Calibri" w:hAnsi="Calibri" w:cs="Calibri"/>
        </w:rPr>
        <w:fldChar w:fldCharType="separate"/>
      </w:r>
      <w:r w:rsidR="005572BE" w:rsidRPr="005572BE">
        <w:rPr>
          <w:rFonts w:ascii="Calibri" w:hAnsi="Calibri" w:cs="Calibri"/>
          <w:noProof/>
          <w:vertAlign w:val="superscript"/>
        </w:rPr>
        <w:t>31,32</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33&lt;/sup&gt;","plainTextFormattedCitation":"33","previouslyFormattedCitation":"&lt;sup&gt;33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w:t>
      </w:r>
      <w:r>
        <w:rPr>
          <w:rFonts w:ascii="Calibri" w:hAnsi="Calibri" w:cs="Calibri"/>
        </w:rPr>
        <w:lastRenderedPageBreak/>
        <w:t>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7CD2308C" w14:textId="36A8865F" w:rsidR="0083596A" w:rsidRPr="00A57785"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0872A8">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35&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0872A8">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36,37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562D0F63" w:rsidR="006D35E8" w:rsidRPr="001C38EF" w:rsidRDefault="64932EB7" w:rsidP="00153762">
      <w:pPr>
        <w:spacing w:before="40" w:line="276" w:lineRule="auto"/>
        <w:rPr>
          <w:rFonts w:ascii="Calibri" w:hAnsi="Calibri" w:cs="Calibri"/>
          <w:highlight w:val="yellow"/>
        </w:rPr>
      </w:pPr>
      <w:r w:rsidRPr="00C8046C">
        <w:rPr>
          <w:rFonts w:ascii="Calibri" w:hAnsi="Calibri" w:cs="Calibri"/>
        </w:rPr>
        <w:t xml:space="preserve">We evaluated </w:t>
      </w:r>
      <w:r w:rsidR="00C8046C" w:rsidRPr="00C8046C">
        <w:rPr>
          <w:rFonts w:ascii="Calibri" w:hAnsi="Calibri" w:cs="Calibri"/>
        </w:rPr>
        <w:t>12</w:t>
      </w:r>
      <w:r w:rsidRPr="00C8046C">
        <w:rPr>
          <w:rFonts w:ascii="Calibri" w:hAnsi="Calibri" w:cs="Calibri"/>
        </w:rPr>
        <w:t xml:space="preserve"> cardiothoracic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00963C2C">
        <w:rPr>
          <w:rFonts w:ascii="Calibri" w:hAnsi="Calibri" w:cs="Calibri"/>
        </w:rPr>
        <w:t>3</w:t>
      </w:r>
      <w:r w:rsidRPr="00C8046C">
        <w:rPr>
          <w:rFonts w:ascii="Calibri" w:hAnsi="Calibri" w:cs="Calibri"/>
        </w:rPr>
        <w:t xml:space="preserve"> oncological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1D493AAB" w:rsidRPr="00C8046C">
        <w:rPr>
          <w:rFonts w:ascii="Calibri" w:hAnsi="Calibri" w:cs="Calibri"/>
        </w:rPr>
        <w:t xml:space="preserve"> </w:t>
      </w:r>
      <w:r w:rsidRPr="00C8046C">
        <w:rPr>
          <w:rFonts w:ascii="Calibri" w:hAnsi="Calibri" w:cs="Calibri"/>
        </w:rPr>
        <w:t>transplantation</w:t>
      </w:r>
      <w:r w:rsidR="2E4BDB5C" w:rsidRPr="00C8046C">
        <w:rPr>
          <w:rFonts w:ascii="Calibri" w:hAnsi="Calibri" w:cs="Calibri"/>
        </w:rPr>
        <w:t>s</w:t>
      </w:r>
      <w:r w:rsidR="00B5450E" w:rsidRPr="00C8046C">
        <w:rPr>
          <w:rFonts w:ascii="Calibri" w:hAnsi="Calibri" w:cs="Calibri"/>
        </w:rPr>
        <w:t xml:space="preserve"> (liver and living donor kidney)</w:t>
      </w:r>
      <w:r w:rsidRPr="00C8046C">
        <w:rPr>
          <w:rFonts w:ascii="Calibri" w:hAnsi="Calibri" w:cs="Calibri"/>
        </w:rPr>
        <w:t xml:space="preserve">, </w:t>
      </w:r>
      <w:r w:rsidR="00C8046C" w:rsidRPr="00C8046C">
        <w:rPr>
          <w:rFonts w:ascii="Calibri" w:hAnsi="Calibri" w:cs="Calibri"/>
        </w:rPr>
        <w:t>5</w:t>
      </w:r>
      <w:r w:rsidRPr="00C8046C">
        <w:rPr>
          <w:rFonts w:ascii="Calibri" w:hAnsi="Calibri" w:cs="Calibri"/>
        </w:rPr>
        <w:t xml:space="preserve"> vascular </w:t>
      </w:r>
      <w:r w:rsidR="00F727B4" w:rsidRPr="00C8046C">
        <w:rPr>
          <w:rFonts w:ascii="Calibri" w:hAnsi="Calibri" w:cs="Calibri"/>
        </w:rPr>
        <w:t>surgeries</w:t>
      </w:r>
      <w:r w:rsidR="4711D338" w:rsidRPr="00C8046C">
        <w:rPr>
          <w:rFonts w:ascii="Calibri" w:hAnsi="Calibri" w:cs="Calibri"/>
        </w:rPr>
        <w:t xml:space="preserve">, and 1 other type of </w:t>
      </w:r>
      <w:r w:rsidR="00F727B4" w:rsidRPr="00C8046C">
        <w:rPr>
          <w:rFonts w:ascii="Calibri" w:hAnsi="Calibri" w:cs="Calibri"/>
        </w:rPr>
        <w:t>surgery</w:t>
      </w:r>
      <w:r w:rsidR="00073997" w:rsidRPr="00C8046C">
        <w:rPr>
          <w:rFonts w:ascii="Calibri" w:hAnsi="Calibri" w:cs="Calibri"/>
        </w:rPr>
        <w:t xml:space="preserve"> (</w:t>
      </w:r>
      <w:r w:rsidR="00CD29E8" w:rsidRPr="00C8046C">
        <w:rPr>
          <w:rFonts w:ascii="Calibri" w:hAnsi="Calibri" w:cs="Calibri"/>
        </w:rPr>
        <w:t>creation</w:t>
      </w:r>
      <w:r w:rsidR="00073997" w:rsidRPr="00C8046C">
        <w:rPr>
          <w:rFonts w:ascii="Calibri" w:hAnsi="Calibri" w:cs="Calibri"/>
        </w:rPr>
        <w:t xml:space="preserve"> of a shunt to facilitate hemodialysis)</w:t>
      </w:r>
      <w:r w:rsidRPr="00C8046C">
        <w:rPr>
          <w:rFonts w:ascii="Calibri" w:hAnsi="Calibri" w:cs="Calibri"/>
        </w:rPr>
        <w:t>.</w:t>
      </w:r>
      <w:r w:rsidR="008C3804" w:rsidRPr="00C8046C">
        <w:rPr>
          <w:rFonts w:ascii="Calibri" w:hAnsi="Calibri" w:cs="Calibri"/>
        </w:rPr>
        <w:t xml:space="preserve"> These </w:t>
      </w:r>
      <w:r w:rsidR="00C8046C" w:rsidRPr="00C8046C">
        <w:rPr>
          <w:rFonts w:ascii="Calibri" w:hAnsi="Calibri" w:cs="Calibri"/>
        </w:rPr>
        <w:t>4</w:t>
      </w:r>
      <w:r w:rsidR="00963C2C">
        <w:rPr>
          <w:rFonts w:ascii="Calibri" w:hAnsi="Calibri" w:cs="Calibri"/>
        </w:rPr>
        <w:t>3</w:t>
      </w:r>
      <w:r w:rsidR="008C3804" w:rsidRPr="00C8046C">
        <w:rPr>
          <w:rFonts w:ascii="Calibri" w:hAnsi="Calibri" w:cs="Calibri"/>
        </w:rPr>
        <w:t xml:space="preserve"> evaluated surgeries comprised of </w:t>
      </w:r>
      <w:r w:rsidR="00625BC1" w:rsidRPr="00625BC1">
        <w:rPr>
          <w:rFonts w:ascii="Calibri" w:hAnsi="Calibri" w:cs="Calibri"/>
        </w:rPr>
        <w:t>6</w:t>
      </w:r>
      <w:r w:rsidR="00625BC1">
        <w:rPr>
          <w:rFonts w:ascii="Calibri" w:hAnsi="Calibri" w:cs="Calibri"/>
        </w:rPr>
        <w:t>9</w:t>
      </w:r>
      <w:r w:rsidR="008C3804" w:rsidRPr="00C8046C">
        <w:rPr>
          <w:rFonts w:ascii="Calibri" w:hAnsi="Calibri" w:cs="Calibri"/>
        </w:rPr>
        <w:t>% of the total semi-elective program in our hospital.</w:t>
      </w:r>
      <w:r w:rsidR="00CF6178" w:rsidRPr="001C38EF">
        <w:rPr>
          <w:rFonts w:ascii="Calibri" w:hAnsi="Calibri" w:cs="Calibri"/>
          <w:highlight w:val="yellow"/>
        </w:rPr>
        <w:t xml:space="preserve"> </w:t>
      </w:r>
    </w:p>
    <w:p w14:paraId="1E2DF55E" w14:textId="77777777" w:rsidR="006D35E8" w:rsidRPr="001C38EF" w:rsidRDefault="006D35E8" w:rsidP="00153762">
      <w:pPr>
        <w:spacing w:before="40" w:line="276" w:lineRule="auto"/>
        <w:rPr>
          <w:rFonts w:ascii="Calibri" w:hAnsi="Calibri" w:cs="Calibri"/>
          <w:highlight w:val="yellow"/>
        </w:rPr>
      </w:pPr>
    </w:p>
    <w:p w14:paraId="334D248E" w14:textId="6A7D3EC7" w:rsidR="00830F68" w:rsidRPr="00A04BC9" w:rsidRDefault="00625BC1" w:rsidP="009812F3">
      <w:pPr>
        <w:spacing w:before="40" w:line="276" w:lineRule="auto"/>
        <w:rPr>
          <w:rFonts w:ascii="Calibri" w:hAnsi="Calibri" w:cs="Calibri"/>
        </w:rPr>
      </w:pPr>
      <w:r w:rsidRPr="00A04BC9">
        <w:rPr>
          <w:rFonts w:ascii="Calibri" w:hAnsi="Calibri" w:cs="Calibri"/>
        </w:rPr>
        <w:t>For all surgeries, survival with treatment could be obtained.</w:t>
      </w:r>
      <w:r w:rsidR="00AC2E3D" w:rsidRPr="00A04BC9">
        <w:rPr>
          <w:rFonts w:ascii="Calibri" w:hAnsi="Calibri" w:cs="Calibri"/>
        </w:rPr>
        <w:t xml:space="preserve"> </w:t>
      </w:r>
      <w:r w:rsidR="00963C2C" w:rsidRPr="00A04BC9">
        <w:rPr>
          <w:rFonts w:ascii="Calibri" w:hAnsi="Calibri" w:cs="Calibri"/>
        </w:rPr>
        <w:t>Survival with treatment was mostly based on national registries (31/4</w:t>
      </w:r>
      <w:r w:rsidR="00E65891" w:rsidRPr="00A04BC9">
        <w:rPr>
          <w:rFonts w:ascii="Calibri" w:hAnsi="Calibri" w:cs="Calibri"/>
        </w:rPr>
        <w:t>3</w:t>
      </w:r>
      <w:r w:rsidR="00963C2C" w:rsidRPr="00A04BC9">
        <w:rPr>
          <w:rFonts w:ascii="Calibri" w:hAnsi="Calibri" w:cs="Calibri"/>
        </w:rPr>
        <w:t>)</w:t>
      </w:r>
      <w:r w:rsidRPr="00A04BC9">
        <w:rPr>
          <w:rFonts w:ascii="Calibri" w:hAnsi="Calibri" w:cs="Calibri"/>
        </w:rPr>
        <w:t>.</w:t>
      </w:r>
      <w:r w:rsidR="00AC2E3D" w:rsidRPr="00A04BC9">
        <w:rPr>
          <w:rFonts w:ascii="Calibri" w:hAnsi="Calibri" w:cs="Calibri"/>
        </w:rPr>
        <w:t xml:space="preserve"> </w:t>
      </w:r>
      <w:r w:rsidR="009812F3" w:rsidRPr="00A04BC9">
        <w:rPr>
          <w:rFonts w:ascii="Calibri" w:hAnsi="Calibri" w:cs="Calibri"/>
        </w:rPr>
        <w:t>S</w:t>
      </w:r>
      <w:r w:rsidRPr="00A04BC9">
        <w:rPr>
          <w:rFonts w:ascii="Calibri" w:hAnsi="Calibri" w:cs="Calibri"/>
        </w:rPr>
        <w:t xml:space="preserve">urvival without treatment could was </w:t>
      </w:r>
      <w:r w:rsidR="009812F3" w:rsidRPr="00A04BC9">
        <w:rPr>
          <w:rFonts w:ascii="Calibri" w:hAnsi="Calibri" w:cs="Calibri"/>
        </w:rPr>
        <w:t xml:space="preserve">mostly </w:t>
      </w:r>
      <w:r w:rsidRPr="00A04BC9">
        <w:rPr>
          <w:rFonts w:ascii="Calibri" w:hAnsi="Calibri" w:cs="Calibri"/>
        </w:rPr>
        <w:t xml:space="preserve">based on data from </w:t>
      </w:r>
      <w:r w:rsidR="009812F3" w:rsidRPr="00A04BC9">
        <w:rPr>
          <w:rFonts w:ascii="Calibri" w:hAnsi="Calibri" w:cs="Calibri"/>
        </w:rPr>
        <w:t>national registries (12 surgeries, 6 indirectly calculated</w:t>
      </w:r>
      <w:r w:rsidR="00B12901">
        <w:rPr>
          <w:rFonts w:ascii="Calibri" w:hAnsi="Calibri" w:cs="Calibri"/>
        </w:rPr>
        <w:t xml:space="preserve"> </w:t>
      </w:r>
      <w:r w:rsidR="00B12901" w:rsidRPr="00A04BC9">
        <w:rPr>
          <w:rFonts w:ascii="Calibri" w:hAnsi="Calibri" w:cs="Calibri"/>
        </w:rPr>
        <w:t>through the treatment effect</w:t>
      </w:r>
      <w:r w:rsidR="009812F3" w:rsidRPr="00A04BC9">
        <w:rPr>
          <w:rFonts w:ascii="Calibri" w:hAnsi="Calibri" w:cs="Calibri"/>
        </w:rPr>
        <w:t xml:space="preserve">), </w:t>
      </w:r>
      <w:r w:rsidRPr="00A04BC9">
        <w:rPr>
          <w:rFonts w:ascii="Calibri" w:hAnsi="Calibri" w:cs="Calibri"/>
        </w:rPr>
        <w:t xml:space="preserve">RCT’s </w:t>
      </w:r>
      <w:r w:rsidR="009812F3" w:rsidRPr="00A04BC9">
        <w:rPr>
          <w:rFonts w:ascii="Calibri" w:hAnsi="Calibri" w:cs="Calibri"/>
        </w:rPr>
        <w:t>(</w:t>
      </w:r>
      <w:r w:rsidRPr="00A04BC9">
        <w:rPr>
          <w:rFonts w:ascii="Calibri" w:hAnsi="Calibri" w:cs="Calibri"/>
        </w:rPr>
        <w:t>10 surgeries</w:t>
      </w:r>
      <w:r w:rsidR="009812F3" w:rsidRPr="00A04BC9">
        <w:rPr>
          <w:rFonts w:ascii="Calibri" w:hAnsi="Calibri" w:cs="Calibri"/>
        </w:rPr>
        <w:t>, 7 indirectly calculated)</w:t>
      </w:r>
      <w:r w:rsidRPr="00A04BC9">
        <w:rPr>
          <w:rFonts w:ascii="Calibri" w:hAnsi="Calibri" w:cs="Calibri"/>
        </w:rPr>
        <w:t xml:space="preserve">, and observational studies </w:t>
      </w:r>
      <w:r w:rsidR="009812F3" w:rsidRPr="00A04BC9">
        <w:rPr>
          <w:rFonts w:ascii="Calibri" w:hAnsi="Calibri" w:cs="Calibri"/>
        </w:rPr>
        <w:t>(</w:t>
      </w:r>
      <w:r w:rsidRPr="00A04BC9">
        <w:rPr>
          <w:rFonts w:ascii="Calibri" w:hAnsi="Calibri" w:cs="Calibri"/>
        </w:rPr>
        <w:t>9 surgeries</w:t>
      </w:r>
      <w:r w:rsidR="009812F3" w:rsidRPr="00A04BC9">
        <w:rPr>
          <w:rFonts w:ascii="Calibri" w:hAnsi="Calibri" w:cs="Calibri"/>
        </w:rPr>
        <w:t>, 3 indirectly calculated. For 14 surgeries, QoL was available through the WHO Global Burden of Disease study. For the remaining 29 surgeries, the QoL of the pre- and postoperative health state was estimated by the expert panel as described in the methods section. For 6 surgeries, a “time-to-no-effect-on-QoL” within one year, our maximum period of delaying surgery, was applicable. For 23 surgeries, we assumed a “time-to-no-effect-of-treatment-on-survival” based on qualitative assessment of the literature</w:t>
      </w:r>
      <w:r w:rsidR="00AC2E3D" w:rsidRPr="00A04BC9">
        <w:rPr>
          <w:rFonts w:ascii="Calibri" w:hAnsi="Calibri" w:cs="Calibri"/>
        </w:rPr>
        <w:t>.</w:t>
      </w:r>
      <w:r w:rsidR="009812F3" w:rsidRPr="00A04BC9">
        <w:rPr>
          <w:rFonts w:ascii="Calibri" w:hAnsi="Calibri" w:cs="Calibri"/>
        </w:rPr>
        <w:t xml:space="preserve"> </w:t>
      </w:r>
      <w:r w:rsidR="005E6B21" w:rsidRPr="00A04BC9">
        <w:rPr>
          <w:rFonts w:ascii="Calibri" w:hAnsi="Calibri" w:cs="Calibri"/>
        </w:rPr>
        <w:t>All these surgeries were oncological surgeries</w:t>
      </w:r>
      <w:r w:rsidR="00B12901">
        <w:rPr>
          <w:rFonts w:ascii="Calibri" w:hAnsi="Calibri" w:cs="Calibri"/>
        </w:rPr>
        <w:t xml:space="preserve">. The estimates for the time until surgery becomes ineffective was mostly based on class IIb evidence (retrospective and prospective observational studies, see </w:t>
      </w:r>
      <w:r w:rsidR="00877B32" w:rsidRPr="00A04BC9">
        <w:rPr>
          <w:rFonts w:ascii="Calibri" w:hAnsi="Calibri" w:cs="Calibri"/>
        </w:rPr>
        <w:t>table 1)</w:t>
      </w:r>
      <w:r w:rsidR="005E6B21" w:rsidRPr="00A04BC9">
        <w:rPr>
          <w:rFonts w:ascii="Calibri" w:hAnsi="Calibri" w:cs="Calibri"/>
        </w:rPr>
        <w:t>. Input parameters varied widely between surgeries (Figure 2).</w:t>
      </w:r>
      <w:r w:rsidR="00830F68" w:rsidRPr="00A04BC9">
        <w:rPr>
          <w:rFonts w:ascii="Calibri" w:hAnsi="Calibri" w:cs="Calibri"/>
        </w:rPr>
        <w:t xml:space="preserve"> All input parameters, their source</w:t>
      </w:r>
      <w:r w:rsidR="002E2419" w:rsidRPr="00A04BC9">
        <w:rPr>
          <w:rFonts w:ascii="Calibri" w:hAnsi="Calibri" w:cs="Calibri"/>
        </w:rPr>
        <w:t>s</w:t>
      </w:r>
      <w:r w:rsidR="00830F68" w:rsidRPr="00A04BC9">
        <w:rPr>
          <w:rFonts w:ascii="Calibri" w:hAnsi="Calibri" w:cs="Calibri"/>
        </w:rPr>
        <w:fldChar w:fldCharType="begin" w:fldLock="1"/>
      </w:r>
      <w:r w:rsidR="00336828" w:rsidRPr="00A04BC9">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336828" w:rsidRPr="00A04BC9">
        <w:rPr>
          <w:rFonts w:ascii="Cambria Math" w:hAnsi="Cambria Math" w:cs="Cambria Math"/>
        </w:rPr>
        <w:instrText>∼</w:instrText>
      </w:r>
      <w:r w:rsidR="00336828" w:rsidRPr="00A04BC9">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336828" w:rsidRPr="00A04BC9">
        <w:rPr>
          <w:rFonts w:ascii="Cambria Math" w:hAnsi="Cambria Math" w:cs="Cambria Math"/>
        </w:rPr>
        <w:instrText>∼</w:instrText>
      </w:r>
      <w:r w:rsidR="00336828" w:rsidRPr="00A04BC9">
        <w:rPr>
          <w:rFonts w:ascii="Calibri" w:hAnsi="Calibri" w:cs="Calibri"/>
        </w:rPr>
        <w:instrText>80%) and median survival (</w:instrText>
      </w:r>
      <w:r w:rsidR="00336828" w:rsidRPr="00A04BC9">
        <w:rPr>
          <w:rFonts w:ascii="Cambria Math" w:hAnsi="Cambria Math" w:cs="Cambria Math"/>
        </w:rPr>
        <w:instrText>∼</w:instrText>
      </w:r>
      <w:r w:rsidR="00336828" w:rsidRPr="00A04BC9">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Network","type":"webpage"},"uris":["http://www.mendeley.com/documents/?uuid=455635b8-ad7b-3d95-b701-0cd96e91ac54"]},{"id":"ITEM-52","itemData":{"DOI":"10.1161/CIRCULATIONAHA.115.016424","ISSN":"15244539","PMID":"26350058","abstract":"Background - There are few published data on the incidence and long-term outcomes of critical limb ischemia, acute limb ischemia, or acute visceral ischemia with which to inform health service planning, to monitor prevention, and to enable risk prediction. Methods and Results - In a prospective population-based study (Oxfordshire, UK; 2002-2012), we determined the incidence and outcome of all acute peripheral arterial events in a population of 92 728. Risk factors were assessed by comparison with the underlying population. A total of 510 acute events occurred in 386 patients requiring 803 interventions. Two hundred twenty-one patients (59.3%) were ≥75 years of age, and 98 (26.3%) were ≥85 years old. Two hundred thirty patients (62.3%) were independent before the event, but 270 (73.4%) were dead or dependent at the 6-month follow-up, and 328 (88.9%) were dead or dependent at 5 years. The 30-day survival was lowest for patients with acute visceral ischemia (28.2%) compared with acute limb ischemia (75.3%) and critical limb ischemia (92.6%; P&lt;0.001). Risk factors (all P&lt;0.001) were hypertension (age- and sex-adjusted risk ratio, 2.75; 95% confidence interval, 1.95-3.90), smoking (adjusted risk ratio, 2.14; 95% confidence interval, 1.37-3.34), and diabetes mellitus (adjusted risk ratio, 3.01; 95% confidence interval, 1.69-5.35), particularly for critical limb ischemia (adjusted risk ratio, 5.96; 95% confidence interval, 3.15-11.26). Two hundred eighty-eight patients (77.2%) had known previous cardiovascular disease, and 361 (96.8%) had vascular risk factors, but only 203 (54.4%) were on an antiplatelet and only 166 (44.5%) were on a statin. Although 260 patients (69.7%) were taking antihypertensives, 42.9% of all blood pressures recorded during the 5 years before the event were &gt;140/90 mm Hg. Of 88 patients (23.6%) with incident cardioembolic events, 62 had known atrial fibrillation (diagnosed before the event), of whom only 14.5% were anticoagulated despite 82.3% having a CHA2DS2VASC score ≥2 without contraindications. Conclusions - The clinical burden of peripheral arterial events is substantial. Although the vast majority of patients have known vascular disease in other territories and multiple treatable risk factors, premorbid control is poor.","author":[{"dropping-particle":"","family":"Howard","given":"Dominic P.J.","non-dropping-particle":"","parse-names":false,"suffix":""},{"dropping-particle":"","family":"Banerjee","given":"Amitava","non-dropping-particle":"","parse-names":false,"suffix":""},{"dropping-particle":"","family":"Fairhead","given":"Jack F.","non-dropping-particle":"","parse-names":false,"suffix":""},{"dropping-particle":"","family":"Hands","given":"Linda","non-dropping-particle":"","parse-names":false,"suffix":""},{"dropping-particle":"","family":"Silver","given":"Louise E.","non-dropping-particle":"","parse-names":false,"suffix":""},{"dropping-particle":"","family":"Rothwell","given":"Peter M.","non-dropping-particle":"","parse-names":false,"suffix":""}],"container-title":"Circulation","id":"ITEM-52","issue":"19","issued":{"date-parts":[["2015","11","10"]]},"page":"1805-1815","publisher":"Lippincott Williams and Wilkins","title":"Population-Based Study of Incidence, Risk Factors, Outcome, and Prognosis of Ischemic Peripheral Arterial Events: Implications for Prevention","type":"article-journal","volume":"132"},"uris":["http://www.mendeley.com/documents/?uuid=f72ded3d-b351-34cc-8d6b-3d7671426fe7"]},{"id":"ITEM-53","itemData":{"DOI":"10.1161/CIRCULATIONAHA.115.014846","ISSN":"15244539","PMID":"25691712","author":[{"dropping-particle":"","family":"Bonow","given":"Robert O.","non-dropping-particle":"","parse-names":false,"suffix":""},{"dropping-particle":"","family":"Greenland","given":"Philip","non-dropping-particle":"","parse-names":false,"suffix":""}],"container-title":"Circulation","id":"ITEM-53","issue":"11","issued":{"date-parts":[["2015"]]},"page":"969-971","publisher":"Lippincott Williams and Wilkins","title":"Population-wide trends in aortic stenosis incidence and outcomes","type":"article","volume":"131"},"uris":["http://www.mendeley.com/documents/?uuid=1d00ea00-3481-3120-94ad-041ac6ad74d2"]},{"id":"ITEM-54","itemData":{"DOI":"10.1111/j.1464-410X.2012.11116.x","ISSN":"14644096","abstract":"Study Type - Aetiology (individual cohort) Level of Evidence 2b What's known on the subject? and What does the study add? For patients with high grade (HG) non-muscle invasive urothelial cell cancer (UCC) of the bladder, transurethral resection of bladder tumor (TURBT) in conjunction with induction and maintenance intravesical therapy is a commonly used treatment modality. Early cystectomy, although offering the best opportunity for cure, would in turn constitute overtreatment in some cases. Conservative management strategies, as opposed to radical surgery, are a viable treatment option within a well selected subset of patients with HG T1 UCC. OBJECTIVE To determine whether a survival difference exists between patients with high grade (HG) cT1 urothelial cell carcinoma (UCC) receiving immediate radical cystectomy (IRC) as opposed to those choosing bladder-sparing therapy. PATIENTS AND METHODS Between January 1990 and August 2010, 349 patients were retrospectively identified with a diagnosis of HG cT1 UCC of the bladder. Patients were divided into two groups: those who underwent IRC and those treated with conservative management (CM), consisting of transurethral resection of the bladder tumour (TURBT) and intravesical therapy. IRC was defined as surgery within 90 days of HG cT1 diagnosis with no intervening transurethral resection (TUR) or intravesical therapy (IVT). Trends in patient selection and cancer-specific survival (CSS) were analyzed over consecutive decades. The primary outcome was to compare CSS among patients during consecutive decades whereby management paradigms shifted from IRC to CM. The secondary outcome was to examine whether patient selection changed over time for each respective intervention. RESULTS One hundred and thirteen patients underwent IRC and 236 had CM. From 1990 to 1999, only 90 patients were diagnosed with HG cT1 disease, and a majority of patients (n= 54) underwent IRC. From 2000 to 2010, only 23% (59/259) of the patients with HG cT1 underwent IRC. Despite 42.3% more patients successfully maintaining their bladder in the long-term, no difference in 5 year bladder CSS was noted between decades (77% vs 80% consecutively, P= 0.566). A subset analysis of risk factors for bladder cancer progression/recurrence demonstrated more patients with lymphovascular invasion (LVI) on TUR underwent IRC in the current era (13/59 (22.0%) vs 13/200 (6.5%), P &lt; 0.001). These findings remain to be validated in prospective work at other institu…","author":[{"dropping-particle":"","family":"Badalato","given":"Gina M.","non-dropping-particle":"","parse-names":false,"suffix":""},{"dropping-particle":"","family":"Gaya","given":"Josep M.","non-dropping-particle":"","parse-names":false,"suffix":""},{"dropping-particle":"","family":"Hruby","given":"Gregory","non-dropping-particle":"","parse-names":false,"suffix":""},{"dropping-particle":"","family":"Patel","given":"Trushar","non-dropping-particle":"","parse-names":false,"suffix":""},{"dropping-particle":"","family":"Kates","given":"Max","non-dropping-particle":"","parse-names":false,"suffix":""},{"dropping-particle":"","family":"Sadeghi","given":"Neda","non-dropping-particle":"","parse-names":false,"suffix":""},{"dropping-particle":"","family":"Benson","given":"Mitchell C.","non-dropping-particle":"","parse-names":false,"suffix":""},{"dropping-particle":"","family":"McKiernan","given":"James M.","non-dropping-particle":"","parse-names":false,"suffix":""}],"container-title":"BJU International","id":"ITEM-54","issue":"10","issued":{"date-parts":[["2012","11"]]},"page":"1471-1477","publisher":"BJU Int","title":"Immediate radical cystectomy vs conservative management for high grade cT1 bladder cancer: Is there a survival difference?","type":"article-journal","volume":"110"},"uris":["http://www.mendeley.com/documents/?uuid=90bd3619-dc11-3e48-b481-3fd909cd2cde"]},{"id":"ITEM-55","itemData":{"DOI":"10.1016/S0022-5347(05)00644-0","ISSN":"00225347","abstract":"Purpose: Some groups hypothesize that a delay in cystectomy may result in higher pathological stage and possibly alter survival in patients with bladder cancer. The timing of this delay has been somewhat arbitrary. We evaluated the timing from T2 bladder cancer diagnosis to cystectomy, its impact on survival and potential causes of delay. Materials and Methods: A contemporary cohort of 214 consecutive patients presented with clinical T2 bladder cancer and underwent radical cystectomy as primary therapy. Clinicopathological parameters were maintained in an institutional database. A review of time to cystectomy, pathological stage, disease specific survival and OS was performed. Variables were tested in univariate and multivariate analyses. The log rank test was used for exploratory analyses to determine meaningful delay cutoff points. Results: Mean followup and time to cystectomy in the entire cohort was 40 months and 60 days, respectively. A significant disease specific survival and OS advantage was observed in patients undergoing cystectomy by 93 days or less (3.1 months) compared to greater than 93 days (p = 0.05 and 0.02, respectively). Pathological staging was similar between the groups (p = 0.15). A multivariate benefit in OS was observed in patients treated with timely cystectomy. The most common factor contributing to cystectomy delay was scheduling delay, as seen in 46% of cases. Conclusions: A cystectomy delay of 3.1 months undermines patient survival, likely through the development of micrometastases, since local stage progression is not apparent at this point. Most delays are avoidable and should be minimized. Despite the need for second opinions and the impact of busy surgical schedules clinicians must strive to schedule patients efficiently and complete surgical treatment within this time frame. Copyright © 2006 by American Urological Association.","author":[{"dropping-particle":"","family":"Lee","given":"Cheryl T.","non-dropping-particle":"","parse-names":false,"suffix":""},{"dropping-particle":"","family":"Madii","given":"Rabii","non-dropping-particle":"","parse-names":false,"suffix":""},{"dropping-particle":"","family":"Daignault","given":"Stephanie","non-dropping-particle":"","parse-names":false,"suffix":""},{"dropping-particle":"","family":"Dunn","given":"Rodney L.","non-dropping-particle":"","parse-names":false,"suffix":""},{"dropping-particle":"","family":"Zhang","given":"Yingxi","non-dropping-particle":"","parse-names":false,"suffix":""},{"dropping-particle":"","family":"Montie","given":"James E.","non-dropping-particle":"","parse-names":false,"suffix":""},{"dropping-particle":"","family":"Wood","given":"David P.","non-dropping-particle":"","parse-names":false,"suffix":""}],"container-title":"Journal of Urology","id":"ITEM-55","issue":"4","issued":{"date-parts":[["2006","4"]]},"page":"1262-1267","publisher":"J Urol","title":"Cystectomy delay more than 3 months from initial bladder cancer diagnosis results in decreased disease specific and overall survival","type":"article-journal","volume":"175"},"uris":["http://www.mendeley.com/documents/?uuid=51a0b9a7-c6dc-3563-aa2d-12f06b3dd05f"]},{"id":"ITEM-56","itemData":{"DOI":"10.1016/j.urolonc.2019.11.008","ISSN":"18732496","PMID":"31864937","abstract":"Objectives: Early surgical resection remains the recommended treatment option for most small renal mass (≤4 cm). We examined the long-term overall survival (OS) of patients managed with delayed and immediate nephrectomy of cT1a renal cancer. Patient and methods: We utilized the National Cancer Database (2005–2010) to identify 14,677 patients (immediate nephrectomy: 14,050 patients vs. late nephrectomy: 627 patients) aged &lt;70 years with Charlson Comorbidity Index 0 and cT1aN0M0 renal cell carcinoma. Immediate nephrectomy and late nephrectomy were defined as nephrectomy performed &lt;30 days and &gt;180 days from diagnosis, respectively. Inverse probability of treatment weighting–adjusted Kaplan-Meier curves and Cox proportional hazards regression analyses were used to compare OS of patients in the 2 treatment arms. Influence of patient age and Charlson Comorbidity Index on treatment effect was tested by interactions. Sensitivity analysis was performed to explore the outcome of delaying nephrectomy for &gt;12 months. Results: Median patient age was 55 years with a median follow-up of 82.5 months. Inverse probability of treatment weighting-adjusted Kaplan-Meier curves suggest no significant difference between treatment arms (immediate nephrectomy [&lt;30 days] vs. delayed nephrectomy [&gt;180 days]) (Hazard ratio 0.96; 95% confidence interval 0.73–1.26; P = 0.77). This outcome was consistent between all patients regardless of age (P = 0.48). Sensitivity analysis reports no difference in OS even if nephrectomy was delayed by &gt;12 months (P = 0.60). Conclusions: We report that delayed and immediate nephrectomy for cT1a renal cell carcinoma confers comparable long-term OS. These findings suggest that a period of observation of between 6 and 12 months is safe to allow identification of renal masses, which will benefit from surgical resection.","author":[{"dropping-particle":"","family":"Tan","given":"Wei Shen","non-dropping-particle":"","parse-names":false,"suffix":""},{"dropping-particle":"","family":"Trinh","given":"Quoc Dien","non-dropping-particle":"","parse-names":false,"suffix":""},{"dropping-particle":"","family":"Hayn","given":"Matthew H.","non-dropping-particle":"","parse-names":false,"suffix":""},{"dropping-particle":"","family":"Marchese","given":"Maya","non-dropping-particle":"","parse-names":false,"suffix":""},{"dropping-particle":"","family":"Lipsitz","given":"Stuart R.","non-dropping-particle":"","parse-names":false,"suffix":""},{"dropping-particle":"","family":"Nabi","given":"Junaid","non-dropping-particle":"","parse-names":false,"suffix":""},{"dropping-particle":"","family":"Kilbridge","given":"Kerry L.","non-dropping-particle":"","parse-names":false,"suffix":""},{"dropping-particle":"","family":"Vale","given":"Justin A.","non-dropping-particle":"","parse-names":false,"suffix":""},{"dropping-particle":"","family":"Khoubehi","given":"Bijan","non-dropping-particle":"","parse-names":false,"suffix":""},{"dropping-particle":"","family":"Kibel","given":"Adam S.","non-dropping-particle":"","parse-names":false,"suffix":""},{"dropping-particle":"","family":"Sun","given":"Maxine","non-dropping-particle":"","parse-names":false,"suffix":""},{"dropping-particle":"","family":"Chang","given":"Steven L.","non-dropping-particle":"","parse-names":false,"suffix":""},{"dropping-particle":"","family":"Sammon","given":"Jesse D.","non-dropping-particle":"","parse-names":false,"suffix":""}],"container-title":"Urologic Oncology: Seminars and Original Investigations","id":"ITEM-56","issue":"3","issued":{"date-parts":[["2020","3","1"]]},"page":"74.e13-74.e20","publisher":"Elsevier Inc.","title":"Delayed nephrectomy has comparable long-term overall survival to immediate nephrectomy for cT1a renal cell carcinoma: A population-based analysis","type":"article-journal","volume":"38"},"uris":["http://www.mendeley.com/documents/?uuid=b7f567fc-24fc-3ff1-a38d-6025724f9add"]},{"id":"ITEM-57","itemData":{"DOI":"10.1371/journal.pone.0196427","ISSN":"19326203","abstract":"Background Does the dogma of nephron sparing surgery (NSS) still stand for large renal masses? Available studies dealing with that issue are considerably biased often mixing imperative with elective indications for NSS and also including less malignant variants or even benign renal tumors. Here, we analyzed the oncological long-term outcomes of patients undergoing elective NSS or radical tumor nephrectomy (RN) for non-endophytic, large (7cm) clear cell renal carcinoma (ccRCC). Methods Prospectively acquired, clinical databases from two academic high-volume centers were screened for patients from 1980 to 2010. The query was strictly limited to patients with elective indications. Surgical complications were retrospectively assessed and classified using the Clavien-Dindo-classification system (CDS). Overall survival (OS) and cancer specific survival (CSS) were analyzed using the Kaplan-Meier-method and the log-rank test. Results Out of in total 8664 patients in the databases, 123 patients were identified (elective NSS (n = 18) or elective RN (n = 105)) for 7cm ccRCC. The median follow-up over all was 102 months (range 3–367 months). Compared to the RN group, the NSS group had a significantly longer median OS (p = 0.014) and median CSS (p = 0.04).\nConclusions In large renal masses, NSS can be performed safely with acceptable complication rates. In terms of long-term OS and CSS, NSS was at least not inferior to RN. Our findings suggest that NSS should also be performed in patients presenting with renal tumors 7cm whenever technically feasible. Limitations include its retrospective nature and the limited availability of data concerning long-term development of renal function in the two groups.","author":[{"dropping-particle":"","family":"Janssen","given":"M. W.W.","non-dropping-particle":"","parse-names":false,"suffix":""},{"dropping-particle":"","family":"Linxweiler","given":"J.","non-dropping-particle":"","parse-names":false,"suffix":""},{"dropping-particle":"","family":"Terwey","given":"S.","non-dropping-particle":"","parse-names":false,"suffix":""},{"dropping-particle":"","family":"Rugge","given":"S.","non-dropping-particle":"","parse-names":false,"suffix":""},{"dropping-particle":"","family":"Ohlmann","given":"C. H.","non-dropping-particle":"","parse-names":false,"suffix":""},{"dropping-particle":"","family":"Becker","given":"F.","non-dropping-particle":"","parse-names":false,"suffix":""},{"dropping-particle":"","family":"Thomas","given":"C.","non-dropping-particle":"","parse-names":false,"suffix":""},{"dropping-particle":"","family":"Neisius","given":"A.","non-dropping-particle":"","parse-names":false,"suffix":""},{"dropping-particle":"","family":"Thüroff","given":"J. W.","non-dropping-particle":"","parse-names":false,"suffix":""},{"dropping-particle":"","family":"Siemer","given":"S.","non-dropping-particle":"","parse-names":false,"suffix":""},{"dropping-particle":"","family":"Stöckle","given":"M.","non-dropping-particle":"","parse-names":false,"suffix":""},{"dropping-particle":"","family":"Roos","given":"F. C.","non-dropping-particle":"","parse-names":false,"suffix":""}],"container-title":"PLoS ONE","id":"ITEM-57","issue":"5","issued":{"date-parts":[["2018","5","1"]]},"publisher":"Public Library of Science","title":"Survival outcomes in patients with large (7cm) clear cell renal cell carcinomas treated with nephron-sparing surgery versus radical nephrectomy: Results of a multicenter cohort with long-term follow-up","type":"article-journal","volume":"13"},"uris":["http://www.mendeley.com/documents/?uuid=a07b08cd-5952-3839-8cce-7720b540bd2c"]}],"mendeley":{"formattedCitation":"&lt;sup&gt;20,21,46–55,38,56–65,39,66–75,40,76–85,41,86–92,42–45&lt;/sup&gt;","plainTextFormattedCitation":"20,21,46–55,38,56–65,39,66–75,40,76–85,41,86–92,42–45","previouslyFormattedCitation":"&lt;sup&gt;20,21,46–55,38,56–65,39,66–75,40,76–85,41,86–92,42–45&lt;/sup&gt;"},"properties":{"noteIndex":0},"schema":"https://github.com/citation-style-language/schema/raw/master/csl-citation.json"}</w:instrText>
      </w:r>
      <w:r w:rsidR="00830F68" w:rsidRPr="00A04BC9">
        <w:rPr>
          <w:rFonts w:ascii="Calibri" w:hAnsi="Calibri" w:cs="Calibri"/>
        </w:rPr>
        <w:fldChar w:fldCharType="separate"/>
      </w:r>
      <w:r w:rsidR="00336828" w:rsidRPr="00A04BC9">
        <w:rPr>
          <w:rFonts w:ascii="Calibri" w:hAnsi="Calibri" w:cs="Calibri"/>
          <w:noProof/>
          <w:vertAlign w:val="superscript"/>
        </w:rPr>
        <w:t>20,21,46–55,38,56–65,39,66–75,40,76–85,41,86–92,42–45</w:t>
      </w:r>
      <w:r w:rsidR="00830F68" w:rsidRPr="00A04BC9">
        <w:rPr>
          <w:rFonts w:ascii="Calibri" w:hAnsi="Calibri" w:cs="Calibri"/>
        </w:rPr>
        <w:fldChar w:fldCharType="end"/>
      </w:r>
      <w:r w:rsidR="00830F68" w:rsidRPr="00A04BC9">
        <w:rPr>
          <w:rFonts w:ascii="Calibri" w:hAnsi="Calibri" w:cs="Calibri"/>
        </w:rPr>
        <w:t xml:space="preserve">, and the corresponding model output for </w:t>
      </w:r>
      <w:r w:rsidR="002E2419" w:rsidRPr="00A04BC9">
        <w:rPr>
          <w:rFonts w:ascii="Calibri" w:hAnsi="Calibri" w:cs="Calibri"/>
        </w:rPr>
        <w:t>each semi-elective</w:t>
      </w:r>
      <w:r w:rsidR="00830F68" w:rsidRPr="00A04BC9">
        <w:rPr>
          <w:rFonts w:ascii="Calibri" w:hAnsi="Calibri" w:cs="Calibri"/>
        </w:rPr>
        <w:t xml:space="preserve"> surgery are presented in Appendix A.</w:t>
      </w:r>
    </w:p>
    <w:p w14:paraId="0549977A" w14:textId="1F6E1054" w:rsidR="008C3804" w:rsidRPr="001C38EF" w:rsidRDefault="008C3804" w:rsidP="00153762">
      <w:pPr>
        <w:spacing w:line="276" w:lineRule="auto"/>
        <w:rPr>
          <w:rFonts w:ascii="Calibri" w:hAnsi="Calibri" w:cs="Calibri"/>
          <w:highlight w:val="yellow"/>
        </w:rPr>
      </w:pPr>
    </w:p>
    <w:p w14:paraId="5C7527C7" w14:textId="68272F12" w:rsidR="00872009" w:rsidRPr="005B1B09" w:rsidRDefault="00872009" w:rsidP="00872009">
      <w:pPr>
        <w:pStyle w:val="Kop2"/>
      </w:pPr>
      <w:r w:rsidRPr="005B1B09">
        <w:t xml:space="preserve">Quality of Life </w:t>
      </w:r>
    </w:p>
    <w:p w14:paraId="4CDC8569" w14:textId="4C69C244" w:rsidR="0A1EFA4D" w:rsidRPr="005B1B09" w:rsidRDefault="00B9676F" w:rsidP="00153762">
      <w:pPr>
        <w:spacing w:line="276" w:lineRule="auto"/>
        <w:rPr>
          <w:rFonts w:ascii="Calibri" w:hAnsi="Calibri" w:cs="Calibri"/>
        </w:rPr>
      </w:pPr>
      <w:r w:rsidRPr="005B1B09">
        <w:rPr>
          <w:rFonts w:ascii="Calibri" w:hAnsi="Calibri" w:cs="Calibri"/>
        </w:rPr>
        <w:t>The QoL of e</w:t>
      </w:r>
      <w:r w:rsidR="005E6B21" w:rsidRPr="005B1B09">
        <w:rPr>
          <w:rFonts w:ascii="Calibri" w:hAnsi="Calibri" w:cs="Calibri"/>
        </w:rPr>
        <w:t>ight health states were estimated in the both sessions</w:t>
      </w:r>
      <w:r w:rsidR="00830F68" w:rsidRPr="005B1B09">
        <w:rPr>
          <w:rFonts w:ascii="Calibri" w:hAnsi="Calibri" w:cs="Calibri"/>
        </w:rPr>
        <w:t xml:space="preserve"> with the expert panel</w:t>
      </w:r>
      <w:r w:rsidR="005E6B21" w:rsidRPr="005B1B09">
        <w:rPr>
          <w:rFonts w:ascii="Calibri" w:hAnsi="Calibri" w:cs="Calibri"/>
        </w:rPr>
        <w:t xml:space="preserve">. The </w:t>
      </w:r>
      <w:r w:rsidR="002E2419" w:rsidRPr="005B1B09">
        <w:rPr>
          <w:rFonts w:ascii="Calibri" w:hAnsi="Calibri" w:cs="Calibri"/>
        </w:rPr>
        <w:t>mean</w:t>
      </w:r>
      <w:r w:rsidR="00D04A3A" w:rsidRPr="005B1B09">
        <w:rPr>
          <w:rFonts w:ascii="Calibri" w:hAnsi="Calibri" w:cs="Calibri"/>
        </w:rPr>
        <w:t xml:space="preserve"> </w:t>
      </w:r>
      <w:r w:rsidR="00830F68" w:rsidRPr="005B1B09">
        <w:rPr>
          <w:rFonts w:ascii="Calibri" w:hAnsi="Calibri" w:cs="Calibri"/>
        </w:rPr>
        <w:t>QoL</w:t>
      </w:r>
      <w:r w:rsidR="005E6B21" w:rsidRPr="005B1B09">
        <w:rPr>
          <w:rFonts w:ascii="Calibri" w:hAnsi="Calibri" w:cs="Calibri"/>
        </w:rPr>
        <w:t xml:space="preserve"> of these health states was estimated significantly higher in the second session (the standardized mean difference </w:t>
      </w:r>
      <w:r w:rsidR="001D4731" w:rsidRPr="005B1B09">
        <w:rPr>
          <w:rFonts w:ascii="Calibri" w:hAnsi="Calibri" w:cs="Calibri"/>
        </w:rPr>
        <w:t xml:space="preserve">was </w:t>
      </w:r>
      <w:r w:rsidR="007A1546" w:rsidRPr="005B1B09">
        <w:rPr>
          <w:rFonts w:ascii="Calibri" w:hAnsi="Calibri" w:cs="Calibri"/>
        </w:rPr>
        <w:t>0.07</w:t>
      </w:r>
      <w:r w:rsidR="005E6B21" w:rsidRPr="005B1B09">
        <w:rPr>
          <w:rFonts w:ascii="Calibri" w:hAnsi="Calibri" w:cs="Calibri"/>
        </w:rPr>
        <w:t xml:space="preserve">, </w:t>
      </w:r>
      <w:r w:rsidR="007A1546" w:rsidRPr="005B1B09">
        <w:rPr>
          <w:rFonts w:ascii="Calibri" w:hAnsi="Calibri" w:cs="Calibri"/>
        </w:rPr>
        <w:t xml:space="preserve">95% CI: </w:t>
      </w:r>
      <w:r w:rsidR="00741B42" w:rsidRPr="005B1B09">
        <w:rPr>
          <w:rFonts w:ascii="Calibri" w:hAnsi="Calibri" w:cs="Calibri"/>
        </w:rPr>
        <w:t>0.02</w:t>
      </w:r>
      <w:r w:rsidR="007A1546" w:rsidRPr="005B1B09">
        <w:rPr>
          <w:rFonts w:ascii="Calibri" w:hAnsi="Calibri" w:cs="Calibri"/>
        </w:rPr>
        <w:t xml:space="preserve"> </w:t>
      </w:r>
      <w:r w:rsidR="00741B42" w:rsidRPr="005B1B09">
        <w:rPr>
          <w:rFonts w:ascii="Calibri" w:hAnsi="Calibri" w:cs="Calibri"/>
        </w:rPr>
        <w:t>–</w:t>
      </w:r>
      <w:r w:rsidR="007A1546" w:rsidRPr="005B1B09">
        <w:rPr>
          <w:rFonts w:ascii="Calibri" w:hAnsi="Calibri" w:cs="Calibri"/>
        </w:rPr>
        <w:t xml:space="preserve"> </w:t>
      </w:r>
      <w:r w:rsidR="00741B42" w:rsidRPr="005B1B09">
        <w:rPr>
          <w:rFonts w:ascii="Calibri" w:hAnsi="Calibri" w:cs="Calibri"/>
        </w:rPr>
        <w:t>0.11</w:t>
      </w:r>
      <w:r w:rsidR="005E6B21" w:rsidRPr="005B1B09">
        <w:rPr>
          <w:rFonts w:ascii="Calibri" w:hAnsi="Calibri" w:cs="Calibri"/>
        </w:rPr>
        <w:t xml:space="preserve">). </w:t>
      </w:r>
      <w:r w:rsidR="00D04A3A" w:rsidRPr="005B1B09">
        <w:rPr>
          <w:rFonts w:ascii="Calibri" w:hAnsi="Calibri" w:cs="Calibri"/>
        </w:rPr>
        <w:t xml:space="preserve">However, </w:t>
      </w:r>
      <w:r w:rsidR="00FB74E6" w:rsidRPr="005B1B09">
        <w:rPr>
          <w:rFonts w:ascii="Calibri" w:hAnsi="Calibri" w:cs="Calibri"/>
        </w:rPr>
        <w:t xml:space="preserve">the </w:t>
      </w:r>
      <w:r w:rsidR="005E6B21" w:rsidRPr="005B1B09">
        <w:rPr>
          <w:rFonts w:ascii="Calibri" w:hAnsi="Calibri" w:cs="Calibri"/>
        </w:rPr>
        <w:t xml:space="preserve">gain in </w:t>
      </w:r>
      <w:r w:rsidR="00830F68" w:rsidRPr="005B1B09">
        <w:rPr>
          <w:rFonts w:ascii="Calibri" w:hAnsi="Calibri" w:cs="Calibri"/>
        </w:rPr>
        <w:t>QoL</w:t>
      </w:r>
      <w:r w:rsidR="005E6B21" w:rsidRPr="005B1B09">
        <w:rPr>
          <w:rFonts w:ascii="Calibri" w:hAnsi="Calibri" w:cs="Calibri"/>
        </w:rPr>
        <w:t xml:space="preserve"> due to surgery</w:t>
      </w:r>
      <w:r w:rsidR="00D04A3A" w:rsidRPr="005B1B09">
        <w:rPr>
          <w:rFonts w:ascii="Calibri" w:hAnsi="Calibri" w:cs="Calibri"/>
        </w:rPr>
        <w:t xml:space="preserve"> </w:t>
      </w:r>
      <w:r w:rsidR="005E6B21" w:rsidRPr="005B1B09">
        <w:rPr>
          <w:rFonts w:ascii="Calibri" w:hAnsi="Calibri" w:cs="Calibri"/>
        </w:rPr>
        <w:t xml:space="preserve">was not estimated </w:t>
      </w:r>
      <w:r w:rsidR="002E2419" w:rsidRPr="005B1B09">
        <w:rPr>
          <w:rFonts w:ascii="Calibri" w:hAnsi="Calibri" w:cs="Calibri"/>
        </w:rPr>
        <w:t>different</w:t>
      </w:r>
      <w:r w:rsidR="005E6B21" w:rsidRPr="005B1B09">
        <w:rPr>
          <w:rFonts w:ascii="Calibri" w:hAnsi="Calibri" w:cs="Calibri"/>
        </w:rPr>
        <w:t xml:space="preserve"> in the second session (the standardized mean difference was 0.025, 95% CI: -0.</w:t>
      </w:r>
      <w:r w:rsidR="005B32AE" w:rsidRPr="005B1B09">
        <w:rPr>
          <w:rFonts w:ascii="Calibri" w:hAnsi="Calibri" w:cs="Calibri"/>
        </w:rPr>
        <w:t>11</w:t>
      </w:r>
      <w:r w:rsidR="005E6B21" w:rsidRPr="005B1B09">
        <w:rPr>
          <w:rFonts w:ascii="Calibri" w:hAnsi="Calibri" w:cs="Calibri"/>
        </w:rPr>
        <w:t xml:space="preserve"> – 0.</w:t>
      </w:r>
      <w:r w:rsidR="005B32AE" w:rsidRPr="005B1B09">
        <w:rPr>
          <w:rFonts w:ascii="Calibri" w:hAnsi="Calibri" w:cs="Calibri"/>
        </w:rPr>
        <w:t>16</w:t>
      </w:r>
      <w:r w:rsidR="007A1546" w:rsidRPr="005B1B09">
        <w:rPr>
          <w:rFonts w:ascii="Calibri" w:hAnsi="Calibri" w:cs="Calibri"/>
        </w:rPr>
        <w:t xml:space="preserve">, </w:t>
      </w:r>
      <w:r w:rsidR="42ACAC33" w:rsidRPr="005B1B09">
        <w:rPr>
          <w:rFonts w:ascii="Calibri" w:hAnsi="Calibri" w:cs="Calibri"/>
        </w:rPr>
        <w:t xml:space="preserve">table 3 </w:t>
      </w:r>
      <w:r w:rsidR="000738A7" w:rsidRPr="005B1B09">
        <w:rPr>
          <w:rFonts w:ascii="Calibri" w:hAnsi="Calibri" w:cs="Calibri"/>
        </w:rPr>
        <w:t xml:space="preserve">and figure 1 </w:t>
      </w:r>
      <w:r w:rsidR="42ACAC33" w:rsidRPr="005B1B09">
        <w:rPr>
          <w:rFonts w:ascii="Calibri" w:hAnsi="Calibri" w:cs="Calibri"/>
        </w:rPr>
        <w:t>Appendix B).</w:t>
      </w:r>
      <w:r w:rsidR="1509B580" w:rsidRPr="005B1B09">
        <w:rPr>
          <w:rFonts w:ascii="Calibri" w:hAnsi="Calibri" w:cs="Calibri"/>
        </w:rPr>
        <w:t xml:space="preserve"> </w:t>
      </w:r>
    </w:p>
    <w:p w14:paraId="385D8A3D" w14:textId="77777777" w:rsidR="00514AC6" w:rsidRPr="001C38EF" w:rsidRDefault="00514AC6" w:rsidP="00153762">
      <w:pPr>
        <w:spacing w:line="276" w:lineRule="auto"/>
        <w:rPr>
          <w:rFonts w:ascii="Calibri" w:hAnsi="Calibri" w:cs="Calibri"/>
          <w:highlight w:val="yellow"/>
        </w:rPr>
      </w:pPr>
    </w:p>
    <w:p w14:paraId="6B28A3D8" w14:textId="7195FC96" w:rsidR="7D823098" w:rsidRPr="004323E1" w:rsidRDefault="7D823098" w:rsidP="00153762">
      <w:pPr>
        <w:spacing w:line="276" w:lineRule="auto"/>
        <w:rPr>
          <w:rFonts w:ascii="Calibri" w:hAnsi="Calibri" w:cs="Calibri"/>
        </w:rPr>
      </w:pPr>
      <w:r w:rsidRPr="004323E1">
        <w:rPr>
          <w:rFonts w:ascii="Calibri" w:hAnsi="Calibri" w:cs="Calibri"/>
        </w:rPr>
        <w:t>The maximum</w:t>
      </w:r>
      <w:r w:rsidR="001D4731" w:rsidRPr="004323E1">
        <w:rPr>
          <w:rFonts w:ascii="Calibri" w:hAnsi="Calibri" w:cs="Calibri"/>
        </w:rPr>
        <w:t xml:space="preserve"> expected benefit, i.e. in a scenario without delay, </w:t>
      </w:r>
      <w:r w:rsidRPr="004323E1">
        <w:rPr>
          <w:rFonts w:ascii="Calibri" w:hAnsi="Calibri" w:cs="Calibri"/>
        </w:rPr>
        <w:t xml:space="preserve">from the evaluated </w:t>
      </w:r>
      <w:r w:rsidR="00F727B4" w:rsidRPr="004323E1">
        <w:rPr>
          <w:rFonts w:ascii="Calibri" w:hAnsi="Calibri" w:cs="Calibri"/>
        </w:rPr>
        <w:t>surgeries</w:t>
      </w:r>
      <w:r w:rsidRPr="004323E1">
        <w:rPr>
          <w:rFonts w:ascii="Calibri" w:hAnsi="Calibri" w:cs="Calibri"/>
        </w:rPr>
        <w:t xml:space="preserve"> ranged from </w:t>
      </w:r>
      <w:r w:rsidR="004323E1" w:rsidRPr="004323E1">
        <w:rPr>
          <w:rFonts w:ascii="Calibri" w:hAnsi="Calibri" w:cs="Calibri"/>
        </w:rPr>
        <w:t>0.48</w:t>
      </w:r>
      <w:r w:rsidR="4BF56EBF" w:rsidRPr="004323E1">
        <w:rPr>
          <w:rFonts w:ascii="Calibri" w:hAnsi="Calibri" w:cs="Calibri"/>
        </w:rPr>
        <w:t xml:space="preserve"> QALYs (95% CI:</w:t>
      </w:r>
      <w:r w:rsidR="004323E1" w:rsidRPr="004323E1">
        <w:rPr>
          <w:rFonts w:ascii="Calibri" w:hAnsi="Calibri" w:cs="Calibri"/>
        </w:rPr>
        <w:t xml:space="preserve"> 0.32</w:t>
      </w:r>
      <w:r w:rsidR="4BF56EBF" w:rsidRPr="004323E1">
        <w:rPr>
          <w:rFonts w:ascii="Calibri" w:hAnsi="Calibri" w:cs="Calibri"/>
        </w:rPr>
        <w:t xml:space="preserve"> </w:t>
      </w:r>
      <w:r w:rsidR="004323E1" w:rsidRPr="004323E1">
        <w:rPr>
          <w:rFonts w:ascii="Calibri" w:hAnsi="Calibri" w:cs="Calibri"/>
        </w:rPr>
        <w:t>–</w:t>
      </w:r>
      <w:r w:rsidR="005B1B09" w:rsidRPr="004323E1">
        <w:rPr>
          <w:rFonts w:ascii="Calibri" w:hAnsi="Calibri" w:cs="Calibri"/>
        </w:rPr>
        <w:t xml:space="preserve"> </w:t>
      </w:r>
      <w:r w:rsidR="004323E1" w:rsidRPr="004323E1">
        <w:rPr>
          <w:rFonts w:ascii="Calibri" w:hAnsi="Calibri" w:cs="Calibri"/>
        </w:rPr>
        <w:t>0.83</w:t>
      </w:r>
      <w:r w:rsidR="4BF56EBF" w:rsidRPr="004323E1">
        <w:rPr>
          <w:rFonts w:ascii="Calibri" w:hAnsi="Calibri" w:cs="Calibri"/>
        </w:rPr>
        <w:t xml:space="preserve">) for resection of </w:t>
      </w:r>
      <w:r w:rsidR="004323E1" w:rsidRPr="004323E1">
        <w:rPr>
          <w:rFonts w:ascii="Calibri" w:hAnsi="Calibri" w:cs="Calibri"/>
        </w:rPr>
        <w:t xml:space="preserve">muscle invasive bladder cancer </w:t>
      </w:r>
      <w:r w:rsidR="74D9FA3F" w:rsidRPr="004323E1">
        <w:rPr>
          <w:rFonts w:ascii="Calibri" w:hAnsi="Calibri" w:cs="Calibri"/>
        </w:rPr>
        <w:t xml:space="preserve">to </w:t>
      </w:r>
      <w:r w:rsidR="004323E1" w:rsidRPr="004323E1">
        <w:rPr>
          <w:rFonts w:ascii="Calibri" w:hAnsi="Calibri" w:cs="Calibri"/>
        </w:rPr>
        <w:t xml:space="preserve">10.3 </w:t>
      </w:r>
      <w:r w:rsidR="74D9FA3F" w:rsidRPr="004323E1">
        <w:rPr>
          <w:rFonts w:ascii="Calibri" w:hAnsi="Calibri" w:cs="Calibri"/>
        </w:rPr>
        <w:t>QALYs (95% CI:</w:t>
      </w:r>
      <w:r w:rsidR="004323E1" w:rsidRPr="004323E1">
        <w:rPr>
          <w:rFonts w:ascii="Calibri" w:hAnsi="Calibri" w:cs="Calibri"/>
        </w:rPr>
        <w:t xml:space="preserve"> 8.7</w:t>
      </w:r>
      <w:r w:rsidR="74D9FA3F" w:rsidRPr="004323E1">
        <w:rPr>
          <w:rFonts w:ascii="Calibri" w:hAnsi="Calibri" w:cs="Calibri"/>
        </w:rPr>
        <w:t xml:space="preserve"> </w:t>
      </w:r>
      <w:r w:rsidR="004323E1" w:rsidRPr="004323E1">
        <w:rPr>
          <w:rFonts w:ascii="Calibri" w:hAnsi="Calibri" w:cs="Calibri"/>
        </w:rPr>
        <w:t>–</w:t>
      </w:r>
      <w:r w:rsidR="005B1B09" w:rsidRPr="004323E1">
        <w:rPr>
          <w:rFonts w:ascii="Calibri" w:hAnsi="Calibri" w:cs="Calibri"/>
        </w:rPr>
        <w:t xml:space="preserve"> </w:t>
      </w:r>
      <w:r w:rsidR="004323E1" w:rsidRPr="004323E1">
        <w:rPr>
          <w:rFonts w:ascii="Calibri" w:hAnsi="Calibri" w:cs="Calibri"/>
        </w:rPr>
        <w:t>11.9</w:t>
      </w:r>
      <w:r w:rsidR="74D9FA3F" w:rsidRPr="004323E1">
        <w:rPr>
          <w:rFonts w:ascii="Calibri" w:hAnsi="Calibri" w:cs="Calibri"/>
        </w:rPr>
        <w:t>) for kidney transplantation</w:t>
      </w:r>
      <w:r w:rsidR="32F7847B" w:rsidRPr="004323E1">
        <w:rPr>
          <w:rFonts w:ascii="Calibri" w:hAnsi="Calibri" w:cs="Calibri"/>
        </w:rPr>
        <w:t xml:space="preserve"> (</w:t>
      </w:r>
      <w:r w:rsidR="65D68397" w:rsidRPr="004323E1">
        <w:rPr>
          <w:rFonts w:ascii="Calibri" w:hAnsi="Calibri" w:cs="Calibri"/>
        </w:rPr>
        <w:t>F</w:t>
      </w:r>
      <w:r w:rsidR="32F7847B" w:rsidRPr="004323E1">
        <w:rPr>
          <w:rFonts w:ascii="Calibri" w:hAnsi="Calibri" w:cs="Calibri"/>
        </w:rPr>
        <w:t>igure 3</w:t>
      </w:r>
      <w:r w:rsidR="5DE9E4A8" w:rsidRPr="004323E1">
        <w:rPr>
          <w:rFonts w:ascii="Calibri" w:hAnsi="Calibri" w:cs="Calibri"/>
        </w:rPr>
        <w:t xml:space="preserve">). The </w:t>
      </w:r>
      <w:r w:rsidR="5DE9E4A8" w:rsidRPr="004323E1">
        <w:rPr>
          <w:rFonts w:ascii="Calibri" w:hAnsi="Calibri" w:cs="Calibri"/>
        </w:rPr>
        <w:lastRenderedPageBreak/>
        <w:t xml:space="preserve">ranking based on QALYs gained by surgery </w:t>
      </w:r>
      <w:r w:rsidR="000A1DDC" w:rsidRPr="004323E1">
        <w:rPr>
          <w:rFonts w:ascii="Calibri" w:hAnsi="Calibri" w:cs="Calibri"/>
        </w:rPr>
        <w:t xml:space="preserve">was correlated with </w:t>
      </w:r>
      <w:r w:rsidR="5DE9E4A8" w:rsidRPr="004323E1">
        <w:rPr>
          <w:rFonts w:ascii="Calibri" w:hAnsi="Calibri" w:cs="Calibri"/>
        </w:rPr>
        <w:t xml:space="preserve">the ranking </w:t>
      </w:r>
      <w:r w:rsidR="38124A25" w:rsidRPr="004323E1">
        <w:rPr>
          <w:rFonts w:ascii="Calibri" w:hAnsi="Calibri" w:cs="Calibri"/>
        </w:rPr>
        <w:t>based on</w:t>
      </w:r>
      <w:r w:rsidR="5DE9E4A8" w:rsidRPr="004323E1">
        <w:rPr>
          <w:rFonts w:ascii="Calibri" w:hAnsi="Calibri" w:cs="Calibri"/>
        </w:rPr>
        <w:t xml:space="preserve"> </w:t>
      </w:r>
      <w:r w:rsidR="002E2419" w:rsidRPr="004323E1">
        <w:rPr>
          <w:rFonts w:ascii="Calibri" w:hAnsi="Calibri" w:cs="Calibri"/>
        </w:rPr>
        <w:t>life years</w:t>
      </w:r>
      <w:r w:rsidR="5DE9E4A8" w:rsidRPr="004323E1">
        <w:rPr>
          <w:rFonts w:ascii="Calibri" w:hAnsi="Calibri" w:cs="Calibri"/>
        </w:rPr>
        <w:t xml:space="preserve"> </w:t>
      </w:r>
      <w:r w:rsidR="38124A25" w:rsidRPr="004323E1">
        <w:rPr>
          <w:rFonts w:ascii="Calibri" w:hAnsi="Calibri" w:cs="Calibri"/>
        </w:rPr>
        <w:t>gained by surgery</w:t>
      </w:r>
      <w:r w:rsidR="5DE9E4A8" w:rsidRPr="004323E1">
        <w:rPr>
          <w:rFonts w:ascii="Calibri" w:hAnsi="Calibri" w:cs="Calibri"/>
        </w:rPr>
        <w:t>:</w:t>
      </w:r>
      <w:r w:rsidR="5DE9E4A8" w:rsidRPr="004323E1">
        <w:rPr>
          <w:rFonts w:ascii="Calibri" w:hAnsi="Calibri" w:cs="Calibri"/>
          <w:i/>
          <w:iCs/>
        </w:rPr>
        <w:t xml:space="preserve"> </w:t>
      </w:r>
      <w:r w:rsidR="002E2419" w:rsidRPr="004323E1">
        <w:rPr>
          <w:rFonts w:ascii="Calibri" w:hAnsi="Calibri" w:cs="Calibri"/>
        </w:rPr>
        <w:t>T</w:t>
      </w:r>
      <w:r w:rsidR="5DE9E4A8" w:rsidRPr="004323E1">
        <w:rPr>
          <w:rFonts w:ascii="Calibri" w:hAnsi="Calibri" w:cs="Calibri"/>
        </w:rPr>
        <w:t xml:space="preserve">he </w:t>
      </w:r>
      <w:r w:rsidR="09A18EB7" w:rsidRPr="004323E1">
        <w:rPr>
          <w:rFonts w:ascii="Calibri" w:hAnsi="Calibri" w:cs="Calibri"/>
        </w:rPr>
        <w:t>S</w:t>
      </w:r>
      <w:r w:rsidR="03E6BE5D" w:rsidRPr="004323E1">
        <w:rPr>
          <w:rFonts w:ascii="Calibri" w:hAnsi="Calibri" w:cs="Calibri"/>
        </w:rPr>
        <w:t xml:space="preserve">pearman rank correlation coefficient between the ranking of </w:t>
      </w:r>
      <w:r w:rsidR="00F727B4" w:rsidRPr="004323E1">
        <w:rPr>
          <w:rFonts w:ascii="Calibri" w:hAnsi="Calibri" w:cs="Calibri"/>
        </w:rPr>
        <w:t>surgeries</w:t>
      </w:r>
      <w:r w:rsidR="03E6BE5D" w:rsidRPr="004323E1">
        <w:rPr>
          <w:rFonts w:ascii="Calibri" w:hAnsi="Calibri" w:cs="Calibri"/>
        </w:rPr>
        <w:t xml:space="preserve"> based on LYs and QALYs was</w:t>
      </w:r>
      <w:r w:rsidR="004323E1" w:rsidRPr="004323E1">
        <w:rPr>
          <w:rFonts w:ascii="Calibri" w:hAnsi="Calibri" w:cs="Calibri"/>
        </w:rPr>
        <w:t xml:space="preserve"> 0.45</w:t>
      </w:r>
      <w:r w:rsidR="03E6BE5D" w:rsidRPr="004323E1">
        <w:rPr>
          <w:rFonts w:ascii="Calibri" w:hAnsi="Calibri" w:cs="Calibri"/>
        </w:rPr>
        <w:t xml:space="preserve"> </w:t>
      </w:r>
      <w:r w:rsidR="21EB3C26" w:rsidRPr="004323E1">
        <w:rPr>
          <w:rFonts w:ascii="Calibri" w:hAnsi="Calibri" w:cs="Calibri"/>
        </w:rPr>
        <w:t>(p=</w:t>
      </w:r>
      <w:r w:rsidR="004323E1" w:rsidRPr="004323E1">
        <w:rPr>
          <w:rFonts w:ascii="Calibri" w:hAnsi="Calibri" w:cs="Calibri"/>
        </w:rPr>
        <w:t>0.003</w:t>
      </w:r>
      <w:r w:rsidR="21EB3C26" w:rsidRPr="004323E1">
        <w:rPr>
          <w:rFonts w:ascii="Calibri" w:hAnsi="Calibri" w:cs="Calibri"/>
        </w:rPr>
        <w:t>)</w:t>
      </w:r>
      <w:r w:rsidR="03E6BE5D" w:rsidRPr="004323E1">
        <w:rPr>
          <w:rFonts w:ascii="Calibri" w:hAnsi="Calibri" w:cs="Calibri"/>
        </w:rPr>
        <w:t xml:space="preserve">. </w:t>
      </w:r>
    </w:p>
    <w:p w14:paraId="61A2ABBB" w14:textId="77777777" w:rsidR="007E07BA" w:rsidRPr="001C38EF" w:rsidRDefault="007E07BA" w:rsidP="00153762">
      <w:pPr>
        <w:spacing w:line="276" w:lineRule="auto"/>
        <w:rPr>
          <w:rFonts w:ascii="Calibri" w:hAnsi="Calibri" w:cs="Calibri"/>
          <w:highlight w:val="yellow"/>
        </w:rPr>
      </w:pPr>
    </w:p>
    <w:p w14:paraId="53A4E1BA" w14:textId="43454A67" w:rsidR="00872009" w:rsidRPr="00845D99" w:rsidRDefault="00872009" w:rsidP="00872009">
      <w:pPr>
        <w:pStyle w:val="Kop2"/>
      </w:pPr>
      <w:r w:rsidRPr="00845D99">
        <w:t>Urgency</w:t>
      </w:r>
      <w:bookmarkStart w:id="3" w:name="_GoBack"/>
      <w:bookmarkEnd w:id="3"/>
    </w:p>
    <w:p w14:paraId="642F6C64" w14:textId="15F54AEE" w:rsidR="002C67AE" w:rsidRPr="00845D99" w:rsidRDefault="002C67AE" w:rsidP="002C67AE">
      <w:pPr>
        <w:rPr>
          <w:rFonts w:ascii="Calibri" w:hAnsi="Calibri" w:cs="Calibri"/>
        </w:rPr>
      </w:pPr>
      <w:r w:rsidRPr="00845D99">
        <w:rPr>
          <w:rFonts w:ascii="Calibri" w:hAnsi="Calibri" w:cs="Calibri"/>
        </w:rPr>
        <w:t>Most surgeries had a clear linear descend in terms of QALYs per delay, except for surgeries where a time until no effect of treatment on survival was assumed (figure 1, appendix B).</w:t>
      </w:r>
    </w:p>
    <w:p w14:paraId="6DE533AE" w14:textId="77777777" w:rsidR="002C67AE" w:rsidRPr="002C67AE" w:rsidRDefault="002C67AE" w:rsidP="002C67AE">
      <w:pPr>
        <w:rPr>
          <w:highlight w:val="yellow"/>
          <w:lang w:val="en-GB"/>
        </w:rPr>
      </w:pPr>
    </w:p>
    <w:p w14:paraId="47E809C4" w14:textId="4AC0567C" w:rsidR="2FB1C186" w:rsidRPr="001C38EF" w:rsidRDefault="4C1C0CAC" w:rsidP="00153762">
      <w:pPr>
        <w:spacing w:line="276" w:lineRule="auto"/>
        <w:rPr>
          <w:rFonts w:ascii="Calibri" w:hAnsi="Calibri" w:cs="Calibri"/>
          <w:highlight w:val="yellow"/>
        </w:rPr>
      </w:pPr>
      <w:r w:rsidRPr="004323E1">
        <w:rPr>
          <w:rFonts w:ascii="Calibri" w:hAnsi="Calibri" w:cs="Calibri"/>
        </w:rPr>
        <w:t xml:space="preserve">The urgency of the </w:t>
      </w:r>
      <w:r w:rsidR="00F727B4" w:rsidRPr="004323E1">
        <w:rPr>
          <w:rFonts w:ascii="Calibri" w:hAnsi="Calibri" w:cs="Calibri"/>
        </w:rPr>
        <w:t>surgeries</w:t>
      </w:r>
      <w:r w:rsidRPr="004323E1">
        <w:rPr>
          <w:rFonts w:ascii="Calibri" w:hAnsi="Calibri" w:cs="Calibri"/>
        </w:rPr>
        <w:t xml:space="preserve"> ranged from</w:t>
      </w:r>
      <w:r w:rsidR="4072CE91" w:rsidRPr="004323E1">
        <w:rPr>
          <w:rFonts w:ascii="Calibri" w:hAnsi="Calibri" w:cs="Calibri"/>
        </w:rPr>
        <w:t xml:space="preserve"> </w:t>
      </w:r>
      <w:r w:rsidR="2857DD97" w:rsidRPr="004323E1">
        <w:rPr>
          <w:rFonts w:ascii="Calibri" w:hAnsi="Calibri" w:cs="Calibri"/>
        </w:rPr>
        <w:t xml:space="preserve">0.01 </w:t>
      </w:r>
      <w:r w:rsidRPr="004323E1">
        <w:rPr>
          <w:rFonts w:ascii="Calibri" w:hAnsi="Calibri" w:cs="Calibri"/>
        </w:rPr>
        <w:t>QALY</w:t>
      </w:r>
      <w:r w:rsidR="008F415D" w:rsidRPr="004323E1">
        <w:rPr>
          <w:rFonts w:ascii="Calibri" w:hAnsi="Calibri" w:cs="Calibri"/>
        </w:rPr>
        <w:t xml:space="preserve"> loss</w:t>
      </w:r>
      <w:r w:rsidR="520EA087" w:rsidRPr="004323E1">
        <w:rPr>
          <w:rFonts w:ascii="Calibri" w:hAnsi="Calibri" w:cs="Calibri"/>
        </w:rPr>
        <w:t>/</w:t>
      </w:r>
      <w:r w:rsidR="595D6765" w:rsidRPr="004323E1">
        <w:rPr>
          <w:rFonts w:ascii="Calibri" w:hAnsi="Calibri" w:cs="Calibri"/>
        </w:rPr>
        <w:t xml:space="preserve">month </w:t>
      </w:r>
      <w:r w:rsidRPr="004323E1">
        <w:rPr>
          <w:rFonts w:ascii="Calibri" w:hAnsi="Calibri" w:cs="Calibri"/>
        </w:rPr>
        <w:t>(</w:t>
      </w:r>
      <w:r w:rsidR="4BF370F2" w:rsidRPr="004323E1">
        <w:rPr>
          <w:rFonts w:ascii="Calibri" w:hAnsi="Calibri" w:cs="Calibri"/>
        </w:rPr>
        <w:t>95% CI</w:t>
      </w:r>
      <w:r w:rsidR="712730AC" w:rsidRPr="004323E1">
        <w:rPr>
          <w:rFonts w:ascii="Calibri" w:hAnsi="Calibri" w:cs="Calibri"/>
        </w:rPr>
        <w:t>:</w:t>
      </w:r>
      <w:r w:rsidR="4BF370F2" w:rsidRPr="004323E1">
        <w:rPr>
          <w:rFonts w:ascii="Calibri" w:hAnsi="Calibri" w:cs="Calibri"/>
        </w:rPr>
        <w:t xml:space="preserve"> </w:t>
      </w:r>
      <w:r w:rsidR="008F415D" w:rsidRPr="004323E1">
        <w:rPr>
          <w:rFonts w:ascii="Calibri" w:hAnsi="Calibri" w:cs="Calibri"/>
        </w:rPr>
        <w:t xml:space="preserve">0.00 </w:t>
      </w:r>
      <w:r w:rsidR="2FD157C4" w:rsidRPr="004323E1">
        <w:rPr>
          <w:rFonts w:ascii="Calibri" w:hAnsi="Calibri" w:cs="Calibri"/>
        </w:rPr>
        <w:t>-</w:t>
      </w:r>
      <w:r w:rsidR="008F415D" w:rsidRPr="004323E1">
        <w:rPr>
          <w:rFonts w:ascii="Calibri" w:hAnsi="Calibri" w:cs="Calibri"/>
        </w:rPr>
        <w:t xml:space="preserve"> </w:t>
      </w:r>
      <w:r w:rsidR="2FD157C4" w:rsidRPr="004323E1">
        <w:rPr>
          <w:rFonts w:ascii="Calibri" w:hAnsi="Calibri" w:cs="Calibri"/>
        </w:rPr>
        <w:t>0.01</w:t>
      </w:r>
      <w:r w:rsidRPr="004323E1">
        <w:rPr>
          <w:rFonts w:ascii="Calibri" w:hAnsi="Calibri" w:cs="Calibri"/>
        </w:rPr>
        <w:t>)</w:t>
      </w:r>
      <w:r w:rsidR="5743B16A" w:rsidRPr="004323E1">
        <w:rPr>
          <w:rFonts w:ascii="Calibri" w:hAnsi="Calibri" w:cs="Calibri"/>
        </w:rPr>
        <w:t xml:space="preserve"> for </w:t>
      </w:r>
      <w:r w:rsidR="3E4257F3" w:rsidRPr="004323E1">
        <w:rPr>
          <w:rFonts w:ascii="Calibri" w:hAnsi="Calibri" w:cs="Calibri"/>
        </w:rPr>
        <w:t>placing a</w:t>
      </w:r>
      <w:r w:rsidR="5743B16A" w:rsidRPr="004323E1">
        <w:rPr>
          <w:rFonts w:ascii="Calibri" w:hAnsi="Calibri" w:cs="Calibri"/>
        </w:rPr>
        <w:t xml:space="preserve"> </w:t>
      </w:r>
      <w:r w:rsidR="3E4257F3" w:rsidRPr="004323E1">
        <w:rPr>
          <w:rFonts w:ascii="Calibri" w:hAnsi="Calibri" w:cs="Calibri"/>
        </w:rPr>
        <w:t xml:space="preserve">shunt for </w:t>
      </w:r>
      <w:r w:rsidR="002048D1" w:rsidRPr="004323E1">
        <w:rPr>
          <w:rFonts w:ascii="Calibri" w:hAnsi="Calibri" w:cs="Calibri"/>
        </w:rPr>
        <w:t>dialysis,</w:t>
      </w:r>
      <w:r w:rsidR="3E4257F3" w:rsidRPr="004323E1">
        <w:rPr>
          <w:rFonts w:ascii="Calibri" w:hAnsi="Calibri" w:cs="Calibri"/>
        </w:rPr>
        <w:t xml:space="preserve"> </w:t>
      </w:r>
      <w:r w:rsidR="5743B16A" w:rsidRPr="004323E1">
        <w:rPr>
          <w:rFonts w:ascii="Calibri" w:hAnsi="Calibri" w:cs="Calibri"/>
        </w:rPr>
        <w:t>to</w:t>
      </w:r>
      <w:r w:rsidR="39A18BAE" w:rsidRPr="004323E1">
        <w:rPr>
          <w:rFonts w:ascii="Calibri" w:hAnsi="Calibri" w:cs="Calibri"/>
        </w:rPr>
        <w:t xml:space="preserve"> </w:t>
      </w:r>
      <w:r w:rsidR="004323E1" w:rsidRPr="004323E1">
        <w:rPr>
          <w:rFonts w:ascii="Calibri" w:hAnsi="Calibri" w:cs="Calibri"/>
        </w:rPr>
        <w:t>0.23</w:t>
      </w:r>
      <w:r w:rsidR="6BE3B834" w:rsidRPr="004323E1">
        <w:rPr>
          <w:rFonts w:ascii="Calibri" w:hAnsi="Calibri" w:cs="Calibri"/>
        </w:rPr>
        <w:t xml:space="preserve"> </w:t>
      </w:r>
      <w:r w:rsidR="39A18BAE" w:rsidRPr="004323E1">
        <w:rPr>
          <w:rFonts w:ascii="Calibri" w:hAnsi="Calibri" w:cs="Calibri"/>
        </w:rPr>
        <w:t>QALY</w:t>
      </w:r>
      <w:r w:rsidR="008F415D" w:rsidRPr="004323E1">
        <w:rPr>
          <w:rFonts w:ascii="Calibri" w:hAnsi="Calibri" w:cs="Calibri"/>
        </w:rPr>
        <w:t xml:space="preserve"> loss</w:t>
      </w:r>
      <w:r w:rsidR="64162E56" w:rsidRPr="004323E1">
        <w:rPr>
          <w:rFonts w:ascii="Calibri" w:hAnsi="Calibri" w:cs="Calibri"/>
        </w:rPr>
        <w:t>/</w:t>
      </w:r>
      <w:r w:rsidR="39A18BAE" w:rsidRPr="004323E1">
        <w:rPr>
          <w:rFonts w:ascii="Calibri" w:hAnsi="Calibri" w:cs="Calibri"/>
        </w:rPr>
        <w:t>month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202D2764" w:rsidRPr="004323E1">
        <w:rPr>
          <w:rFonts w:ascii="Calibri" w:hAnsi="Calibri" w:cs="Calibri"/>
        </w:rPr>
        <w:t>0.</w:t>
      </w:r>
      <w:r w:rsidR="004323E1" w:rsidRPr="004323E1">
        <w:rPr>
          <w:rFonts w:ascii="Calibri" w:hAnsi="Calibri" w:cs="Calibri"/>
        </w:rPr>
        <w:t>24</w:t>
      </w:r>
      <w:r w:rsidR="39A18BAE" w:rsidRPr="004323E1">
        <w:rPr>
          <w:rFonts w:ascii="Calibri" w:hAnsi="Calibri" w:cs="Calibri"/>
        </w:rPr>
        <w:t>)</w:t>
      </w:r>
      <w:r w:rsidRPr="004323E1">
        <w:rPr>
          <w:rFonts w:ascii="Calibri" w:hAnsi="Calibri" w:cs="Calibri"/>
        </w:rPr>
        <w:t xml:space="preserve"> </w:t>
      </w:r>
      <w:r w:rsidR="1CDC6079" w:rsidRPr="004323E1">
        <w:rPr>
          <w:rFonts w:ascii="Calibri" w:hAnsi="Calibri" w:cs="Calibri"/>
        </w:rPr>
        <w:t xml:space="preserve">for </w:t>
      </w:r>
      <w:r w:rsidR="004323E1" w:rsidRPr="004323E1">
        <w:rPr>
          <w:rFonts w:ascii="Calibri" w:hAnsi="Calibri" w:cs="Calibri"/>
        </w:rPr>
        <w:t xml:space="preserve">a bypass surgery for Fontaine III/IV peripheral arterial disease </w:t>
      </w:r>
      <w:r w:rsidR="45556DFE" w:rsidRPr="004323E1">
        <w:rPr>
          <w:rFonts w:ascii="Calibri" w:hAnsi="Calibri" w:cs="Calibri"/>
        </w:rPr>
        <w:t>(</w:t>
      </w:r>
      <w:r w:rsidR="001F3FAE" w:rsidRPr="004323E1">
        <w:rPr>
          <w:rFonts w:ascii="Calibri" w:hAnsi="Calibri" w:cs="Calibri"/>
        </w:rPr>
        <w:t>F</w:t>
      </w:r>
      <w:r w:rsidR="45556DFE" w:rsidRPr="004323E1">
        <w:rPr>
          <w:rFonts w:ascii="Calibri" w:hAnsi="Calibri" w:cs="Calibri"/>
        </w:rPr>
        <w:t>igure 4</w:t>
      </w:r>
      <w:r w:rsidR="7C789924" w:rsidRPr="004323E1">
        <w:rPr>
          <w:rFonts w:ascii="Calibri" w:hAnsi="Calibri" w:cs="Calibri"/>
        </w:rPr>
        <w:t xml:space="preserve">, and table 1 Appendix </w:t>
      </w:r>
      <w:r w:rsidR="2A032F31" w:rsidRPr="004323E1">
        <w:rPr>
          <w:rFonts w:ascii="Calibri" w:hAnsi="Calibri" w:cs="Calibri"/>
        </w:rPr>
        <w:t>B</w:t>
      </w:r>
      <w:r w:rsidR="45556DFE" w:rsidRPr="004323E1">
        <w:rPr>
          <w:rFonts w:ascii="Calibri" w:hAnsi="Calibri" w:cs="Calibri"/>
        </w:rPr>
        <w:t>)</w:t>
      </w:r>
      <w:r w:rsidR="1CDC6079" w:rsidRPr="004323E1">
        <w:rPr>
          <w:rFonts w:ascii="Calibri" w:hAnsi="Calibri" w:cs="Calibri"/>
        </w:rPr>
        <w:t xml:space="preserve">. </w:t>
      </w:r>
      <w:r w:rsidR="00F727B4" w:rsidRPr="004323E1">
        <w:rPr>
          <w:rFonts w:ascii="Calibri" w:hAnsi="Calibri" w:cs="Calibri"/>
        </w:rPr>
        <w:t>Surgeries</w:t>
      </w:r>
      <w:r w:rsidR="1CDC6079" w:rsidRPr="004323E1">
        <w:rPr>
          <w:rFonts w:ascii="Calibri" w:hAnsi="Calibri" w:cs="Calibri"/>
        </w:rPr>
        <w:t xml:space="preserve"> that were associated with a high</w:t>
      </w:r>
      <w:r w:rsidR="004323E1" w:rsidRPr="004323E1">
        <w:rPr>
          <w:rFonts w:ascii="Calibri" w:hAnsi="Calibri" w:cs="Calibri"/>
        </w:rPr>
        <w:t>er</w:t>
      </w:r>
      <w:r w:rsidR="1CDC6079" w:rsidRPr="004323E1">
        <w:rPr>
          <w:rFonts w:ascii="Calibri" w:hAnsi="Calibri" w:cs="Calibri"/>
        </w:rPr>
        <w:t xml:space="preserve"> </w:t>
      </w:r>
      <w:r w:rsidR="55ABB2DD" w:rsidRPr="004323E1">
        <w:rPr>
          <w:rFonts w:ascii="Calibri" w:hAnsi="Calibri" w:cs="Calibri"/>
        </w:rPr>
        <w:t xml:space="preserve">expected </w:t>
      </w:r>
      <w:r w:rsidR="001F3FAE" w:rsidRPr="004323E1">
        <w:rPr>
          <w:rFonts w:ascii="Calibri" w:hAnsi="Calibri" w:cs="Calibri"/>
        </w:rPr>
        <w:t>QALY</w:t>
      </w:r>
      <w:r w:rsidR="55ABB2DD" w:rsidRPr="004323E1">
        <w:rPr>
          <w:rFonts w:ascii="Calibri" w:hAnsi="Calibri" w:cs="Calibri"/>
        </w:rPr>
        <w:t xml:space="preserve"> benefit, </w:t>
      </w:r>
      <w:r w:rsidR="004323E1" w:rsidRPr="004323E1">
        <w:rPr>
          <w:rFonts w:ascii="Calibri" w:hAnsi="Calibri" w:cs="Calibri"/>
        </w:rPr>
        <w:t xml:space="preserve">often </w:t>
      </w:r>
      <w:r w:rsidR="55ABB2DD" w:rsidRPr="004323E1">
        <w:rPr>
          <w:rFonts w:ascii="Calibri" w:hAnsi="Calibri" w:cs="Calibri"/>
        </w:rPr>
        <w:t>los</w:t>
      </w:r>
      <w:r w:rsidR="004323E1" w:rsidRPr="004323E1">
        <w:rPr>
          <w:rFonts w:ascii="Calibri" w:hAnsi="Calibri" w:cs="Calibri"/>
        </w:rPr>
        <w:t>t</w:t>
      </w:r>
      <w:r w:rsidR="26B92EAD" w:rsidRPr="004323E1">
        <w:rPr>
          <w:rFonts w:ascii="Calibri" w:hAnsi="Calibri" w:cs="Calibri"/>
        </w:rPr>
        <w:t xml:space="preserve"> </w:t>
      </w:r>
      <w:r w:rsidR="55ABB2DD" w:rsidRPr="004323E1">
        <w:rPr>
          <w:rFonts w:ascii="Calibri" w:hAnsi="Calibri" w:cs="Calibri"/>
        </w:rPr>
        <w:t xml:space="preserve">more QALYs per month: </w:t>
      </w:r>
      <w:r w:rsidR="5102950D" w:rsidRPr="004323E1">
        <w:rPr>
          <w:rFonts w:ascii="Calibri" w:hAnsi="Calibri" w:cs="Calibri"/>
        </w:rPr>
        <w:t>The</w:t>
      </w:r>
      <w:r w:rsidR="55ABB2DD" w:rsidRPr="004323E1">
        <w:rPr>
          <w:rFonts w:ascii="Calibri" w:hAnsi="Calibri" w:cs="Calibri"/>
        </w:rPr>
        <w:t xml:space="preserve"> S</w:t>
      </w:r>
      <w:r w:rsidR="7C153FB2" w:rsidRPr="004323E1">
        <w:rPr>
          <w:rFonts w:ascii="Calibri" w:hAnsi="Calibri" w:cs="Calibri"/>
        </w:rPr>
        <w:t xml:space="preserve">pearman correlation </w:t>
      </w:r>
      <w:r w:rsidR="0CDD54B3" w:rsidRPr="004323E1">
        <w:rPr>
          <w:rFonts w:ascii="Calibri" w:hAnsi="Calibri" w:cs="Calibri"/>
        </w:rPr>
        <w:t xml:space="preserve">coefficient </w:t>
      </w:r>
      <w:r w:rsidR="7C153FB2" w:rsidRPr="004323E1">
        <w:rPr>
          <w:rFonts w:ascii="Calibri" w:hAnsi="Calibri" w:cs="Calibri"/>
        </w:rPr>
        <w:t xml:space="preserve">between </w:t>
      </w:r>
      <w:r w:rsidR="2082723F" w:rsidRPr="004323E1">
        <w:rPr>
          <w:rFonts w:ascii="Calibri" w:hAnsi="Calibri" w:cs="Calibri"/>
        </w:rPr>
        <w:t xml:space="preserve">the </w:t>
      </w:r>
      <w:r w:rsidR="7C153FB2" w:rsidRPr="004323E1">
        <w:rPr>
          <w:rFonts w:ascii="Calibri" w:hAnsi="Calibri" w:cs="Calibri"/>
        </w:rPr>
        <w:t xml:space="preserve">ranking </w:t>
      </w:r>
      <w:r w:rsidR="4509F4C6" w:rsidRPr="004323E1">
        <w:rPr>
          <w:rFonts w:ascii="Calibri" w:hAnsi="Calibri" w:cs="Calibri"/>
        </w:rPr>
        <w:t xml:space="preserve">of </w:t>
      </w:r>
      <w:r w:rsidR="002048D1" w:rsidRPr="004323E1">
        <w:rPr>
          <w:rFonts w:ascii="Calibri" w:hAnsi="Calibri" w:cs="Calibri"/>
        </w:rPr>
        <w:t xml:space="preserve">health </w:t>
      </w:r>
      <w:r w:rsidR="4509F4C6" w:rsidRPr="004323E1">
        <w:rPr>
          <w:rFonts w:ascii="Calibri" w:hAnsi="Calibri" w:cs="Calibri"/>
        </w:rPr>
        <w:t>benefit</w:t>
      </w:r>
      <w:r w:rsidR="00490617" w:rsidRPr="004323E1">
        <w:rPr>
          <w:rFonts w:ascii="Calibri" w:hAnsi="Calibri" w:cs="Calibri"/>
        </w:rPr>
        <w:t>,</w:t>
      </w:r>
      <w:r w:rsidR="4509F4C6" w:rsidRPr="004323E1">
        <w:rPr>
          <w:rFonts w:ascii="Calibri" w:hAnsi="Calibri" w:cs="Calibri"/>
        </w:rPr>
        <w:t xml:space="preserve"> </w:t>
      </w:r>
      <w:r w:rsidR="002048D1" w:rsidRPr="004323E1">
        <w:rPr>
          <w:rFonts w:ascii="Calibri" w:hAnsi="Calibri" w:cs="Calibri"/>
        </w:rPr>
        <w:t>in terms of QALYs</w:t>
      </w:r>
      <w:r w:rsidR="00490617" w:rsidRPr="004323E1">
        <w:rPr>
          <w:rFonts w:ascii="Calibri" w:hAnsi="Calibri" w:cs="Calibri"/>
        </w:rPr>
        <w:t>,</w:t>
      </w:r>
      <w:r w:rsidR="002048D1" w:rsidRPr="004323E1">
        <w:rPr>
          <w:rFonts w:ascii="Calibri" w:hAnsi="Calibri" w:cs="Calibri"/>
        </w:rPr>
        <w:t xml:space="preserve"> </w:t>
      </w:r>
      <w:r w:rsidR="4509F4C6" w:rsidRPr="004323E1">
        <w:rPr>
          <w:rFonts w:ascii="Calibri" w:hAnsi="Calibri" w:cs="Calibri"/>
        </w:rPr>
        <w:t xml:space="preserve">and </w:t>
      </w:r>
      <w:r w:rsidR="00BF031F" w:rsidRPr="004323E1">
        <w:rPr>
          <w:rFonts w:ascii="Calibri" w:hAnsi="Calibri" w:cs="Calibri"/>
        </w:rPr>
        <w:t>urgency</w:t>
      </w:r>
      <w:r w:rsidR="00490617" w:rsidRPr="004323E1">
        <w:rPr>
          <w:rFonts w:ascii="Calibri" w:hAnsi="Calibri" w:cs="Calibri"/>
        </w:rPr>
        <w:t>,</w:t>
      </w:r>
      <w:r w:rsidR="00BF031F" w:rsidRPr="004323E1">
        <w:rPr>
          <w:rFonts w:ascii="Calibri" w:hAnsi="Calibri" w:cs="Calibri"/>
        </w:rPr>
        <w:t xml:space="preserve"> in terms of </w:t>
      </w:r>
      <w:r w:rsidR="4509F4C6" w:rsidRPr="004323E1">
        <w:rPr>
          <w:rFonts w:ascii="Calibri" w:hAnsi="Calibri" w:cs="Calibri"/>
        </w:rPr>
        <w:t>QALY loss per month</w:t>
      </w:r>
      <w:r w:rsidR="00490617" w:rsidRPr="004323E1">
        <w:rPr>
          <w:rFonts w:ascii="Calibri" w:hAnsi="Calibri" w:cs="Calibri"/>
        </w:rPr>
        <w:t>,</w:t>
      </w:r>
      <w:r w:rsidR="4509F4C6" w:rsidRPr="004323E1">
        <w:rPr>
          <w:rFonts w:ascii="Calibri" w:hAnsi="Calibri" w:cs="Calibri"/>
        </w:rPr>
        <w:t xml:space="preserve"> </w:t>
      </w:r>
      <w:r w:rsidR="7C153FB2" w:rsidRPr="004323E1">
        <w:rPr>
          <w:rFonts w:ascii="Calibri" w:hAnsi="Calibri" w:cs="Calibri"/>
        </w:rPr>
        <w:t>was 0.</w:t>
      </w:r>
      <w:r w:rsidR="16A7E44F" w:rsidRPr="004323E1">
        <w:rPr>
          <w:rFonts w:ascii="Calibri" w:hAnsi="Calibri" w:cs="Calibri"/>
        </w:rPr>
        <w:t>3</w:t>
      </w:r>
      <w:r w:rsidR="004323E1" w:rsidRPr="004323E1">
        <w:rPr>
          <w:rFonts w:ascii="Calibri" w:hAnsi="Calibri" w:cs="Calibri"/>
        </w:rPr>
        <w:t>2</w:t>
      </w:r>
      <w:r w:rsidR="7C153FB2" w:rsidRPr="004323E1">
        <w:rPr>
          <w:rFonts w:ascii="Calibri" w:hAnsi="Calibri" w:cs="Calibri"/>
        </w:rPr>
        <w:t xml:space="preserve"> (p</w:t>
      </w:r>
      <w:r w:rsidR="529D5C71" w:rsidRPr="004323E1">
        <w:rPr>
          <w:rFonts w:ascii="Calibri" w:hAnsi="Calibri" w:cs="Calibri"/>
        </w:rPr>
        <w:t>=</w:t>
      </w:r>
      <w:r w:rsidR="7C153FB2" w:rsidRPr="004323E1">
        <w:rPr>
          <w:rFonts w:ascii="Calibri" w:hAnsi="Calibri" w:cs="Calibri"/>
        </w:rPr>
        <w:t>0.0</w:t>
      </w:r>
      <w:r w:rsidR="004323E1" w:rsidRPr="004323E1">
        <w:rPr>
          <w:rFonts w:ascii="Calibri" w:hAnsi="Calibri" w:cs="Calibri"/>
        </w:rPr>
        <w:t>4</w:t>
      </w:r>
      <w:r w:rsidR="7C153FB2" w:rsidRPr="004323E1">
        <w:rPr>
          <w:rFonts w:ascii="Calibri" w:hAnsi="Calibri" w:cs="Calibri"/>
        </w:rPr>
        <w:t>)</w:t>
      </w:r>
      <w:r w:rsidR="686573D7" w:rsidRPr="004323E1">
        <w:rPr>
          <w:rFonts w:ascii="Calibri" w:hAnsi="Calibri" w:cs="Calibri"/>
        </w:rPr>
        <w:t>.</w:t>
      </w:r>
      <w:r w:rsidR="7386EC48" w:rsidRPr="004323E1">
        <w:rPr>
          <w:rFonts w:ascii="Calibri" w:hAnsi="Calibri" w:cs="Calibri"/>
        </w:rPr>
        <w:t xml:space="preserve"> The most urgent </w:t>
      </w:r>
      <w:r w:rsidR="00F727B4" w:rsidRPr="004323E1">
        <w:rPr>
          <w:rFonts w:ascii="Calibri" w:hAnsi="Calibri" w:cs="Calibri"/>
        </w:rPr>
        <w:t>surgeries</w:t>
      </w:r>
      <w:r w:rsidR="7386EC48" w:rsidRPr="004323E1">
        <w:rPr>
          <w:rFonts w:ascii="Calibri" w:hAnsi="Calibri" w:cs="Calibri"/>
        </w:rPr>
        <w:t xml:space="preserve"> </w:t>
      </w:r>
      <w:r w:rsidR="17210045" w:rsidRPr="004323E1">
        <w:rPr>
          <w:rFonts w:ascii="Calibri" w:hAnsi="Calibri" w:cs="Calibri"/>
        </w:rPr>
        <w:t xml:space="preserve">after </w:t>
      </w:r>
      <w:r w:rsidR="004323E1" w:rsidRPr="004323E1">
        <w:rPr>
          <w:rFonts w:ascii="Calibri" w:hAnsi="Calibri" w:cs="Calibri"/>
        </w:rPr>
        <w:t>bypass surgery</w:t>
      </w:r>
      <w:r w:rsidR="5904B556" w:rsidRPr="004323E1">
        <w:rPr>
          <w:rFonts w:ascii="Calibri" w:hAnsi="Calibri" w:cs="Calibri"/>
        </w:rPr>
        <w:t xml:space="preserve"> </w:t>
      </w:r>
      <w:r w:rsidR="004323E1" w:rsidRPr="004323E1">
        <w:rPr>
          <w:rFonts w:ascii="Calibri" w:hAnsi="Calibri" w:cs="Calibri"/>
        </w:rPr>
        <w:t>for Fontaine III/IV peripheral arterial disease, were transaortic valve implantation</w:t>
      </w:r>
      <w:r w:rsidR="3E40346D" w:rsidRPr="004323E1">
        <w:rPr>
          <w:rFonts w:ascii="Calibri" w:hAnsi="Calibri" w:cs="Calibri"/>
        </w:rPr>
        <w:t xml:space="preserve"> </w:t>
      </w:r>
      <w:r w:rsidR="7386EC48" w:rsidRPr="004323E1">
        <w:rPr>
          <w:rFonts w:ascii="Calibri" w:hAnsi="Calibri" w:cs="Calibri"/>
        </w:rPr>
        <w:t>(</w:t>
      </w:r>
      <w:r w:rsidR="4BE58CC9" w:rsidRPr="004323E1">
        <w:rPr>
          <w:rFonts w:ascii="Calibri" w:hAnsi="Calibri" w:cs="Calibri"/>
        </w:rPr>
        <w:t>0.1</w:t>
      </w:r>
      <w:r w:rsidR="004323E1" w:rsidRPr="004323E1">
        <w:rPr>
          <w:rFonts w:ascii="Calibri" w:hAnsi="Calibri" w:cs="Calibri"/>
        </w:rPr>
        <w:t>5</w:t>
      </w:r>
      <w:r w:rsidR="4BE58CC9" w:rsidRPr="004323E1">
        <w:rPr>
          <w:rFonts w:ascii="Calibri" w:hAnsi="Calibri" w:cs="Calibri"/>
        </w:rPr>
        <w:t xml:space="preserve"> </w:t>
      </w:r>
      <w:r w:rsidR="159DCCB9" w:rsidRPr="004323E1">
        <w:rPr>
          <w:rFonts w:ascii="Calibri" w:hAnsi="Calibri" w:cs="Calibri"/>
        </w:rPr>
        <w:t>QALY</w:t>
      </w:r>
      <w:r w:rsidR="00242928" w:rsidRPr="004323E1">
        <w:rPr>
          <w:rFonts w:ascii="Calibri" w:hAnsi="Calibri" w:cs="Calibri"/>
        </w:rPr>
        <w:t xml:space="preserve"> loss</w:t>
      </w:r>
      <w:r w:rsidR="159DCCB9" w:rsidRPr="004323E1">
        <w:rPr>
          <w:rFonts w:ascii="Calibri" w:hAnsi="Calibri" w:cs="Calibri"/>
        </w:rPr>
        <w:t>/month</w:t>
      </w:r>
      <w:r w:rsidR="074E5A96" w:rsidRPr="004323E1">
        <w:rPr>
          <w:rFonts w:ascii="Calibri" w:hAnsi="Calibri" w:cs="Calibri"/>
        </w:rPr>
        <w:t>, 95% CI:</w:t>
      </w:r>
      <w:r w:rsidR="2586FE8A" w:rsidRPr="004323E1">
        <w:rPr>
          <w:rFonts w:ascii="Calibri" w:hAnsi="Calibri" w:cs="Calibri"/>
        </w:rPr>
        <w:t xml:space="preserve">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02DF2CD9" w:rsidRPr="004323E1">
        <w:rPr>
          <w:rFonts w:ascii="Calibri" w:hAnsi="Calibri" w:cs="Calibri"/>
        </w:rPr>
        <w:t>0.</w:t>
      </w:r>
      <w:r w:rsidR="004323E1" w:rsidRPr="004323E1">
        <w:rPr>
          <w:rFonts w:ascii="Calibri" w:hAnsi="Calibri" w:cs="Calibri"/>
        </w:rPr>
        <w:t>24</w:t>
      </w:r>
      <w:r w:rsidR="2586FE8A" w:rsidRPr="004323E1">
        <w:rPr>
          <w:rFonts w:ascii="Calibri" w:hAnsi="Calibri" w:cs="Calibri"/>
        </w:rPr>
        <w:t>)</w:t>
      </w:r>
      <w:r w:rsidR="7386EC48" w:rsidRPr="004323E1">
        <w:rPr>
          <w:rFonts w:ascii="Calibri" w:hAnsi="Calibri" w:cs="Calibri"/>
        </w:rPr>
        <w:t xml:space="preserve">, and </w:t>
      </w:r>
      <w:r w:rsidR="004323E1" w:rsidRPr="004323E1">
        <w:rPr>
          <w:rFonts w:ascii="Calibri" w:hAnsi="Calibri" w:cs="Calibri"/>
        </w:rPr>
        <w:t xml:space="preserve">total nephrectomy for renal carcinoma </w:t>
      </w:r>
      <w:r w:rsidR="7386EC48" w:rsidRPr="004323E1">
        <w:rPr>
          <w:rFonts w:ascii="Calibri" w:hAnsi="Calibri" w:cs="Calibri"/>
        </w:rPr>
        <w:t>(</w:t>
      </w:r>
      <w:r w:rsidR="78F4E57E" w:rsidRPr="004323E1">
        <w:rPr>
          <w:rFonts w:ascii="Calibri" w:hAnsi="Calibri" w:cs="Calibri"/>
        </w:rPr>
        <w:t>0.</w:t>
      </w:r>
      <w:r w:rsidR="004323E1" w:rsidRPr="004323E1">
        <w:rPr>
          <w:rFonts w:ascii="Calibri" w:hAnsi="Calibri" w:cs="Calibri"/>
        </w:rPr>
        <w:t xml:space="preserve">12 </w:t>
      </w:r>
      <w:r w:rsidR="4EA2984F" w:rsidRPr="004323E1">
        <w:rPr>
          <w:rFonts w:ascii="Calibri" w:hAnsi="Calibri" w:cs="Calibri"/>
        </w:rPr>
        <w:t>QALY</w:t>
      </w:r>
      <w:r w:rsidR="00242928" w:rsidRPr="004323E1">
        <w:rPr>
          <w:rFonts w:ascii="Calibri" w:hAnsi="Calibri" w:cs="Calibri"/>
        </w:rPr>
        <w:t xml:space="preserve"> loss</w:t>
      </w:r>
      <w:r w:rsidR="4EA2984F" w:rsidRPr="004323E1">
        <w:rPr>
          <w:rFonts w:ascii="Calibri" w:hAnsi="Calibri" w:cs="Calibri"/>
        </w:rPr>
        <w:t>/month</w:t>
      </w:r>
      <w:r w:rsidR="747B8FAF" w:rsidRPr="004323E1">
        <w:rPr>
          <w:rFonts w:ascii="Calibri" w:hAnsi="Calibri" w:cs="Calibri"/>
        </w:rPr>
        <w:t xml:space="preserve">, 95% CI: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4261DA1F" w:rsidRPr="004323E1">
        <w:rPr>
          <w:rFonts w:ascii="Calibri" w:hAnsi="Calibri" w:cs="Calibri"/>
        </w:rPr>
        <w:t>0.</w:t>
      </w:r>
      <w:r w:rsidR="004323E1" w:rsidRPr="004323E1">
        <w:rPr>
          <w:rFonts w:ascii="Calibri" w:hAnsi="Calibri" w:cs="Calibri"/>
        </w:rPr>
        <w:t>15</w:t>
      </w:r>
      <w:r w:rsidR="7386EC48" w:rsidRPr="004323E1">
        <w:rPr>
          <w:rFonts w:ascii="Calibri" w:hAnsi="Calibri" w:cs="Calibri"/>
        </w:rPr>
        <w:t>).</w:t>
      </w:r>
      <w:r w:rsidR="72B8C105" w:rsidRPr="004323E1">
        <w:rPr>
          <w:rFonts w:ascii="Calibri" w:hAnsi="Calibri" w:cs="Calibri"/>
        </w:rPr>
        <w:t xml:space="preserve"> </w:t>
      </w:r>
      <w:r w:rsidR="005D65F7" w:rsidRPr="004323E1">
        <w:rPr>
          <w:rFonts w:ascii="Calibri" w:hAnsi="Calibri" w:cs="Calibri"/>
        </w:rPr>
        <w:t>A</w:t>
      </w:r>
      <w:r w:rsidR="72B8C105" w:rsidRPr="004323E1">
        <w:rPr>
          <w:rFonts w:ascii="Calibri" w:hAnsi="Calibri" w:cs="Calibri"/>
        </w:rPr>
        <w:t>fter</w:t>
      </w:r>
      <w:r w:rsidR="34CC44A1" w:rsidRPr="004323E1">
        <w:rPr>
          <w:rFonts w:ascii="Calibri" w:hAnsi="Calibri" w:cs="Calibri"/>
        </w:rPr>
        <w:t xml:space="preserve"> </w:t>
      </w:r>
      <w:r w:rsidR="485380E9" w:rsidRPr="004323E1">
        <w:rPr>
          <w:rFonts w:ascii="Calibri" w:hAnsi="Calibri" w:cs="Calibri"/>
        </w:rPr>
        <w:t xml:space="preserve">placing a shunt for </w:t>
      </w:r>
      <w:r w:rsidR="00490617" w:rsidRPr="004323E1">
        <w:rPr>
          <w:rFonts w:ascii="Calibri" w:hAnsi="Calibri" w:cs="Calibri"/>
        </w:rPr>
        <w:t xml:space="preserve">patients with </w:t>
      </w:r>
      <w:r w:rsidR="485380E9" w:rsidRPr="004323E1">
        <w:rPr>
          <w:rFonts w:ascii="Calibri" w:hAnsi="Calibri" w:cs="Calibri"/>
        </w:rPr>
        <w:t>end-stage renal disease</w:t>
      </w:r>
      <w:r w:rsidR="005D65F7" w:rsidRPr="004323E1">
        <w:rPr>
          <w:rFonts w:ascii="Calibri" w:hAnsi="Calibri" w:cs="Calibri"/>
        </w:rPr>
        <w:t xml:space="preserve">, the least urgent </w:t>
      </w:r>
      <w:r w:rsidR="00F727B4" w:rsidRPr="004323E1">
        <w:rPr>
          <w:rFonts w:ascii="Calibri" w:hAnsi="Calibri" w:cs="Calibri"/>
        </w:rPr>
        <w:t>surgeries</w:t>
      </w:r>
      <w:r w:rsidR="485380E9" w:rsidRPr="004323E1">
        <w:rPr>
          <w:rFonts w:ascii="Calibri" w:hAnsi="Calibri" w:cs="Calibri"/>
        </w:rPr>
        <w:t xml:space="preserve"> </w:t>
      </w:r>
      <w:r w:rsidR="34CC44A1" w:rsidRPr="004323E1">
        <w:rPr>
          <w:rFonts w:ascii="Calibri" w:hAnsi="Calibri" w:cs="Calibri"/>
        </w:rPr>
        <w:t xml:space="preserve">were </w:t>
      </w:r>
      <w:r w:rsidR="619924F6" w:rsidRPr="004323E1">
        <w:rPr>
          <w:rFonts w:ascii="Calibri" w:hAnsi="Calibri" w:cs="Calibri"/>
        </w:rPr>
        <w:t xml:space="preserve">resection of thyroid cancer </w:t>
      </w:r>
      <w:r w:rsidR="15A7A9FE" w:rsidRPr="004323E1">
        <w:rPr>
          <w:rFonts w:ascii="Calibri" w:hAnsi="Calibri" w:cs="Calibri"/>
        </w:rPr>
        <w:t>(</w:t>
      </w:r>
      <w:r w:rsidR="6CFF31BA" w:rsidRPr="004323E1">
        <w:rPr>
          <w:rFonts w:ascii="Calibri" w:hAnsi="Calibri" w:cs="Calibri"/>
        </w:rPr>
        <w:t xml:space="preserve">0.01 </w:t>
      </w:r>
      <w:r w:rsidR="15A7A9FE" w:rsidRPr="004323E1">
        <w:rPr>
          <w:rFonts w:ascii="Calibri" w:hAnsi="Calibri" w:cs="Calibri"/>
        </w:rPr>
        <w:t>QALY</w:t>
      </w:r>
      <w:r w:rsidR="008F415D" w:rsidRPr="004323E1">
        <w:rPr>
          <w:rFonts w:ascii="Calibri" w:hAnsi="Calibri" w:cs="Calibri"/>
        </w:rPr>
        <w:t xml:space="preserve"> loss</w:t>
      </w:r>
      <w:r w:rsidR="15A7A9FE" w:rsidRPr="004323E1">
        <w:rPr>
          <w:rFonts w:ascii="Calibri" w:hAnsi="Calibri" w:cs="Calibri"/>
        </w:rPr>
        <w:t>/month, 95% CI:</w:t>
      </w:r>
      <w:r w:rsidR="008F415D" w:rsidRPr="004323E1">
        <w:rPr>
          <w:rFonts w:ascii="Calibri" w:hAnsi="Calibri" w:cs="Calibri"/>
        </w:rPr>
        <w:t>0.01</w:t>
      </w:r>
      <w:r w:rsidR="15A7A9FE" w:rsidRPr="004323E1">
        <w:rPr>
          <w:rFonts w:ascii="Calibri" w:hAnsi="Calibri" w:cs="Calibri"/>
        </w:rPr>
        <w:t xml:space="preserve"> </w:t>
      </w:r>
      <w:r w:rsidR="57DF9280" w:rsidRPr="004323E1">
        <w:rPr>
          <w:rFonts w:ascii="Calibri" w:hAnsi="Calibri" w:cs="Calibri"/>
        </w:rPr>
        <w:t>-</w:t>
      </w:r>
      <w:r w:rsidR="008F415D" w:rsidRPr="004323E1">
        <w:rPr>
          <w:rFonts w:ascii="Calibri" w:hAnsi="Calibri" w:cs="Calibri"/>
        </w:rPr>
        <w:t xml:space="preserve"> </w:t>
      </w:r>
      <w:r w:rsidR="57DF9280" w:rsidRPr="004323E1">
        <w:rPr>
          <w:rFonts w:ascii="Calibri" w:hAnsi="Calibri" w:cs="Calibri"/>
        </w:rPr>
        <w:t>0.02</w:t>
      </w:r>
      <w:r w:rsidR="15A7A9FE" w:rsidRPr="004323E1">
        <w:rPr>
          <w:rFonts w:ascii="Calibri" w:hAnsi="Calibri" w:cs="Calibri"/>
        </w:rPr>
        <w:t xml:space="preserve">) </w:t>
      </w:r>
      <w:r w:rsidR="34CC44A1" w:rsidRPr="004323E1">
        <w:rPr>
          <w:rFonts w:ascii="Calibri" w:hAnsi="Calibri" w:cs="Calibri"/>
        </w:rPr>
        <w:t xml:space="preserve">and the resection of </w:t>
      </w:r>
      <w:r w:rsidR="5DEBF2C6" w:rsidRPr="004323E1">
        <w:rPr>
          <w:rFonts w:ascii="Calibri" w:hAnsi="Calibri" w:cs="Calibri"/>
        </w:rPr>
        <w:t xml:space="preserve">mild salivary gland </w:t>
      </w:r>
      <w:r w:rsidR="34CC44A1" w:rsidRPr="004323E1">
        <w:rPr>
          <w:rFonts w:ascii="Calibri" w:hAnsi="Calibri" w:cs="Calibri"/>
        </w:rPr>
        <w:t>carcino</w:t>
      </w:r>
      <w:r w:rsidR="535E1583" w:rsidRPr="004323E1">
        <w:rPr>
          <w:rFonts w:ascii="Calibri" w:hAnsi="Calibri" w:cs="Calibri"/>
        </w:rPr>
        <w:t>ma (</w:t>
      </w:r>
      <w:r w:rsidR="7E190460" w:rsidRPr="004323E1">
        <w:rPr>
          <w:rFonts w:ascii="Calibri" w:hAnsi="Calibri" w:cs="Calibri"/>
        </w:rPr>
        <w:t xml:space="preserve">0.01 </w:t>
      </w:r>
      <w:r w:rsidR="6D9A94AB" w:rsidRPr="004323E1">
        <w:rPr>
          <w:rFonts w:ascii="Calibri" w:hAnsi="Calibri" w:cs="Calibri"/>
        </w:rPr>
        <w:t>QALY</w:t>
      </w:r>
      <w:r w:rsidR="008F415D" w:rsidRPr="004323E1">
        <w:rPr>
          <w:rFonts w:ascii="Calibri" w:hAnsi="Calibri" w:cs="Calibri"/>
        </w:rPr>
        <w:t xml:space="preserve"> loss</w:t>
      </w:r>
      <w:r w:rsidR="6D9A94AB" w:rsidRPr="004323E1">
        <w:rPr>
          <w:rFonts w:ascii="Calibri" w:hAnsi="Calibri" w:cs="Calibri"/>
        </w:rPr>
        <w:t>/month, 95% CI:</w:t>
      </w:r>
      <w:r w:rsidR="008F415D" w:rsidRPr="004323E1">
        <w:rPr>
          <w:rFonts w:ascii="Calibri" w:hAnsi="Calibri" w:cs="Calibri"/>
        </w:rPr>
        <w:t xml:space="preserve"> 0.01 - </w:t>
      </w:r>
      <w:r w:rsidR="370C7396" w:rsidRPr="004323E1">
        <w:rPr>
          <w:rFonts w:ascii="Calibri" w:hAnsi="Calibri" w:cs="Calibri"/>
        </w:rPr>
        <w:t>0.03</w:t>
      </w:r>
      <w:r w:rsidR="535E1583" w:rsidRPr="004323E1">
        <w:rPr>
          <w:rFonts w:ascii="Calibri" w:hAnsi="Calibri" w:cs="Calibri"/>
        </w:rPr>
        <w:t>)</w:t>
      </w:r>
      <w:r w:rsidR="441DC169" w:rsidRPr="004323E1">
        <w:rPr>
          <w:rFonts w:ascii="Calibri" w:hAnsi="Calibri" w:cs="Calibri"/>
        </w:rPr>
        <w:t xml:space="preserve"> (Appendix B)</w:t>
      </w:r>
      <w:r w:rsidR="535E1583" w:rsidRPr="004323E1">
        <w:rPr>
          <w:rFonts w:ascii="Calibri" w:hAnsi="Calibri" w:cs="Calibri"/>
        </w:rPr>
        <w:t>.</w:t>
      </w:r>
      <w:r w:rsidR="35295F88" w:rsidRPr="004323E1">
        <w:rPr>
          <w:rFonts w:ascii="Calibri" w:hAnsi="Calibri" w:cs="Calibri"/>
        </w:rPr>
        <w:t xml:space="preserve"> </w:t>
      </w:r>
      <w:r w:rsidR="222D4422" w:rsidRPr="00E73563">
        <w:rPr>
          <w:rFonts w:ascii="Calibri" w:hAnsi="Calibri" w:cs="Calibri"/>
        </w:rPr>
        <w:t xml:space="preserve">When </w:t>
      </w:r>
      <w:r w:rsidR="1B6EAF81" w:rsidRPr="00E73563">
        <w:rPr>
          <w:rFonts w:ascii="Calibri" w:hAnsi="Calibri" w:cs="Calibri"/>
        </w:rPr>
        <w:t xml:space="preserve">ordering </w:t>
      </w:r>
      <w:r w:rsidR="00F727B4" w:rsidRPr="00E73563">
        <w:rPr>
          <w:rFonts w:ascii="Calibri" w:hAnsi="Calibri" w:cs="Calibri"/>
        </w:rPr>
        <w:t>surgeries</w:t>
      </w:r>
      <w:r w:rsidR="1B6EAF81" w:rsidRPr="00E73563">
        <w:rPr>
          <w:rFonts w:ascii="Calibri" w:hAnsi="Calibri" w:cs="Calibri"/>
        </w:rPr>
        <w:t xml:space="preserve"> </w:t>
      </w:r>
      <w:r w:rsidR="005D65F7" w:rsidRPr="00E73563">
        <w:rPr>
          <w:rFonts w:ascii="Calibri" w:hAnsi="Calibri" w:cs="Calibri"/>
        </w:rPr>
        <w:t>based on</w:t>
      </w:r>
      <w:r w:rsidR="1B6EAF81" w:rsidRPr="00E73563">
        <w:rPr>
          <w:rFonts w:ascii="Calibri" w:hAnsi="Calibri" w:cs="Calibri"/>
        </w:rPr>
        <w:t xml:space="preserve"> LYs lost per month instead of QALYs lost per month</w:t>
      </w:r>
      <w:r w:rsidR="222D4422" w:rsidRPr="00E73563">
        <w:rPr>
          <w:rFonts w:ascii="Calibri" w:hAnsi="Calibri" w:cs="Calibri"/>
        </w:rPr>
        <w:t xml:space="preserve">, </w:t>
      </w:r>
      <w:r w:rsidR="008734A0" w:rsidRPr="00E73563">
        <w:rPr>
          <w:rFonts w:ascii="Calibri" w:hAnsi="Calibri" w:cs="Calibri"/>
        </w:rPr>
        <w:t xml:space="preserve">bypass surgery for Fontaine III/IV peripheral arterial disease ranked substantially lower </w:t>
      </w:r>
      <w:r w:rsidR="52BE7525" w:rsidRPr="00E73563">
        <w:rPr>
          <w:rFonts w:ascii="Calibri" w:hAnsi="Calibri" w:cs="Calibri"/>
        </w:rPr>
        <w:t xml:space="preserve">(from rank </w:t>
      </w:r>
      <w:r w:rsidR="008734A0" w:rsidRPr="00E73563">
        <w:rPr>
          <w:rFonts w:ascii="Calibri" w:hAnsi="Calibri" w:cs="Calibri"/>
        </w:rPr>
        <w:t>1</w:t>
      </w:r>
      <w:r w:rsidR="52BE7525" w:rsidRPr="00E73563">
        <w:rPr>
          <w:rFonts w:ascii="Calibri" w:hAnsi="Calibri" w:cs="Calibri"/>
        </w:rPr>
        <w:t xml:space="preserve"> to rank </w:t>
      </w:r>
      <w:r w:rsidR="008734A0" w:rsidRPr="00E73563">
        <w:rPr>
          <w:rFonts w:ascii="Calibri" w:hAnsi="Calibri" w:cs="Calibri"/>
        </w:rPr>
        <w:t>39</w:t>
      </w:r>
      <w:r w:rsidR="52BE7525" w:rsidRPr="00E73563">
        <w:rPr>
          <w:rFonts w:ascii="Calibri" w:hAnsi="Calibri" w:cs="Calibri"/>
        </w:rPr>
        <w:t>)</w:t>
      </w:r>
      <w:r w:rsidR="23850D8A" w:rsidRPr="00E73563">
        <w:rPr>
          <w:rFonts w:ascii="Calibri" w:hAnsi="Calibri" w:cs="Calibri"/>
        </w:rPr>
        <w:t>,</w:t>
      </w:r>
      <w:r w:rsidR="4434C2FE" w:rsidRPr="00E73563">
        <w:rPr>
          <w:rFonts w:ascii="Calibri" w:hAnsi="Calibri" w:cs="Calibri"/>
        </w:rPr>
        <w:t xml:space="preserve"> while the </w:t>
      </w:r>
      <w:r w:rsidR="008734A0" w:rsidRPr="00E73563">
        <w:rPr>
          <w:rFonts w:ascii="Calibri" w:hAnsi="Calibri" w:cs="Calibri"/>
        </w:rPr>
        <w:t xml:space="preserve">resection </w:t>
      </w:r>
      <w:r w:rsidR="4434C2FE" w:rsidRPr="00E73563">
        <w:rPr>
          <w:rFonts w:ascii="Calibri" w:hAnsi="Calibri" w:cs="Calibri"/>
        </w:rPr>
        <w:t xml:space="preserve">of </w:t>
      </w:r>
      <w:r w:rsidR="008734A0" w:rsidRPr="00E73563">
        <w:rPr>
          <w:rFonts w:ascii="Calibri" w:hAnsi="Calibri" w:cs="Calibri"/>
        </w:rPr>
        <w:t xml:space="preserve">mild salivary gland carcinoma ranked substantially higher </w:t>
      </w:r>
      <w:r w:rsidR="1881C8C6" w:rsidRPr="00E73563">
        <w:rPr>
          <w:rFonts w:ascii="Calibri" w:hAnsi="Calibri" w:cs="Calibri"/>
        </w:rPr>
        <w:t xml:space="preserve">(from rank </w:t>
      </w:r>
      <w:r w:rsidR="008734A0" w:rsidRPr="00E73563">
        <w:rPr>
          <w:rFonts w:ascii="Calibri" w:hAnsi="Calibri" w:cs="Calibri"/>
        </w:rPr>
        <w:t>41</w:t>
      </w:r>
      <w:r w:rsidR="1881C8C6" w:rsidRPr="00E73563">
        <w:rPr>
          <w:rFonts w:ascii="Calibri" w:hAnsi="Calibri" w:cs="Calibri"/>
        </w:rPr>
        <w:t xml:space="preserve"> to rank </w:t>
      </w:r>
      <w:r w:rsidR="008734A0" w:rsidRPr="00E73563">
        <w:rPr>
          <w:rFonts w:ascii="Calibri" w:hAnsi="Calibri" w:cs="Calibri"/>
        </w:rPr>
        <w:t>28</w:t>
      </w:r>
      <w:r w:rsidR="1881C8C6" w:rsidRPr="00E73563">
        <w:rPr>
          <w:rFonts w:ascii="Calibri" w:hAnsi="Calibri" w:cs="Calibri"/>
        </w:rPr>
        <w:t>).</w:t>
      </w:r>
    </w:p>
    <w:p w14:paraId="10D80541" w14:textId="77777777" w:rsidR="00833B51" w:rsidRPr="001C38EF" w:rsidRDefault="00833B51" w:rsidP="00833B51">
      <w:pPr>
        <w:spacing w:line="276" w:lineRule="auto"/>
        <w:rPr>
          <w:rFonts w:ascii="Calibri" w:eastAsia="Calibri" w:hAnsi="Calibri" w:cs="Calibri"/>
          <w:highlight w:val="yellow"/>
        </w:rPr>
      </w:pPr>
    </w:p>
    <w:p w14:paraId="00928A80" w14:textId="0A203FA5" w:rsidR="00833B51" w:rsidRPr="004275E2" w:rsidRDefault="00833B51" w:rsidP="00153762">
      <w:pPr>
        <w:spacing w:line="276" w:lineRule="auto"/>
        <w:rPr>
          <w:rFonts w:ascii="Calibri" w:eastAsia="Calibri" w:hAnsi="Calibri" w:cs="Calibri"/>
        </w:rPr>
      </w:pPr>
      <w:r w:rsidRPr="004275E2">
        <w:rPr>
          <w:rFonts w:ascii="Calibri" w:eastAsia="Calibri" w:hAnsi="Calibri" w:cs="Calibri"/>
        </w:rPr>
        <w:t xml:space="preserve">To illustrate what this measure represents, we take the most urgent surgery, </w:t>
      </w:r>
      <w:r w:rsidR="00E73563" w:rsidRPr="004275E2">
        <w:rPr>
          <w:rFonts w:ascii="Calibri" w:eastAsia="Calibri" w:hAnsi="Calibri" w:cs="Calibri"/>
        </w:rPr>
        <w:t>bypass surgery for Fontaine III/IV peripheral arterial disease</w:t>
      </w:r>
      <w:r w:rsidRPr="004275E2">
        <w:rPr>
          <w:rFonts w:ascii="Calibri" w:eastAsia="Calibri" w:hAnsi="Calibri" w:cs="Calibri"/>
        </w:rPr>
        <w:t xml:space="preserve">, as an example. </w:t>
      </w:r>
      <w:r w:rsidR="00E73563" w:rsidRPr="004275E2">
        <w:rPr>
          <w:rFonts w:ascii="Calibri" w:eastAsia="Calibri" w:hAnsi="Calibri" w:cs="Calibri"/>
        </w:rPr>
        <w:t>This bypass surgery in this population</w:t>
      </w:r>
      <w:r w:rsidRPr="004275E2">
        <w:rPr>
          <w:rFonts w:ascii="Calibri" w:eastAsia="Calibri" w:hAnsi="Calibri" w:cs="Calibri"/>
        </w:rPr>
        <w:t xml:space="preserve"> is associated with a QALY loss of 0.</w:t>
      </w:r>
      <w:r w:rsidR="00E73563" w:rsidRPr="004275E2">
        <w:rPr>
          <w:rFonts w:ascii="Calibri" w:eastAsia="Calibri" w:hAnsi="Calibri" w:cs="Calibri"/>
        </w:rPr>
        <w:t>23 per month</w:t>
      </w:r>
      <w:r w:rsidRPr="004275E2">
        <w:rPr>
          <w:rFonts w:ascii="Calibri" w:eastAsia="Calibri" w:hAnsi="Calibri" w:cs="Calibri"/>
        </w:rPr>
        <w:t xml:space="preserve">. This implies that if this surgery would be postponed by a month, patients with this surgical indication lose approximately </w:t>
      </w:r>
      <w:r w:rsidR="00E73563" w:rsidRPr="004275E2">
        <w:rPr>
          <w:rFonts w:ascii="Calibri" w:eastAsia="Calibri" w:hAnsi="Calibri" w:cs="Calibri"/>
        </w:rPr>
        <w:t>84</w:t>
      </w:r>
      <w:r w:rsidRPr="004275E2">
        <w:rPr>
          <w:rFonts w:ascii="Calibri" w:eastAsia="Calibri" w:hAnsi="Calibri" w:cs="Calibri"/>
        </w:rPr>
        <w:t xml:space="preserve"> days (</w:t>
      </w:r>
      <w:r w:rsidR="00E73563" w:rsidRPr="004275E2">
        <w:rPr>
          <w:rFonts w:ascii="Calibri" w:eastAsia="Calibri" w:hAnsi="Calibri" w:cs="Calibri"/>
        </w:rPr>
        <w:t>0.23</w:t>
      </w:r>
      <w:r w:rsidRPr="004275E2">
        <w:rPr>
          <w:rFonts w:ascii="Calibri" w:eastAsia="Calibri" w:hAnsi="Calibri" w:cs="Calibri"/>
        </w:rPr>
        <w:t xml:space="preserve">*365) spent in perfect health of their remaining expected QALYs gained by surgery. Although the personal value of a loss of </w:t>
      </w:r>
      <w:r w:rsidR="00E73563" w:rsidRPr="004275E2">
        <w:rPr>
          <w:rFonts w:ascii="Calibri" w:eastAsia="Calibri" w:hAnsi="Calibri" w:cs="Calibri"/>
        </w:rPr>
        <w:t xml:space="preserve">84 </w:t>
      </w:r>
      <w:r w:rsidRPr="004275E2">
        <w:rPr>
          <w:rFonts w:ascii="Calibri" w:eastAsia="Calibri" w:hAnsi="Calibri" w:cs="Calibri"/>
        </w:rPr>
        <w:t>days spent in perfect health can be different for everybody, it is a substantial loss compared to the least urgent surgery: a similar calculation for the placing of a shunt for dialysis is associated with 4 days less spent in perfect health by delaying the surgery by a month.</w:t>
      </w:r>
    </w:p>
    <w:p w14:paraId="3F43164F" w14:textId="4303399D" w:rsidR="00514AC6" w:rsidRPr="001C38EF" w:rsidRDefault="00514AC6" w:rsidP="00153762">
      <w:pPr>
        <w:spacing w:line="276" w:lineRule="auto"/>
        <w:rPr>
          <w:rFonts w:ascii="Calibri" w:hAnsi="Calibri" w:cs="Calibri"/>
          <w:highlight w:val="yellow"/>
        </w:rPr>
      </w:pPr>
    </w:p>
    <w:p w14:paraId="6DC62575" w14:textId="0641E3EB" w:rsidR="00872009" w:rsidRPr="004275E2" w:rsidRDefault="00872009" w:rsidP="00872009">
      <w:pPr>
        <w:pStyle w:val="Kop2"/>
      </w:pPr>
      <w:r w:rsidRPr="004275E2">
        <w:t xml:space="preserve">Capacity </w:t>
      </w:r>
    </w:p>
    <w:p w14:paraId="60EAD743" w14:textId="6575797E" w:rsidR="003D21E0" w:rsidRPr="0092480E" w:rsidRDefault="00E21A7F" w:rsidP="00153762">
      <w:pPr>
        <w:spacing w:line="276" w:lineRule="auto"/>
        <w:rPr>
          <w:rFonts w:ascii="Calibri" w:hAnsi="Calibri" w:cs="Calibri"/>
        </w:rPr>
      </w:pPr>
      <w:r w:rsidRPr="004275E2">
        <w:rPr>
          <w:rFonts w:ascii="Calibri" w:hAnsi="Calibri" w:cs="Calibri"/>
        </w:rPr>
        <w:t xml:space="preserve">In order to optimize the available surgery resource, the </w:t>
      </w:r>
      <w:r w:rsidR="00B23379" w:rsidRPr="004275E2">
        <w:rPr>
          <w:rFonts w:ascii="Calibri" w:hAnsi="Calibri" w:cs="Calibri"/>
        </w:rPr>
        <w:t xml:space="preserve">surgery time is an important measure to relate to urgency. </w:t>
      </w:r>
      <w:r w:rsidR="00F727B4" w:rsidRPr="004275E2">
        <w:rPr>
          <w:rFonts w:ascii="Calibri" w:hAnsi="Calibri" w:cs="Calibri"/>
        </w:rPr>
        <w:t>Surgeries</w:t>
      </w:r>
      <w:r w:rsidR="003D21E0" w:rsidRPr="004275E2">
        <w:rPr>
          <w:rFonts w:ascii="Calibri" w:hAnsi="Calibri" w:cs="Calibri"/>
        </w:rPr>
        <w:t xml:space="preserve"> that are ranked high in terms of urgency and had relative short surgery time include repair of atrial septum defects (surgery time: 74 min [IQR: 56-131]</w:t>
      </w:r>
      <w:r w:rsidR="002C51AB" w:rsidRPr="004275E2">
        <w:rPr>
          <w:rFonts w:ascii="Calibri" w:hAnsi="Calibri" w:cs="Calibri"/>
        </w:rPr>
        <w:t>, urgency: 0.06 QALY</w:t>
      </w:r>
      <w:r w:rsidR="00B240B5" w:rsidRPr="004275E2">
        <w:rPr>
          <w:rFonts w:ascii="Calibri" w:hAnsi="Calibri" w:cs="Calibri"/>
        </w:rPr>
        <w:t xml:space="preserve"> loss</w:t>
      </w:r>
      <w:r w:rsidR="002C51AB" w:rsidRPr="004275E2">
        <w:rPr>
          <w:rFonts w:ascii="Calibri" w:hAnsi="Calibri" w:cs="Calibri"/>
        </w:rPr>
        <w:t xml:space="preserve">/month [95% CI: </w:t>
      </w:r>
      <w:r w:rsidR="008F415D" w:rsidRPr="004275E2">
        <w:rPr>
          <w:rFonts w:ascii="Calibri" w:hAnsi="Calibri" w:cs="Calibri"/>
        </w:rPr>
        <w:t>0.02 – 0</w:t>
      </w:r>
      <w:r w:rsidR="002C51AB" w:rsidRPr="004275E2">
        <w:rPr>
          <w:rFonts w:ascii="Calibri" w:hAnsi="Calibri" w:cs="Calibri"/>
        </w:rPr>
        <w:t>.14]</w:t>
      </w:r>
      <w:r w:rsidR="003D21E0" w:rsidRPr="004275E2">
        <w:rPr>
          <w:rFonts w:ascii="Calibri" w:hAnsi="Calibri" w:cs="Calibri"/>
        </w:rPr>
        <w:t>), pacemaker implantations (115 min [82-154]</w:t>
      </w:r>
      <w:r w:rsidR="002C51AB" w:rsidRPr="004275E2">
        <w:rPr>
          <w:rFonts w:ascii="Calibri" w:hAnsi="Calibri" w:cs="Calibri"/>
        </w:rPr>
        <w:t>,</w:t>
      </w:r>
      <w:r w:rsidR="008F415D" w:rsidRPr="004275E2">
        <w:rPr>
          <w:rFonts w:ascii="Calibri" w:hAnsi="Calibri" w:cs="Calibri"/>
        </w:rPr>
        <w:t xml:space="preserve"> </w:t>
      </w:r>
      <w:r w:rsidR="002C51AB" w:rsidRPr="004275E2">
        <w:rPr>
          <w:rFonts w:ascii="Calibri" w:hAnsi="Calibri" w:cs="Calibri"/>
        </w:rPr>
        <w:t>0.11 QALY</w:t>
      </w:r>
      <w:r w:rsidR="008F415D" w:rsidRPr="004275E2">
        <w:rPr>
          <w:rFonts w:ascii="Calibri" w:hAnsi="Calibri" w:cs="Calibri"/>
        </w:rPr>
        <w:t xml:space="preserve"> loss</w:t>
      </w:r>
      <w:r w:rsidR="002C51AB" w:rsidRPr="004275E2">
        <w:rPr>
          <w:rFonts w:ascii="Calibri" w:hAnsi="Calibri" w:cs="Calibri"/>
        </w:rPr>
        <w:t>/month [</w:t>
      </w:r>
      <w:r w:rsidR="008F415D" w:rsidRPr="004275E2">
        <w:rPr>
          <w:rFonts w:ascii="Calibri" w:hAnsi="Calibri" w:cs="Calibri"/>
        </w:rPr>
        <w:t xml:space="preserve">0.04 - </w:t>
      </w:r>
      <w:r w:rsidR="002C51AB" w:rsidRPr="004275E2">
        <w:rPr>
          <w:rFonts w:ascii="Calibri" w:hAnsi="Calibri" w:cs="Calibri"/>
        </w:rPr>
        <w:t>0.22]</w:t>
      </w:r>
      <w:r w:rsidR="003D21E0" w:rsidRPr="004275E2">
        <w:rPr>
          <w:rFonts w:ascii="Calibri" w:hAnsi="Calibri" w:cs="Calibri"/>
        </w:rPr>
        <w:t xml:space="preserve">), </w:t>
      </w:r>
      <w:r w:rsidR="00455D31" w:rsidRPr="004275E2">
        <w:rPr>
          <w:rFonts w:ascii="Calibri" w:hAnsi="Calibri" w:cs="Calibri"/>
        </w:rPr>
        <w:t xml:space="preserve">resection of mild larynx carcinoma </w:t>
      </w:r>
      <w:r w:rsidR="00455D31" w:rsidRPr="004275E2">
        <w:rPr>
          <w:rFonts w:ascii="Calibri" w:hAnsi="Calibri" w:cs="Calibri"/>
        </w:rPr>
        <w:lastRenderedPageBreak/>
        <w:t>(</w:t>
      </w:r>
      <w:r w:rsidR="002C51AB" w:rsidRPr="004275E2">
        <w:rPr>
          <w:rFonts w:ascii="Calibri" w:hAnsi="Calibri" w:cs="Calibri"/>
        </w:rPr>
        <w:t>70 min</w:t>
      </w:r>
      <w:r w:rsidR="0059361F" w:rsidRPr="004275E2">
        <w:t xml:space="preserve"> </w:t>
      </w:r>
      <w:r w:rsidR="002C51AB" w:rsidRPr="004275E2">
        <w:rPr>
          <w:rFonts w:ascii="Calibri" w:hAnsi="Calibri" w:cs="Calibri"/>
        </w:rPr>
        <w:t xml:space="preserve">[38 – 109], 0.07 </w:t>
      </w:r>
      <w:r w:rsidR="008F415D" w:rsidRPr="004275E2">
        <w:rPr>
          <w:rFonts w:ascii="Calibri" w:hAnsi="Calibri" w:cs="Calibri"/>
        </w:rPr>
        <w:t>QALY loss/month</w:t>
      </w:r>
      <w:r w:rsidR="002C51AB" w:rsidRPr="004275E2">
        <w:rPr>
          <w:rFonts w:ascii="Calibri" w:hAnsi="Calibri" w:cs="Calibri"/>
        </w:rPr>
        <w:t>[</w:t>
      </w:r>
      <w:r w:rsidR="008F415D" w:rsidRPr="004275E2">
        <w:rPr>
          <w:rFonts w:ascii="Calibri" w:hAnsi="Calibri" w:cs="Calibri"/>
        </w:rPr>
        <w:t>0.0</w:t>
      </w:r>
      <w:r w:rsidR="004275E2" w:rsidRPr="004275E2">
        <w:rPr>
          <w:rFonts w:ascii="Calibri" w:hAnsi="Calibri" w:cs="Calibri"/>
        </w:rPr>
        <w:t>4</w:t>
      </w:r>
      <w:r w:rsidR="008F415D" w:rsidRPr="004275E2">
        <w:rPr>
          <w:rFonts w:ascii="Calibri" w:hAnsi="Calibri" w:cs="Calibri"/>
        </w:rPr>
        <w:t xml:space="preserve"> - </w:t>
      </w:r>
      <w:r w:rsidR="002C51AB" w:rsidRPr="004275E2">
        <w:rPr>
          <w:rFonts w:ascii="Calibri" w:hAnsi="Calibri" w:cs="Calibri"/>
        </w:rPr>
        <w:t>0.11]</w:t>
      </w:r>
      <w:r w:rsidR="00455D31" w:rsidRPr="004275E2">
        <w:rPr>
          <w:rFonts w:ascii="Calibri" w:hAnsi="Calibri" w:cs="Calibri"/>
        </w:rPr>
        <w:t>)</w:t>
      </w:r>
      <w:r w:rsidR="004275E2" w:rsidRPr="004275E2">
        <w:rPr>
          <w:rFonts w:ascii="Calibri" w:hAnsi="Calibri" w:cs="Calibri"/>
        </w:rPr>
        <w:t>, and valve replacements (99 min [77 – 125]; mitral valve replacement: 0.09 QALY loss/month [0.04 - 0.15]; aortic valve replacement: 0.09 QALY loss/month [0.06 - 0.17])</w:t>
      </w:r>
      <w:r w:rsidR="00455D31" w:rsidRPr="004275E2">
        <w:rPr>
          <w:rFonts w:ascii="Calibri" w:hAnsi="Calibri" w:cs="Calibri"/>
        </w:rPr>
        <w:t xml:space="preserve"> </w:t>
      </w:r>
      <w:r w:rsidR="003D21E0" w:rsidRPr="004275E2">
        <w:rPr>
          <w:rFonts w:ascii="Calibri" w:hAnsi="Calibri" w:cs="Calibri"/>
        </w:rPr>
        <w:t xml:space="preserve">(Figure 5). Liver transplant is </w:t>
      </w:r>
      <w:r w:rsidR="00455D31" w:rsidRPr="004275E2">
        <w:rPr>
          <w:rFonts w:ascii="Calibri" w:hAnsi="Calibri" w:cs="Calibri"/>
        </w:rPr>
        <w:t xml:space="preserve">relatively </w:t>
      </w:r>
      <w:r w:rsidR="003D21E0" w:rsidRPr="004275E2">
        <w:rPr>
          <w:rFonts w:ascii="Calibri" w:hAnsi="Calibri" w:cs="Calibri"/>
        </w:rPr>
        <w:t>urgent</w:t>
      </w:r>
      <w:r w:rsidR="00455D31" w:rsidRPr="004275E2">
        <w:rPr>
          <w:rFonts w:ascii="Calibri" w:hAnsi="Calibri" w:cs="Calibri"/>
        </w:rPr>
        <w:t xml:space="preserve">, but requires an exceptional amount of OR-time </w:t>
      </w:r>
      <w:r w:rsidR="003D21E0" w:rsidRPr="004275E2">
        <w:rPr>
          <w:rFonts w:ascii="Calibri" w:hAnsi="Calibri" w:cs="Calibri"/>
        </w:rPr>
        <w:t>(875 min [797 - 957]</w:t>
      </w:r>
      <w:r w:rsidR="0059361F" w:rsidRPr="004275E2">
        <w:rPr>
          <w:rFonts w:ascii="Calibri" w:hAnsi="Calibri" w:cs="Calibri"/>
        </w:rPr>
        <w:t>, 0.08 QALY</w:t>
      </w:r>
      <w:r w:rsidR="00E03FD6" w:rsidRPr="004275E2">
        <w:rPr>
          <w:rFonts w:ascii="Calibri" w:hAnsi="Calibri" w:cs="Calibri"/>
        </w:rPr>
        <w:t xml:space="preserve"> loss</w:t>
      </w:r>
      <w:r w:rsidR="0059361F" w:rsidRPr="004275E2">
        <w:rPr>
          <w:rFonts w:ascii="Calibri" w:hAnsi="Calibri" w:cs="Calibri"/>
        </w:rPr>
        <w:t>/month [</w:t>
      </w:r>
      <w:r w:rsidR="008F415D" w:rsidRPr="004275E2">
        <w:rPr>
          <w:rFonts w:ascii="Calibri" w:hAnsi="Calibri" w:cs="Calibri"/>
        </w:rPr>
        <w:t xml:space="preserve">0.07 - </w:t>
      </w:r>
      <w:r w:rsidR="0059361F" w:rsidRPr="004275E2">
        <w:rPr>
          <w:rFonts w:ascii="Calibri" w:hAnsi="Calibri" w:cs="Calibri"/>
        </w:rPr>
        <w:t>0.09]</w:t>
      </w:r>
      <w:r w:rsidR="003D21E0" w:rsidRPr="004275E2">
        <w:rPr>
          <w:rFonts w:ascii="Calibri" w:hAnsi="Calibri" w:cs="Calibri"/>
        </w:rPr>
        <w:t>) (table 2 Appendix B).</w:t>
      </w:r>
      <w:r w:rsidR="003D21E0" w:rsidRPr="0092480E">
        <w:rPr>
          <w:rFonts w:ascii="Calibri" w:hAnsi="Calibri" w:cs="Calibri"/>
        </w:rPr>
        <w:t xml:space="preserve">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526315C8"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r w:rsidR="391B16D9" w:rsidRPr="0092480E">
        <w:rPr>
          <w:rFonts w:ascii="Calibri" w:eastAsia="Calibri" w:hAnsi="Calibri" w:cs="Calibri"/>
        </w:rPr>
        <w:t>cSTM.</w:t>
      </w:r>
      <w:r w:rsidR="00C00721">
        <w:rPr>
          <w:rFonts w:ascii="Calibri" w:eastAsia="Calibri" w:hAnsi="Calibri" w:cs="Calibri"/>
        </w:rPr>
        <w:t xml:space="preserve"> For survival with treatment, most evidence was based on national registries, while treatment effects were mostly derived from randomized controlled trials. The time until no effect of treatment on survival or quality of life, however, was most often derived from class IIb/III evidence.</w:t>
      </w:r>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905441">
        <w:rPr>
          <w:rFonts w:ascii="Calibri" w:eastAsia="Calibri" w:hAnsi="Calibri" w:cs="Calibri"/>
        </w:rPr>
        <w:t>43</w:t>
      </w:r>
      <w:r w:rsidR="00F435BA">
        <w:rPr>
          <w:rFonts w:ascii="Calibri" w:eastAsia="Calibri" w:hAnsi="Calibri" w:cs="Calibri"/>
        </w:rPr>
        <w:t xml:space="preserve"> </w:t>
      </w:r>
      <w:r w:rsidR="001D4731">
        <w:rPr>
          <w:rFonts w:ascii="Calibri" w:eastAsia="Calibri" w:hAnsi="Calibri" w:cs="Calibri"/>
        </w:rPr>
        <w:t xml:space="preserve">surgeries we analyzed, </w:t>
      </w:r>
      <w:r w:rsidR="00905441">
        <w:rPr>
          <w:rFonts w:ascii="Calibri" w:eastAsia="Calibri" w:hAnsi="Calibri" w:cs="Calibri"/>
        </w:rPr>
        <w:t>bypass surgery for Fontaine III/IV peripheral arterial disease, transaortic valve implantation, and the resection renal 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3F3EF55D"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2BC34F7D"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w:t>
      </w:r>
      <w:r w:rsidR="009E22E4">
        <w:rPr>
          <w:rFonts w:ascii="Calibri" w:eastAsia="Calibri" w:hAnsi="Calibri" w:cs="Calibri"/>
          <w:lang w:val="en-GB"/>
        </w:rPr>
        <w:t>mitral valve replacement</w:t>
      </w:r>
      <w:r>
        <w:rPr>
          <w:rFonts w:ascii="Calibri" w:eastAsia="Calibri" w:hAnsi="Calibri" w:cs="Calibri"/>
          <w:lang w:val="en-GB"/>
        </w:rPr>
        <w:t>)</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08631D2D" w:rsidR="0015520D" w:rsidRPr="00C12402" w:rsidRDefault="005975DE" w:rsidP="00153762">
      <w:pPr>
        <w:spacing w:line="276" w:lineRule="auto"/>
        <w:rPr>
          <w:rFonts w:ascii="Calibri" w:hAnsi="Calibri" w:cs="Calibri"/>
          <w:highlight w:val="yellow"/>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xml:space="preserve">. </w:t>
      </w:r>
      <w:r w:rsidR="00C12402">
        <w:rPr>
          <w:rFonts w:ascii="Calibri" w:hAnsi="Calibri" w:cs="Calibri"/>
        </w:rPr>
        <w:t>B</w:t>
      </w:r>
      <w:r w:rsidR="00C12402" w:rsidRPr="00E73563">
        <w:rPr>
          <w:rFonts w:ascii="Calibri" w:hAnsi="Calibri" w:cs="Calibri"/>
        </w:rPr>
        <w:t xml:space="preserve">ypass surgery for Fontaine III/IV peripheral arterial disease ranked substantially lower </w:t>
      </w:r>
      <w:r w:rsidR="00C12402">
        <w:rPr>
          <w:rFonts w:ascii="Calibri" w:hAnsi="Calibri" w:cs="Calibri"/>
        </w:rPr>
        <w:t>when QoL was not taken into account. This surgery</w:t>
      </w:r>
      <w:r w:rsidR="00992309">
        <w:rPr>
          <w:rFonts w:ascii="Calibri" w:hAnsi="Calibri" w:cs="Calibri"/>
        </w:rPr>
        <w:t>’s</w:t>
      </w:r>
      <w:r w:rsidR="00C12402">
        <w:rPr>
          <w:rFonts w:ascii="Calibri" w:hAnsi="Calibri" w:cs="Calibri"/>
        </w:rPr>
        <w:t xml:space="preserve"> a</w:t>
      </w:r>
      <w:r w:rsidR="00992309">
        <w:rPr>
          <w:rFonts w:ascii="Calibri" w:hAnsi="Calibri" w:cs="Calibri"/>
        </w:rPr>
        <w:t>im is</w:t>
      </w:r>
      <w:r w:rsidR="00C12402">
        <w:rPr>
          <w:rFonts w:ascii="Calibri" w:hAnsi="Calibri" w:cs="Calibri"/>
        </w:rPr>
        <w:t xml:space="preserve"> to prevent </w:t>
      </w:r>
      <w:r w:rsidR="00992309">
        <w:rPr>
          <w:rFonts w:ascii="Calibri" w:hAnsi="Calibri" w:cs="Calibri"/>
        </w:rPr>
        <w:t>the loss of a</w:t>
      </w:r>
      <w:r w:rsidR="00C12402">
        <w:rPr>
          <w:rFonts w:ascii="Calibri" w:hAnsi="Calibri" w:cs="Calibri"/>
        </w:rPr>
        <w:t xml:space="preserve"> limb</w:t>
      </w:r>
      <w:r w:rsidR="00992309">
        <w:rPr>
          <w:rFonts w:ascii="Calibri" w:hAnsi="Calibri" w:cs="Calibri"/>
        </w:rPr>
        <w:t xml:space="preserve"> due to ischemia</w:t>
      </w:r>
      <w:r w:rsidR="00C12402">
        <w:rPr>
          <w:rFonts w:ascii="Calibri" w:hAnsi="Calibri" w:cs="Calibri"/>
        </w:rPr>
        <w:t>, which would of course impact quality of life</w:t>
      </w:r>
      <w:r w:rsidR="00992309">
        <w:rPr>
          <w:rFonts w:ascii="Calibri" w:hAnsi="Calibri" w:cs="Calibri"/>
        </w:rPr>
        <w:t>. However, the surgery</w:t>
      </w:r>
      <w:r w:rsidR="00C12402">
        <w:rPr>
          <w:rFonts w:ascii="Calibri" w:hAnsi="Calibri" w:cs="Calibri"/>
        </w:rPr>
        <w:t xml:space="preserve"> does not </w:t>
      </w:r>
      <w:r w:rsidR="00992309">
        <w:rPr>
          <w:rFonts w:ascii="Calibri" w:hAnsi="Calibri" w:cs="Calibri"/>
        </w:rPr>
        <w:t xml:space="preserve">directly increase </w:t>
      </w:r>
      <w:r w:rsidR="00C12402">
        <w:rPr>
          <w:rFonts w:ascii="Calibri" w:hAnsi="Calibri" w:cs="Calibri"/>
        </w:rPr>
        <w:t>life expectancy.</w:t>
      </w:r>
      <w:r w:rsidR="00992309">
        <w:rPr>
          <w:rFonts w:ascii="Calibri" w:hAnsi="Calibri" w:cs="Calibri"/>
        </w:rPr>
        <w:t xml:space="preserve"> Disregarding QoL </w:t>
      </w:r>
      <w:r w:rsidR="00865324">
        <w:rPr>
          <w:rFonts w:ascii="Calibri" w:hAnsi="Calibri" w:cs="Calibri"/>
        </w:rPr>
        <w:t>therefore decreases the health benefit and urgency of this surgery.</w:t>
      </w:r>
      <w:r w:rsidR="00C12402">
        <w:rPr>
          <w:rFonts w:ascii="Calibri" w:hAnsi="Calibri" w:cs="Calibri"/>
        </w:rPr>
        <w:t xml:space="preserve"> On the other hand, </w:t>
      </w:r>
      <w:r w:rsidR="00C12402" w:rsidRPr="00E73563">
        <w:rPr>
          <w:rFonts w:ascii="Calibri" w:hAnsi="Calibri" w:cs="Calibri"/>
        </w:rPr>
        <w:t>resection of mild salivary gland carcinoma ranked substantially higher (from rank 41 to rank 28).</w:t>
      </w:r>
      <w:r w:rsidR="00C12402">
        <w:rPr>
          <w:rFonts w:ascii="Calibri" w:hAnsi="Calibri" w:cs="Calibri"/>
        </w:rPr>
        <w:t xml:space="preserve"> This surgery is mostly aimed at extending life, and is associated with only a minor increase in QoL. The burden of living with </w:t>
      </w:r>
      <w:r w:rsidR="00C12402">
        <w:rPr>
          <w:rFonts w:ascii="Calibri" w:hAnsi="Calibri" w:cs="Calibri"/>
        </w:rPr>
        <w:lastRenderedPageBreak/>
        <w:t>cancer is lifted postoperatively, increasing quality of life. However, a postoperative facial nerve paralysis is not uncommon, and was estimated to impact quality of life</w:t>
      </w:r>
      <w:r w:rsidR="00865324">
        <w:rPr>
          <w:rFonts w:ascii="Calibri" w:hAnsi="Calibri" w:cs="Calibri"/>
        </w:rPr>
        <w:t xml:space="preserve"> in general</w:t>
      </w:r>
      <w:r w:rsidR="00C12402">
        <w:rPr>
          <w:rFonts w:ascii="Calibri" w:hAnsi="Calibri" w:cs="Calibri"/>
        </w:rPr>
        <w:t>.</w:t>
      </w:r>
      <w:r w:rsidR="00C12402">
        <w:rPr>
          <w:rFonts w:ascii="Calibri" w:hAnsi="Calibri" w:cs="Calibri"/>
        </w:rPr>
        <w:fldChar w:fldCharType="begin" w:fldLock="1"/>
      </w:r>
      <w:r w:rsidR="00C12402">
        <w:rPr>
          <w:rFonts w:ascii="Calibri" w:hAnsi="Calibri" w:cs="Calibri"/>
        </w:rPr>
        <w:instrText>ADDIN CSL_CITATION {"citationItems":[{"id":"ITEM-1","itemData":{"DOI":"10.1111/ans.16008","abstract":"Background: Conservative surgical approaches, reconstructive techniques and technology are increasingly used in parotid surgery. The aim of this study was to determine the surgeon-modifiable factors which impact the rates of post-operative complications following parotidectomy for benign pathology. Methods: A retrospective cohort study of patients undergoing parotidectomy for benign pathology by or under the supervision of the senior author between 2006 and 2019 was performed. Clinicopathological variables, operative techniques and post-operative complications were recorded using standardized templates. Multivariable logistic regression models were used to obtain odds ratios (ORs) whilst adjusting for the effect of other clinically relevant covariates. Results: In total, 357 parotidectomies were performed. Independent factors associated with post-operative facial paresis were re-operative surgery (OR 3.51, 95% CI 1.19-10.33, P = 0.023), nerve integrity monitoring (OR 0.50, 95% CI 0.26-0.99, P = 0.046) and operation type, with focused tumour dissection (FTD) having the lowest rate of paresis (OR 0.19, 95% CI 0.040-0.92, P = 0.038) compared to limited parotidectomy. Factors associated with reduced wound complications on adjusted analysis were dermofat grafting (OR 0.10, 95% CI 0.01-0.72, P = 0.023), lesion size (OR 0.68, 95% CI 0.50-0.92, P = 0.01) and FTD (OR 0.16, 95% CI 0.05-0.59, P = 0.005) compared to limited parotidectomy. Conclusion: FTD, nerve integrity monitoring and dermofat grafting are surgeon-modifiable variables associated with lower rates of post-operative complications following parotidectomy for benign pathology. However, the benefit of these operative techniques relies on their appropriate utilization by performing surgeons.","author":[{"dropping-particle":"","family":"Petrides","given":"George A","non-dropping-particle":"","parse-names":false,"suffix":""},{"dropping-particle":"","family":"Subramaniam","given":"Narayana","non-dropping-particle":"","parse-names":false,"suffix":""},{"dropping-particle":"","family":"Pham","given":"My","non-dropping-particle":"","parse-names":false,"suffix":""},{"dropping-particle":"","family":"Clark","given":"Jonathan R","non-dropping-particle":"","parse-names":false,"suffix":""},{"dropping-particle":"","family":"Jonathan Clark","given":"Correspondence R","non-dropping-particle":"","parse-names":false,"suffix":""},{"dropping-particle":"","family":"Petrides","given":"G A","non-dropping-particle":"","parse-names":false,"suffix":""},{"dropping-particle":"","family":"Subramaniam","given":"N MS","non-dropping-particle":"","parse-names":false,"suffix":""},{"dropping-particle":"","family":"Pham MBBS","given":"M","non-dropping-particle":"","parse-names":false,"suffix":""},{"dropping-particle":"","family":"Clark MBBS","given":"J R","non-dropping-particle":"","parse-names":false,"suffix":""}],"id":"ITEM-1","issued":{"date-parts":[["2020"]]},"title":"Reducing the morbidity of parotidectomy for benign pathology","type":"article-journal"},"uris":["http://www.mendeley.com/documents/?uuid=10aa5a03-fc30-3f96-9990-8c80b656b3af"]}],"mendeley":{"formattedCitation":"&lt;sup&gt;93&lt;/sup&gt;","plainTextFormattedCitation":"93"},"properties":{"noteIndex":0},"schema":"https://github.com/citation-style-language/schema/raw/master/csl-citation.json"}</w:instrText>
      </w:r>
      <w:r w:rsidR="00C12402">
        <w:rPr>
          <w:rFonts w:ascii="Calibri" w:hAnsi="Calibri" w:cs="Calibri"/>
        </w:rPr>
        <w:fldChar w:fldCharType="separate"/>
      </w:r>
      <w:r w:rsidR="00C12402" w:rsidRPr="00C12402">
        <w:rPr>
          <w:rFonts w:ascii="Calibri" w:hAnsi="Calibri" w:cs="Calibri"/>
          <w:noProof/>
          <w:vertAlign w:val="superscript"/>
        </w:rPr>
        <w:t>93</w:t>
      </w:r>
      <w:r w:rsidR="00C12402">
        <w:rPr>
          <w:rFonts w:ascii="Calibri" w:hAnsi="Calibri" w:cs="Calibri"/>
        </w:rPr>
        <w:fldChar w:fldCharType="end"/>
      </w:r>
      <w:r w:rsidR="00C12402">
        <w:rPr>
          <w:rFonts w:ascii="Calibri" w:hAnsi="Calibri" w:cs="Calibri"/>
        </w:rPr>
        <w:t xml:space="preserve"> Disregarding QoL therefore increases the </w:t>
      </w:r>
      <w:r w:rsidR="00992309">
        <w:rPr>
          <w:rFonts w:ascii="Calibri" w:hAnsi="Calibri" w:cs="Calibri"/>
        </w:rPr>
        <w:t xml:space="preserve">health </w:t>
      </w:r>
      <w:r w:rsidR="00C12402">
        <w:rPr>
          <w:rFonts w:ascii="Calibri" w:hAnsi="Calibri" w:cs="Calibri"/>
        </w:rPr>
        <w:t xml:space="preserve">benefit and urgency of this </w:t>
      </w:r>
      <w:r w:rsidR="00865324">
        <w:rPr>
          <w:rFonts w:ascii="Calibri" w:hAnsi="Calibri" w:cs="Calibri"/>
        </w:rPr>
        <w:t>surgery</w:t>
      </w:r>
      <w:r w:rsidR="00C12402">
        <w:rPr>
          <w:rFonts w:ascii="Calibri" w:hAnsi="Calibri" w:cs="Calibri"/>
        </w:rPr>
        <w:t xml:space="preserve">. </w:t>
      </w:r>
    </w:p>
    <w:p w14:paraId="56A03D60" w14:textId="77777777" w:rsidR="00B44D15" w:rsidRPr="00C12402" w:rsidRDefault="00B44D15" w:rsidP="00153762">
      <w:pPr>
        <w:spacing w:line="276" w:lineRule="auto"/>
        <w:rPr>
          <w:rFonts w:ascii="Calibri" w:eastAsia="Calibri" w:hAnsi="Calibri" w:cs="Calibri"/>
        </w:rPr>
      </w:pPr>
    </w:p>
    <w:p w14:paraId="4B9B240C" w14:textId="33CBEF1E"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33F180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or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0872A8">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716652A5"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C12402">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94&lt;/sup&gt;","plainTextFormattedCitation":"94","previouslyFormattedCitation":"&lt;sup&gt;95&lt;/sup&gt;"},"properties":{"noteIndex":0},"schema":"https://github.com/citation-style-language/schema/raw/master/csl-citation.json"}</w:instrText>
      </w:r>
      <w:r w:rsidR="0065107A" w:rsidRPr="0092480E">
        <w:rPr>
          <w:rFonts w:ascii="Calibri" w:hAnsi="Calibri" w:cs="Calibri"/>
        </w:rPr>
        <w:fldChar w:fldCharType="separate"/>
      </w:r>
      <w:r w:rsidR="00C12402" w:rsidRPr="00C12402">
        <w:rPr>
          <w:rFonts w:ascii="Calibri" w:hAnsi="Calibri" w:cs="Calibri"/>
          <w:noProof/>
          <w:vertAlign w:val="superscript"/>
        </w:rPr>
        <w:t>94</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xml:space="preserve">, individual </w:t>
      </w:r>
      <w:r w:rsidRPr="0092480E">
        <w:rPr>
          <w:rFonts w:ascii="Calibri" w:hAnsi="Calibri" w:cs="Calibri"/>
        </w:rPr>
        <w:lastRenderedPageBreak/>
        <w:t>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6D3B18B1"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C464ED">
        <w:rPr>
          <w:rFonts w:ascii="Calibri" w:hAnsi="Calibri" w:cs="Calibri"/>
        </w:rPr>
        <w:t xml:space="preserve"> class I</w:t>
      </w:r>
      <w:r w:rsidR="00615993">
        <w:rPr>
          <w:rFonts w:ascii="Calibri" w:hAnsi="Calibri" w:cs="Calibri"/>
        </w:rPr>
        <w:t xml:space="preserve"> </w:t>
      </w:r>
      <w:r w:rsidR="00CB3CBB">
        <w:rPr>
          <w:rFonts w:ascii="Calibri" w:hAnsi="Calibri" w:cs="Calibri"/>
        </w:rPr>
        <w:t>evidence.</w:t>
      </w:r>
      <w:r w:rsidR="00615993">
        <w:rPr>
          <w:rFonts w:ascii="Calibri" w:hAnsi="Calibri" w:cs="Calibri"/>
        </w:rPr>
        <w:t xml:space="preserve"> Although survival with treatment might be validly estimated from national registries, the survival without treatment is harder to be</w:t>
      </w:r>
      <w:r w:rsidR="000F725F">
        <w:rPr>
          <w:rFonts w:ascii="Calibri" w:hAnsi="Calibri" w:cs="Calibri"/>
        </w:rPr>
        <w:t xml:space="preserve"> unbiasedly</w:t>
      </w:r>
      <w:r w:rsidR="00615993">
        <w:rPr>
          <w:rFonts w:ascii="Calibri" w:hAnsi="Calibri" w:cs="Calibri"/>
        </w:rPr>
        <w:t xml:space="preserve"> estimated.</w:t>
      </w:r>
      <w:r w:rsidR="00CB3CBB">
        <w:rPr>
          <w:rFonts w:ascii="Calibri" w:hAnsi="Calibri" w:cs="Calibri"/>
        </w:rPr>
        <w:t xml:space="preserve">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w:t>
      </w:r>
      <w:r w:rsidR="000F725F">
        <w:rPr>
          <w:rFonts w:ascii="Calibri" w:hAnsi="Calibri" w:cs="Calibri"/>
        </w:rPr>
        <w:t xml:space="preserve">now </w:t>
      </w:r>
      <w:r w:rsidR="00633198">
        <w:rPr>
          <w:rFonts w:ascii="Calibri" w:hAnsi="Calibri" w:cs="Calibri"/>
        </w:rPr>
        <w:t xml:space="preserve">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15993">
        <w:rPr>
          <w:rFonts w:ascii="Calibri" w:hAnsi="Calibri" w:cs="Calibri"/>
        </w:rPr>
        <w:t xml:space="preserve">found </w:t>
      </w:r>
      <w:r w:rsidR="00CB3CBB">
        <w:rPr>
          <w:rFonts w:ascii="Calibri" w:hAnsi="Calibri" w:cs="Calibri"/>
        </w:rPr>
        <w:t>adjusted estimates from observational studies</w:t>
      </w:r>
      <w:r w:rsidR="00615993">
        <w:rPr>
          <w:rFonts w:ascii="Calibri" w:hAnsi="Calibri" w:cs="Calibri"/>
        </w:rPr>
        <w:t xml:space="preserve">. For some surgeries, </w:t>
      </w:r>
      <w:r w:rsidR="007D243A">
        <w:rPr>
          <w:rFonts w:ascii="Calibri" w:hAnsi="Calibri" w:cs="Calibri"/>
        </w:rPr>
        <w:t xml:space="preserve">however, </w:t>
      </w:r>
      <w:r w:rsidR="00615993">
        <w:rPr>
          <w:rFonts w:ascii="Calibri" w:hAnsi="Calibri" w:cs="Calibri"/>
        </w:rPr>
        <w:t xml:space="preserve">we did have evidence from </w:t>
      </w:r>
      <w:r w:rsidR="00CD615D">
        <w:rPr>
          <w:rFonts w:ascii="Calibri" w:hAnsi="Calibri" w:cs="Calibri"/>
        </w:rPr>
        <w:t xml:space="preserve">more historical </w:t>
      </w:r>
      <w:r w:rsidR="00615993">
        <w:rPr>
          <w:rFonts w:ascii="Calibri" w:hAnsi="Calibri" w:cs="Calibri"/>
        </w:rPr>
        <w:t>randomized controlled trials</w:t>
      </w:r>
      <w:r w:rsidR="00CB3CBB">
        <w:rPr>
          <w:rFonts w:ascii="Calibri" w:hAnsi="Calibri" w:cs="Calibri"/>
        </w:rPr>
        <w:t xml:space="preserve">. </w:t>
      </w:r>
      <w:r w:rsidR="00615993">
        <w:rPr>
          <w:rFonts w:ascii="Calibri" w:hAnsi="Calibri" w:cs="Calibri"/>
        </w:rPr>
        <w:t xml:space="preserve">Most survival data we used </w:t>
      </w:r>
      <w:r w:rsidR="00CB3CBB">
        <w:rPr>
          <w:rFonts w:ascii="Calibri" w:hAnsi="Calibri" w:cs="Calibri"/>
        </w:rPr>
        <w:t xml:space="preserve">might </w:t>
      </w:r>
      <w:r w:rsidR="00615993">
        <w:rPr>
          <w:rFonts w:ascii="Calibri" w:hAnsi="Calibri" w:cs="Calibri"/>
        </w:rPr>
        <w:t xml:space="preserve">there </w:t>
      </w:r>
      <w:r w:rsidR="00CB3CBB">
        <w:rPr>
          <w:rFonts w:ascii="Calibri" w:hAnsi="Calibri" w:cs="Calibri"/>
        </w:rPr>
        <w:t xml:space="preserve">be </w:t>
      </w:r>
      <w:r w:rsidR="00615993">
        <w:rPr>
          <w:rFonts w:ascii="Calibri" w:hAnsi="Calibri" w:cs="Calibri"/>
        </w:rPr>
        <w:t xml:space="preserve">somewhat </w:t>
      </w:r>
      <w:r w:rsidR="00CB3CBB">
        <w:rPr>
          <w:rFonts w:ascii="Calibri" w:hAnsi="Calibri" w:cs="Calibri"/>
        </w:rPr>
        <w:t xml:space="preserve">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w:t>
      </w:r>
      <w:r w:rsidR="00615993">
        <w:rPr>
          <w:rFonts w:ascii="Calibri" w:hAnsi="Calibri" w:cs="Calibri"/>
        </w:rPr>
        <w:t xml:space="preserve">somewhat </w:t>
      </w:r>
      <w:r w:rsidR="00633198">
        <w:rPr>
          <w:rFonts w:ascii="Calibri" w:hAnsi="Calibri" w:cs="Calibri"/>
        </w:rPr>
        <w:t>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1EB4579C"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0B26867">
        <w:rPr>
          <w:rFonts w:ascii="Calibri" w:hAnsi="Calibri" w:cs="Calibri"/>
        </w:rPr>
        <w:t>T</w:t>
      </w:r>
      <w:r>
        <w:rPr>
          <w:rFonts w:ascii="Calibri" w:hAnsi="Calibri" w:cs="Calibri"/>
        </w:rPr>
        <w:t xml:space="preserve">he data needed to validly model this </w:t>
      </w:r>
      <w:r w:rsidR="00202AC6">
        <w:rPr>
          <w:rFonts w:ascii="Calibri" w:hAnsi="Calibri" w:cs="Calibri"/>
        </w:rPr>
        <w:t>decay in QALYs per unit of time for all surgeries likely do</w:t>
      </w:r>
      <w:r>
        <w:rPr>
          <w:rFonts w:ascii="Calibri" w:hAnsi="Calibri" w:cs="Calibri"/>
        </w:rPr>
        <w:t>n’t exist</w:t>
      </w:r>
      <w:r w:rsidR="00202AC6">
        <w:rPr>
          <w:rFonts w:ascii="Calibri" w:hAnsi="Calibri" w:cs="Calibri"/>
        </w:rPr>
        <w:t>: most of the estimates of time to no effect on survival were based on observational studies, which are likely biased.</w:t>
      </w:r>
      <w:r w:rsidR="00AF3CB7">
        <w:rPr>
          <w:rFonts w:ascii="Calibri" w:hAnsi="Calibri" w:cs="Calibri"/>
        </w:rPr>
        <w:t xml:space="preserve"> A more detailed approximation would be possible </w:t>
      </w:r>
      <w:r w:rsidR="00290160">
        <w:rPr>
          <w:rFonts w:ascii="Calibri" w:hAnsi="Calibri" w:cs="Calibri"/>
        </w:rPr>
        <w:t>using</w:t>
      </w:r>
      <w:r w:rsidR="00AF3CB7">
        <w:rPr>
          <w:rFonts w:ascii="Calibri" w:hAnsi="Calibri" w:cs="Calibri"/>
        </w:rPr>
        <w:t xml:space="preserve"> a more individualized model which also models </w:t>
      </w:r>
      <w:r w:rsidR="00290160">
        <w:rPr>
          <w:rFonts w:ascii="Calibri" w:hAnsi="Calibri" w:cs="Calibri"/>
        </w:rPr>
        <w:t xml:space="preserve">the natural grow of tumors, or aneurysms, and validly model the </w:t>
      </w:r>
      <w:r w:rsidR="00AF3CB7">
        <w:rPr>
          <w:rFonts w:ascii="Calibri" w:hAnsi="Calibri" w:cs="Calibri"/>
        </w:rPr>
        <w:t>development of metastasis.</w:t>
      </w:r>
      <w:r w:rsidR="00290160">
        <w:rPr>
          <w:rFonts w:ascii="Calibri" w:hAnsi="Calibri" w:cs="Calibri"/>
        </w:rPr>
        <w:t xml:space="preserve"> </w:t>
      </w:r>
      <w:r w:rsidR="00B26867">
        <w:rPr>
          <w:rFonts w:ascii="Calibri" w:hAnsi="Calibri" w:cs="Calibri"/>
        </w:rPr>
        <w:t>It was not feasible to</w:t>
      </w:r>
      <w:r w:rsidR="001559E3">
        <w:rPr>
          <w:rFonts w:ascii="Calibri" w:hAnsi="Calibri" w:cs="Calibri"/>
        </w:rPr>
        <w:t xml:space="preserve"> develop this for all </w:t>
      </w:r>
      <w:r w:rsidR="00B26867">
        <w:rPr>
          <w:rFonts w:ascii="Calibri" w:hAnsi="Calibri" w:cs="Calibri"/>
        </w:rPr>
        <w:t xml:space="preserve">evaluated </w:t>
      </w:r>
      <w:r w:rsidR="001559E3">
        <w:rPr>
          <w:rFonts w:ascii="Calibri" w:hAnsi="Calibri" w:cs="Calibri"/>
        </w:rPr>
        <w:t>surgeries</w:t>
      </w:r>
      <w:r w:rsidR="00290160">
        <w:rPr>
          <w:rFonts w:ascii="Calibri" w:hAnsi="Calibri" w:cs="Calibri"/>
        </w:rPr>
        <w:t>.</w:t>
      </w:r>
      <w:r w:rsidR="00B26867">
        <w:rPr>
          <w:rFonts w:ascii="Calibri" w:hAnsi="Calibri" w:cs="Calibri"/>
        </w:rPr>
        <w:t xml:space="preserve"> Instead, we opted for a more pragmatic approach.</w:t>
      </w:r>
      <w:r w:rsidR="00290160">
        <w:rPr>
          <w:rFonts w:ascii="Calibri" w:hAnsi="Calibri" w:cs="Calibri"/>
        </w:rPr>
        <w:t xml:space="preserve"> </w:t>
      </w:r>
    </w:p>
    <w:p w14:paraId="60120856" w14:textId="595199D3"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003B69E1">
        <w:rPr>
          <w:rFonts w:ascii="Calibri" w:hAnsi="Calibri" w:cs="Calibri"/>
        </w:rPr>
        <w:t xml:space="preserve">of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r w:rsidR="003B69E1">
        <w:rPr>
          <w:rFonts w:ascii="Calibri" w:hAnsi="Calibri" w:cs="Calibri"/>
        </w:rPr>
        <w:t>ing</w:t>
      </w:r>
      <w:r w:rsidR="00B07D8C">
        <w:rPr>
          <w:rFonts w:ascii="Calibri" w:hAnsi="Calibri" w:cs="Calibri"/>
        </w:rPr>
        <w:t xml:space="preserve"> often used generic QoL questionnaires which had been valued by the general public, like the EQ-5D or AQoL</w:t>
      </w:r>
      <w:r w:rsidR="00B07D8C">
        <w:rPr>
          <w:rFonts w:ascii="Calibri" w:hAnsi="Calibri" w:cs="Calibri"/>
        </w:rPr>
        <w:fldChar w:fldCharType="begin" w:fldLock="1"/>
      </w:r>
      <w:r w:rsidR="00C12402">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95&lt;/sup&gt;","plainTextFormattedCitation":"95","previouslyFormattedCitation":"&lt;sup&gt;96&lt;/sup&gt;"},"properties":{"noteIndex":0},"schema":"https://github.com/citation-style-language/schema/raw/master/csl-citation.json"}</w:instrText>
      </w:r>
      <w:r w:rsidR="00B07D8C">
        <w:rPr>
          <w:rFonts w:ascii="Calibri" w:hAnsi="Calibri" w:cs="Calibri"/>
        </w:rPr>
        <w:fldChar w:fldCharType="separate"/>
      </w:r>
      <w:r w:rsidR="00C12402" w:rsidRPr="00C12402">
        <w:rPr>
          <w:rFonts w:ascii="Calibri" w:hAnsi="Calibri" w:cs="Calibri"/>
          <w:noProof/>
          <w:vertAlign w:val="superscript"/>
        </w:rPr>
        <w:t>95</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r w:rsidR="003B69E1">
        <w:rPr>
          <w:rFonts w:ascii="Calibri" w:hAnsi="Calibri" w:cs="Calibri"/>
        </w:rPr>
        <w:t>s</w:t>
      </w:r>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C12402">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96&lt;/sup&gt;","plainTextFormattedCitation":"96","previouslyFormattedCitation":"&lt;sup&gt;97&lt;/sup&gt;"},"properties":{"noteIndex":0},"schema":"https://github.com/citation-style-language/schema/raw/master/csl-citation.json"}</w:instrText>
      </w:r>
      <w:r w:rsidR="00055008" w:rsidRPr="0092480E">
        <w:rPr>
          <w:rFonts w:ascii="Calibri" w:hAnsi="Calibri" w:cs="Calibri"/>
        </w:rPr>
        <w:fldChar w:fldCharType="separate"/>
      </w:r>
      <w:r w:rsidR="00C12402" w:rsidRPr="00C12402">
        <w:rPr>
          <w:rFonts w:ascii="Calibri" w:hAnsi="Calibri" w:cs="Calibri"/>
          <w:noProof/>
          <w:vertAlign w:val="superscript"/>
        </w:rPr>
        <w:t>96</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lastRenderedPageBreak/>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0CB45802"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C12402">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97&lt;/sup&gt;","plainTextFormattedCitation":"97","previouslyFormattedCitation":"&lt;sup&gt;98&lt;/sup&gt;"},"properties":{"noteIndex":0},"schema":"https://github.com/citation-style-language/schema/raw/master/csl-citation.json"}</w:instrText>
      </w:r>
      <w:r w:rsidR="00420C01">
        <w:rPr>
          <w:rFonts w:ascii="Calibri" w:hAnsi="Calibri" w:cs="Calibri"/>
        </w:rPr>
        <w:fldChar w:fldCharType="separate"/>
      </w:r>
      <w:r w:rsidR="00C12402" w:rsidRPr="00C12402">
        <w:rPr>
          <w:rFonts w:ascii="Calibri" w:hAnsi="Calibri" w:cs="Calibri"/>
          <w:noProof/>
          <w:vertAlign w:val="superscript"/>
        </w:rPr>
        <w:t>97</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3B69E1">
        <w:rPr>
          <w:rFonts w:ascii="Calibri" w:hAnsi="Calibri" w:cs="Calibri"/>
        </w:rPr>
        <w:t xml:space="preserve"> among </w:t>
      </w:r>
      <w:r w:rsidR="004E5E4E">
        <w:rPr>
          <w:rFonts w:ascii="Calibri" w:hAnsi="Calibri" w:cs="Calibri"/>
        </w:rPr>
        <w:t>clinician</w:t>
      </w:r>
      <w:r w:rsidR="003B69E1">
        <w:rPr>
          <w:rFonts w:ascii="Calibri" w:hAnsi="Calibri" w:cs="Calibri"/>
        </w:rPr>
        <w:t>s</w:t>
      </w:r>
      <w:r w:rsidR="004E5E4E">
        <w:rPr>
          <w:rFonts w:ascii="Calibri" w:hAnsi="Calibri" w:cs="Calibri"/>
        </w:rPr>
        <w:t>,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3D0E4D60" w14:textId="72DD0E5D" w:rsidR="006A77DC"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C678D7">
        <w:rPr>
          <w:rFonts w:ascii="Calibri" w:eastAsia="Calibri" w:hAnsi="Calibri" w:cs="Calibri"/>
        </w:rPr>
        <w:t>Based on our approach, t</w:t>
      </w:r>
      <w:r w:rsidR="00C678D7" w:rsidRPr="0092480E">
        <w:rPr>
          <w:rFonts w:ascii="Calibri" w:eastAsia="Calibri" w:hAnsi="Calibri" w:cs="Calibri"/>
        </w:rPr>
        <w:t xml:space="preserve">he expected health loss due to delay </w:t>
      </w:r>
      <w:r w:rsidR="00C678D7">
        <w:rPr>
          <w:rFonts w:ascii="Calibri" w:eastAsia="Calibri" w:hAnsi="Calibri" w:cs="Calibri"/>
        </w:rPr>
        <w:t>was</w:t>
      </w:r>
      <w:r w:rsidR="00C678D7" w:rsidRPr="0092480E">
        <w:rPr>
          <w:rFonts w:ascii="Calibri" w:eastAsia="Calibri" w:hAnsi="Calibri" w:cs="Calibri"/>
        </w:rPr>
        <w:t xml:space="preserve"> quantified for semi-elective </w:t>
      </w:r>
      <w:r w:rsidR="00C678D7">
        <w:rPr>
          <w:rFonts w:ascii="Calibri" w:eastAsia="Calibri" w:hAnsi="Calibri" w:cs="Calibri"/>
        </w:rPr>
        <w:t>surgeries</w:t>
      </w:r>
      <w:r w:rsidR="00C678D7" w:rsidRPr="0092480E">
        <w:rPr>
          <w:rFonts w:ascii="Calibri" w:eastAsia="Calibri" w:hAnsi="Calibri" w:cs="Calibri"/>
        </w:rPr>
        <w:t xml:space="preserve"> in </w:t>
      </w:r>
      <w:r w:rsidR="00C678D7">
        <w:rPr>
          <w:rFonts w:ascii="Calibri" w:eastAsia="Calibri" w:hAnsi="Calibri" w:cs="Calibri"/>
        </w:rPr>
        <w:t>an academic</w:t>
      </w:r>
      <w:r w:rsidR="00C678D7" w:rsidRPr="0092480E">
        <w:rPr>
          <w:rFonts w:ascii="Calibri" w:eastAsia="Calibri" w:hAnsi="Calibri" w:cs="Calibri"/>
        </w:rPr>
        <w:t xml:space="preserve"> hospital</w:t>
      </w:r>
      <w:r w:rsidR="00C678D7">
        <w:rPr>
          <w:rFonts w:ascii="Calibri" w:eastAsia="Calibri" w:hAnsi="Calibri" w:cs="Calibri"/>
        </w:rPr>
        <w:t xml:space="preserve"> in the Netherlands</w:t>
      </w:r>
      <w:r w:rsidR="00C678D7" w:rsidRPr="0092480E">
        <w:rPr>
          <w:rFonts w:ascii="Calibri" w:eastAsia="Calibri" w:hAnsi="Calibri" w:cs="Calibri"/>
        </w:rPr>
        <w:t xml:space="preserve">. This </w:t>
      </w:r>
      <w:r w:rsidR="00C678D7">
        <w:rPr>
          <w:rFonts w:ascii="Calibri" w:eastAsia="Calibri" w:hAnsi="Calibri" w:cs="Calibri"/>
        </w:rPr>
        <w:t xml:space="preserve">approach </w:t>
      </w:r>
      <w:r w:rsidR="00C678D7" w:rsidRPr="0092480E">
        <w:rPr>
          <w:rFonts w:ascii="Calibri" w:eastAsia="Calibri" w:hAnsi="Calibri" w:cs="Calibri"/>
        </w:rPr>
        <w:t xml:space="preserve">can help to minimize health losses when trying to overcome delay in </w:t>
      </w:r>
      <w:r w:rsidR="00C678D7">
        <w:rPr>
          <w:rFonts w:ascii="Calibri" w:eastAsia="Calibri" w:hAnsi="Calibri" w:cs="Calibri"/>
        </w:rPr>
        <w:t>surgeries across disciplines</w:t>
      </w:r>
      <w:r w:rsidR="00C678D7" w:rsidRPr="0092480E">
        <w:rPr>
          <w:rFonts w:ascii="Calibri" w:eastAsia="Calibri" w:hAnsi="Calibri" w:cs="Calibri"/>
        </w:rPr>
        <w:t xml:space="preserve">. </w:t>
      </w:r>
      <w:r w:rsidR="00C678D7">
        <w:rPr>
          <w:rFonts w:ascii="Calibri" w:hAnsi="Calibri" w:cs="Calibri"/>
        </w:rPr>
        <w:t xml:space="preserve">This </w:t>
      </w:r>
      <w:r w:rsidR="00C678D7" w:rsidRPr="0092480E">
        <w:rPr>
          <w:rFonts w:ascii="Calibri" w:hAnsi="Calibri" w:cs="Calibri"/>
        </w:rPr>
        <w:t xml:space="preserve">approach is more transparent, more evidence-based, and more </w:t>
      </w:r>
      <w:r w:rsidR="00C678D7">
        <w:rPr>
          <w:rFonts w:ascii="Calibri" w:hAnsi="Calibri" w:cs="Calibri"/>
        </w:rPr>
        <w:t>consistent</w:t>
      </w:r>
      <w:r w:rsidR="00C678D7" w:rsidRPr="0092480E">
        <w:rPr>
          <w:rFonts w:ascii="Calibri" w:hAnsi="Calibri" w:cs="Calibri"/>
        </w:rPr>
        <w:t xml:space="preserve"> than the alternative strategy of triaging based on expert opinion</w:t>
      </w:r>
      <w:r w:rsidR="00C678D7" w:rsidRPr="0092480E">
        <w:rPr>
          <w:rFonts w:ascii="Calibri" w:eastAsia="Calibri" w:hAnsi="Calibri" w:cs="Calibri"/>
        </w:rPr>
        <w:t xml:space="preserve">. </w:t>
      </w:r>
    </w:p>
    <w:p w14:paraId="6E341FBD" w14:textId="77777777" w:rsidR="006A77DC" w:rsidRDefault="006A77DC" w:rsidP="00153762">
      <w:pPr>
        <w:spacing w:line="276" w:lineRule="auto"/>
        <w:rPr>
          <w:rFonts w:ascii="Calibri" w:eastAsia="Calibri" w:hAnsi="Calibri" w:cs="Calibri"/>
        </w:rPr>
      </w:pPr>
    </w:p>
    <w:p w14:paraId="1C938CFE" w14:textId="257CEDB6" w:rsidR="006A77DC" w:rsidRDefault="00BD23BB" w:rsidP="00153762">
      <w:pPr>
        <w:spacing w:line="276" w:lineRule="auto"/>
        <w:rPr>
          <w:rFonts w:ascii="Calibri" w:eastAsia="Calibri" w:hAnsi="Calibri" w:cs="Calibri"/>
        </w:rPr>
      </w:pPr>
      <w:r>
        <w:rPr>
          <w:rFonts w:ascii="Calibri" w:eastAsia="Calibri" w:hAnsi="Calibri" w:cs="Calibri"/>
        </w:rPr>
        <w:t>It should be noted that e</w:t>
      </w:r>
      <w:r w:rsidR="000712C3">
        <w:rPr>
          <w:rFonts w:ascii="Calibri" w:eastAsia="Calibri" w:hAnsi="Calibri" w:cs="Calibri"/>
        </w:rPr>
        <w:t xml:space="preserv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6C5AAD">
        <w:rPr>
          <w:rFonts w:ascii="Calibri" w:eastAsia="Calibri" w:hAnsi="Calibri" w:cs="Calibri"/>
        </w:rPr>
        <w:t xml:space="preserve">Instead, adjusted estimates from observational studies are often the best available evidence for </w:t>
      </w:r>
      <w:r w:rsidR="008269CC">
        <w:rPr>
          <w:rFonts w:ascii="Calibri" w:eastAsia="Calibri" w:hAnsi="Calibri" w:cs="Calibri"/>
        </w:rPr>
        <w:t xml:space="preserve">benefit of surgery and </w:t>
      </w:r>
      <w:r w:rsidR="006C5AAD">
        <w:rPr>
          <w:rFonts w:ascii="Calibri" w:eastAsia="Calibri" w:hAnsi="Calibri" w:cs="Calibri"/>
        </w:rPr>
        <w:t xml:space="preserve">the effects of delay on survival. </w:t>
      </w:r>
      <w:r w:rsidR="006A77DC">
        <w:rPr>
          <w:rFonts w:ascii="Calibri" w:eastAsia="Calibri" w:hAnsi="Calibri" w:cs="Calibri"/>
        </w:rPr>
        <w:t>Therefore, the model inputs should be periodically</w:t>
      </w:r>
      <w:r w:rsidR="006A77DC">
        <w:rPr>
          <w:rFonts w:eastAsia="Calibri"/>
        </w:rPr>
        <w:t xml:space="preserve"> </w:t>
      </w:r>
      <w:r w:rsidR="006A77DC">
        <w:rPr>
          <w:rFonts w:ascii="Calibri" w:eastAsia="Calibri" w:hAnsi="Calibri" w:cs="Calibri"/>
        </w:rPr>
        <w:t>updated with newer, higher quality evidence.</w:t>
      </w:r>
    </w:p>
    <w:p w14:paraId="1E1C41A0" w14:textId="77777777" w:rsidR="006A77DC" w:rsidRDefault="006A77DC" w:rsidP="00153762">
      <w:pPr>
        <w:spacing w:line="276" w:lineRule="auto"/>
        <w:rPr>
          <w:rFonts w:ascii="Calibri" w:eastAsia="Calibri" w:hAnsi="Calibri" w:cs="Calibri"/>
        </w:rPr>
      </w:pPr>
    </w:p>
    <w:p w14:paraId="7C0BF022" w14:textId="20DFF23B"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Finally, </w:t>
      </w:r>
      <w:r w:rsidR="00BD23BB">
        <w:rPr>
          <w:rFonts w:ascii="Calibri" w:eastAsia="Calibri" w:hAnsi="Calibri" w:cs="Calibri"/>
        </w:rPr>
        <w:t xml:space="preserve">this tool should be </w:t>
      </w:r>
      <w:r>
        <w:rPr>
          <w:rFonts w:ascii="Calibri" w:eastAsia="Calibri" w:hAnsi="Calibri" w:cs="Calibri"/>
        </w:rPr>
        <w:t>p</w:t>
      </w:r>
      <w:r w:rsidR="00BD23BB">
        <w:rPr>
          <w:rFonts w:ascii="Calibri" w:eastAsia="Calibri" w:hAnsi="Calibri" w:cs="Calibri"/>
        </w:rPr>
        <w:t>laced</w:t>
      </w:r>
      <w:r w:rsidR="00AC6F5A" w:rsidRPr="0092480E">
        <w:rPr>
          <w:rFonts w:ascii="Calibri" w:eastAsia="Calibri" w:hAnsi="Calibri" w:cs="Calibri"/>
        </w:rPr>
        <w:t xml:space="preserve"> in the context of </w:t>
      </w:r>
      <w:r w:rsidR="00BD23BB">
        <w:rPr>
          <w:rFonts w:ascii="Calibri" w:eastAsia="Calibri" w:hAnsi="Calibri" w:cs="Calibri"/>
        </w:rPr>
        <w:t>other</w:t>
      </w:r>
      <w:r w:rsidR="00AC6F5A" w:rsidRPr="0092480E">
        <w:rPr>
          <w:rFonts w:ascii="Calibri" w:eastAsia="Calibri" w:hAnsi="Calibri" w:cs="Calibri"/>
        </w:rPr>
        <w:t xml:space="preserve"> ethical perspectives and combin</w:t>
      </w:r>
      <w:r w:rsidR="00BD23BB">
        <w:rPr>
          <w:rFonts w:ascii="Calibri" w:eastAsia="Calibri" w:hAnsi="Calibri" w:cs="Calibri"/>
        </w:rPr>
        <w:t>ed</w:t>
      </w:r>
      <w:r w:rsidR="00AC6F5A" w:rsidRPr="0092480E">
        <w:rPr>
          <w:rFonts w:ascii="Calibri" w:eastAsia="Calibri" w:hAnsi="Calibri" w:cs="Calibri"/>
        </w:rPr>
        <w:t xml:space="preserve"> with capacity management tools</w:t>
      </w:r>
      <w:r w:rsidR="00BD23BB">
        <w:rPr>
          <w:rFonts w:ascii="Calibri" w:eastAsia="Calibri" w:hAnsi="Calibri" w:cs="Calibri"/>
        </w:rPr>
        <w:t xml:space="preserve">. If successful, we believe this tool should be </w:t>
      </w:r>
      <w:r w:rsidR="00AC6F5A" w:rsidRPr="0092480E">
        <w:rPr>
          <w:rFonts w:ascii="Calibri" w:eastAsia="Calibri" w:hAnsi="Calibri" w:cs="Calibri"/>
        </w:rPr>
        <w:t>implement</w:t>
      </w:r>
      <w:r w:rsidR="00BD23BB">
        <w:rPr>
          <w:rFonts w:ascii="Calibri" w:eastAsia="Calibri" w:hAnsi="Calibri" w:cs="Calibri"/>
        </w:rPr>
        <w:t xml:space="preserve">ed </w:t>
      </w:r>
      <w:r w:rsidR="00BD23BB">
        <w:rPr>
          <w:rFonts w:ascii="Calibri" w:eastAsia="Calibri" w:hAnsi="Calibri" w:cs="Calibri"/>
        </w:rPr>
        <w:lastRenderedPageBreak/>
        <w:t xml:space="preserve">on a </w:t>
      </w:r>
      <w:r w:rsidR="006A77DC">
        <w:rPr>
          <w:rFonts w:ascii="Calibri" w:eastAsia="Calibri" w:hAnsi="Calibri" w:cs="Calibri"/>
        </w:rPr>
        <w:t>large scale,</w:t>
      </w:r>
      <w:r w:rsidR="00BD23BB">
        <w:rPr>
          <w:rFonts w:ascii="Calibri" w:eastAsia="Calibri" w:hAnsi="Calibri" w:cs="Calibri"/>
        </w:rPr>
        <w:t xml:space="preserve"> in order to minimize health loss of the accumulating group of patients waiting for surgery</w:t>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066E3D13" w14:textId="77777777" w:rsidR="00213F7D" w:rsidRDefault="00213F7D" w:rsidP="00213F7D"/>
    <w:p w14:paraId="4E29BC92" w14:textId="77777777" w:rsidR="00213F7D" w:rsidRDefault="00213F7D" w:rsidP="00213F7D"/>
    <w:p w14:paraId="32340F7F" w14:textId="77777777" w:rsidR="00213F7D" w:rsidRDefault="00213F7D" w:rsidP="00213F7D"/>
    <w:p w14:paraId="4B8718C3" w14:textId="0678ABC2" w:rsidR="00213F7D" w:rsidRPr="00213F7D" w:rsidRDefault="00213F7D" w:rsidP="00213F7D">
      <w:pPr>
        <w:spacing w:after="160" w:line="259" w:lineRule="auto"/>
      </w:pPr>
    </w:p>
    <w:p w14:paraId="2AC0BE73" w14:textId="509B8CAB" w:rsidR="00213F7D" w:rsidRPr="00213F7D" w:rsidRDefault="00213F7D" w:rsidP="00213F7D">
      <w:pPr>
        <w:tabs>
          <w:tab w:val="left" w:pos="3916"/>
        </w:tabs>
        <w:rPr>
          <w:sz w:val="20"/>
          <w:szCs w:val="20"/>
          <w:lang w:val="en-GB" w:eastAsia="en-GB"/>
        </w:rPr>
        <w:sectPr w:rsidR="00213F7D" w:rsidRPr="00213F7D">
          <w:footerReference w:type="even" r:id="rId14"/>
          <w:footerReference w:type="default" r:id="rId15"/>
          <w:pgSz w:w="11906" w:h="16838"/>
          <w:pgMar w:top="1417" w:right="1417" w:bottom="1417" w:left="1417" w:header="708" w:footer="708" w:gutter="0"/>
          <w:cols w:space="708"/>
          <w:docGrid w:linePitch="360"/>
        </w:sectPr>
      </w:pPr>
      <w:r>
        <w:rPr>
          <w:sz w:val="20"/>
          <w:szCs w:val="20"/>
          <w:lang w:val="en-GB" w:eastAsia="en-GB"/>
        </w:rPr>
        <w:tab/>
      </w:r>
    </w:p>
    <w:p w14:paraId="12B3BB7A" w14:textId="33B1379F" w:rsidR="00AC4747" w:rsidRDefault="00AC4747" w:rsidP="00AC4747">
      <w:pPr>
        <w:pStyle w:val="Bijschrift"/>
        <w:keepNext/>
      </w:pPr>
      <w:r>
        <w:lastRenderedPageBreak/>
        <w:t xml:space="preserve">Table </w:t>
      </w:r>
      <w:r w:rsidR="001E0604">
        <w:rPr>
          <w:noProof/>
        </w:rPr>
        <w:fldChar w:fldCharType="begin"/>
      </w:r>
      <w:r w:rsidR="001E0604">
        <w:rPr>
          <w:noProof/>
        </w:rPr>
        <w:instrText xml:space="preserve"> SEQ Table \* ARABIC </w:instrText>
      </w:r>
      <w:r w:rsidR="001E0604">
        <w:rPr>
          <w:noProof/>
        </w:rPr>
        <w:fldChar w:fldCharType="separate"/>
      </w:r>
      <w:r>
        <w:rPr>
          <w:noProof/>
        </w:rPr>
        <w:t>1</w:t>
      </w:r>
      <w:r w:rsidR="001E0604">
        <w:rPr>
          <w:noProof/>
        </w:rPr>
        <w:fldChar w:fldCharType="end"/>
      </w:r>
      <w:r>
        <w:t xml:space="preserve">, class and type of evidence underlying the model parameter inputs. </w:t>
      </w:r>
    </w:p>
    <w:tbl>
      <w:tblPr>
        <w:tblW w:w="0" w:type="auto"/>
        <w:tblLayout w:type="fixed"/>
        <w:tblLook w:val="04A0" w:firstRow="1" w:lastRow="0" w:firstColumn="1" w:lastColumn="0" w:noHBand="0" w:noVBand="1"/>
      </w:tblPr>
      <w:tblGrid>
        <w:gridCol w:w="2268"/>
        <w:gridCol w:w="1134"/>
        <w:gridCol w:w="1588"/>
        <w:gridCol w:w="1820"/>
        <w:gridCol w:w="1341"/>
        <w:gridCol w:w="1413"/>
        <w:gridCol w:w="1638"/>
        <w:gridCol w:w="1363"/>
        <w:gridCol w:w="1437"/>
      </w:tblGrid>
      <w:tr w:rsidR="00213F7D" w:rsidRPr="00213F7D" w14:paraId="73F0136F" w14:textId="77777777" w:rsidTr="008E764D">
        <w:trPr>
          <w:trHeight w:val="288"/>
        </w:trPr>
        <w:tc>
          <w:tcPr>
            <w:tcW w:w="2268" w:type="dxa"/>
            <w:tcBorders>
              <w:top w:val="nil"/>
              <w:left w:val="nil"/>
              <w:right w:val="nil"/>
            </w:tcBorders>
            <w:shd w:val="clear" w:color="auto" w:fill="auto"/>
            <w:noWrap/>
            <w:vAlign w:val="bottom"/>
            <w:hideMark/>
          </w:tcPr>
          <w:p w14:paraId="5DE63C77" w14:textId="33677F43" w:rsidR="00213F7D" w:rsidRPr="00213F7D" w:rsidRDefault="00213F7D" w:rsidP="00213F7D">
            <w:pPr>
              <w:rPr>
                <w:sz w:val="20"/>
                <w:szCs w:val="20"/>
                <w:lang w:val="en-GB" w:eastAsia="en-GB"/>
              </w:rPr>
            </w:pPr>
          </w:p>
        </w:tc>
        <w:tc>
          <w:tcPr>
            <w:tcW w:w="1134" w:type="dxa"/>
            <w:tcBorders>
              <w:top w:val="nil"/>
              <w:left w:val="nil"/>
              <w:right w:val="nil"/>
            </w:tcBorders>
            <w:shd w:val="clear" w:color="auto" w:fill="auto"/>
            <w:noWrap/>
            <w:vAlign w:val="bottom"/>
            <w:hideMark/>
          </w:tcPr>
          <w:p w14:paraId="64AA946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Age</w:t>
            </w:r>
          </w:p>
        </w:tc>
        <w:tc>
          <w:tcPr>
            <w:tcW w:w="1588" w:type="dxa"/>
            <w:tcBorders>
              <w:top w:val="nil"/>
              <w:left w:val="nil"/>
              <w:right w:val="nil"/>
            </w:tcBorders>
            <w:shd w:val="clear" w:color="auto" w:fill="auto"/>
            <w:noWrap/>
            <w:vAlign w:val="bottom"/>
            <w:hideMark/>
          </w:tcPr>
          <w:p w14:paraId="7F0BC7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Preop</w:t>
            </w:r>
          </w:p>
        </w:tc>
        <w:tc>
          <w:tcPr>
            <w:tcW w:w="1820" w:type="dxa"/>
            <w:tcBorders>
              <w:top w:val="nil"/>
              <w:left w:val="nil"/>
              <w:right w:val="nil"/>
            </w:tcBorders>
            <w:shd w:val="clear" w:color="auto" w:fill="auto"/>
            <w:noWrap/>
            <w:vAlign w:val="bottom"/>
            <w:hideMark/>
          </w:tcPr>
          <w:p w14:paraId="01F1470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Postop</w:t>
            </w:r>
          </w:p>
        </w:tc>
        <w:tc>
          <w:tcPr>
            <w:tcW w:w="1341" w:type="dxa"/>
            <w:tcBorders>
              <w:top w:val="nil"/>
              <w:left w:val="nil"/>
              <w:right w:val="nil"/>
            </w:tcBorders>
            <w:shd w:val="clear" w:color="auto" w:fill="auto"/>
            <w:noWrap/>
            <w:vAlign w:val="bottom"/>
            <w:hideMark/>
          </w:tcPr>
          <w:p w14:paraId="203F97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Preop</w:t>
            </w:r>
          </w:p>
        </w:tc>
        <w:tc>
          <w:tcPr>
            <w:tcW w:w="1413" w:type="dxa"/>
            <w:tcBorders>
              <w:top w:val="nil"/>
              <w:left w:val="nil"/>
              <w:right w:val="nil"/>
            </w:tcBorders>
            <w:shd w:val="clear" w:color="auto" w:fill="auto"/>
            <w:noWrap/>
            <w:vAlign w:val="bottom"/>
            <w:hideMark/>
          </w:tcPr>
          <w:p w14:paraId="42A640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Postop</w:t>
            </w:r>
          </w:p>
        </w:tc>
        <w:tc>
          <w:tcPr>
            <w:tcW w:w="1638" w:type="dxa"/>
            <w:tcBorders>
              <w:top w:val="nil"/>
              <w:left w:val="nil"/>
              <w:right w:val="nil"/>
            </w:tcBorders>
            <w:shd w:val="clear" w:color="auto" w:fill="auto"/>
            <w:noWrap/>
            <w:vAlign w:val="bottom"/>
            <w:hideMark/>
          </w:tcPr>
          <w:p w14:paraId="7F17F3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Survival</w:t>
            </w:r>
          </w:p>
        </w:tc>
        <w:tc>
          <w:tcPr>
            <w:tcW w:w="1363" w:type="dxa"/>
            <w:tcBorders>
              <w:top w:val="nil"/>
              <w:left w:val="nil"/>
              <w:right w:val="nil"/>
            </w:tcBorders>
            <w:shd w:val="clear" w:color="auto" w:fill="auto"/>
            <w:noWrap/>
            <w:vAlign w:val="bottom"/>
            <w:hideMark/>
          </w:tcPr>
          <w:p w14:paraId="54F629B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QoL</w:t>
            </w:r>
          </w:p>
        </w:tc>
        <w:tc>
          <w:tcPr>
            <w:tcW w:w="1437" w:type="dxa"/>
            <w:tcBorders>
              <w:top w:val="nil"/>
              <w:left w:val="nil"/>
              <w:right w:val="nil"/>
            </w:tcBorders>
            <w:shd w:val="clear" w:color="auto" w:fill="auto"/>
            <w:noWrap/>
            <w:vAlign w:val="bottom"/>
            <w:hideMark/>
          </w:tcPr>
          <w:p w14:paraId="02AAF7C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Treatment effect</w:t>
            </w:r>
          </w:p>
        </w:tc>
      </w:tr>
      <w:tr w:rsidR="00475A03" w:rsidRPr="00213F7D" w14:paraId="52AF15DB" w14:textId="77777777" w:rsidTr="008E764D">
        <w:trPr>
          <w:trHeight w:val="288"/>
        </w:trPr>
        <w:tc>
          <w:tcPr>
            <w:tcW w:w="2268" w:type="dxa"/>
            <w:tcBorders>
              <w:top w:val="nil"/>
              <w:left w:val="nil"/>
              <w:bottom w:val="single" w:sz="4" w:space="0" w:color="auto"/>
              <w:right w:val="nil"/>
            </w:tcBorders>
            <w:shd w:val="clear" w:color="auto" w:fill="auto"/>
            <w:noWrap/>
            <w:vAlign w:val="bottom"/>
            <w:hideMark/>
          </w:tcPr>
          <w:p w14:paraId="5C26857B"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n</w:t>
            </w:r>
          </w:p>
        </w:tc>
        <w:tc>
          <w:tcPr>
            <w:tcW w:w="1134" w:type="dxa"/>
            <w:tcBorders>
              <w:top w:val="nil"/>
              <w:left w:val="nil"/>
              <w:bottom w:val="single" w:sz="4" w:space="0" w:color="auto"/>
              <w:right w:val="nil"/>
            </w:tcBorders>
            <w:shd w:val="clear" w:color="auto" w:fill="auto"/>
            <w:noWrap/>
            <w:vAlign w:val="bottom"/>
            <w:hideMark/>
          </w:tcPr>
          <w:p w14:paraId="4CDBAFB3" w14:textId="6CF2C6B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588" w:type="dxa"/>
            <w:tcBorders>
              <w:top w:val="nil"/>
              <w:left w:val="nil"/>
              <w:bottom w:val="single" w:sz="4" w:space="0" w:color="auto"/>
              <w:right w:val="nil"/>
            </w:tcBorders>
            <w:shd w:val="clear" w:color="auto" w:fill="auto"/>
            <w:noWrap/>
            <w:vAlign w:val="bottom"/>
            <w:hideMark/>
          </w:tcPr>
          <w:p w14:paraId="22F05513" w14:textId="46DD66B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820" w:type="dxa"/>
            <w:tcBorders>
              <w:top w:val="nil"/>
              <w:left w:val="nil"/>
              <w:bottom w:val="single" w:sz="4" w:space="0" w:color="auto"/>
              <w:right w:val="nil"/>
            </w:tcBorders>
            <w:shd w:val="clear" w:color="auto" w:fill="auto"/>
            <w:noWrap/>
            <w:vAlign w:val="bottom"/>
            <w:hideMark/>
          </w:tcPr>
          <w:p w14:paraId="78FC74B8" w14:textId="3C0FB8C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341" w:type="dxa"/>
            <w:tcBorders>
              <w:top w:val="nil"/>
              <w:left w:val="nil"/>
              <w:bottom w:val="single" w:sz="4" w:space="0" w:color="auto"/>
              <w:right w:val="nil"/>
            </w:tcBorders>
            <w:shd w:val="clear" w:color="auto" w:fill="auto"/>
            <w:noWrap/>
            <w:vAlign w:val="bottom"/>
            <w:hideMark/>
          </w:tcPr>
          <w:p w14:paraId="0816A73D" w14:textId="7BB73D0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413" w:type="dxa"/>
            <w:tcBorders>
              <w:top w:val="nil"/>
              <w:left w:val="nil"/>
              <w:bottom w:val="single" w:sz="4" w:space="0" w:color="auto"/>
              <w:right w:val="nil"/>
            </w:tcBorders>
            <w:shd w:val="clear" w:color="auto" w:fill="auto"/>
            <w:noWrap/>
            <w:vAlign w:val="bottom"/>
            <w:hideMark/>
          </w:tcPr>
          <w:p w14:paraId="681A9451" w14:textId="62D10C0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638" w:type="dxa"/>
            <w:tcBorders>
              <w:top w:val="nil"/>
              <w:left w:val="nil"/>
              <w:bottom w:val="single" w:sz="4" w:space="0" w:color="auto"/>
              <w:right w:val="nil"/>
            </w:tcBorders>
            <w:shd w:val="clear" w:color="auto" w:fill="auto"/>
            <w:noWrap/>
            <w:vAlign w:val="bottom"/>
            <w:hideMark/>
          </w:tcPr>
          <w:p w14:paraId="5EB8DA5D" w14:textId="002820B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363" w:type="dxa"/>
            <w:tcBorders>
              <w:top w:val="nil"/>
              <w:left w:val="nil"/>
              <w:bottom w:val="single" w:sz="4" w:space="0" w:color="auto"/>
              <w:right w:val="nil"/>
            </w:tcBorders>
            <w:shd w:val="clear" w:color="auto" w:fill="auto"/>
            <w:noWrap/>
            <w:vAlign w:val="bottom"/>
            <w:hideMark/>
          </w:tcPr>
          <w:p w14:paraId="749E140C" w14:textId="323D190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6</w:t>
            </w:r>
          </w:p>
        </w:tc>
        <w:tc>
          <w:tcPr>
            <w:tcW w:w="1437" w:type="dxa"/>
            <w:tcBorders>
              <w:top w:val="nil"/>
              <w:left w:val="nil"/>
              <w:bottom w:val="single" w:sz="4" w:space="0" w:color="auto"/>
              <w:right w:val="nil"/>
            </w:tcBorders>
            <w:shd w:val="clear" w:color="auto" w:fill="auto"/>
            <w:noWrap/>
            <w:vAlign w:val="bottom"/>
            <w:hideMark/>
          </w:tcPr>
          <w:p w14:paraId="6F7410A2" w14:textId="1E8F440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23</w:t>
            </w:r>
          </w:p>
        </w:tc>
      </w:tr>
      <w:tr w:rsidR="00213F7D" w:rsidRPr="00213F7D" w14:paraId="1A613E7D" w14:textId="77777777" w:rsidTr="008E764D">
        <w:trPr>
          <w:trHeight w:val="288"/>
        </w:trPr>
        <w:tc>
          <w:tcPr>
            <w:tcW w:w="14002" w:type="dxa"/>
            <w:gridSpan w:val="9"/>
            <w:tcBorders>
              <w:top w:val="single" w:sz="4" w:space="0" w:color="auto"/>
              <w:left w:val="nil"/>
              <w:bottom w:val="nil"/>
              <w:right w:val="nil"/>
            </w:tcBorders>
            <w:shd w:val="clear" w:color="auto" w:fill="auto"/>
            <w:noWrap/>
            <w:vAlign w:val="bottom"/>
            <w:hideMark/>
          </w:tcPr>
          <w:p w14:paraId="21E647E7" w14:textId="56E5059A"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Type of evidence</w:t>
            </w:r>
            <w:r w:rsidR="00213F7D" w:rsidRPr="00213F7D">
              <w:rPr>
                <w:rFonts w:ascii="Calibri" w:hAnsi="Calibri" w:cs="Calibri"/>
                <w:color w:val="000000"/>
                <w:sz w:val="22"/>
                <w:szCs w:val="22"/>
                <w:lang w:val="en-GB" w:eastAsia="en-GB"/>
              </w:rPr>
              <w:t>(%)</w:t>
            </w:r>
          </w:p>
        </w:tc>
      </w:tr>
      <w:tr w:rsidR="00475A03" w:rsidRPr="00213F7D" w14:paraId="17A7010F" w14:textId="77777777" w:rsidTr="008E764D">
        <w:trPr>
          <w:trHeight w:val="288"/>
        </w:trPr>
        <w:tc>
          <w:tcPr>
            <w:tcW w:w="2268" w:type="dxa"/>
            <w:tcBorders>
              <w:top w:val="nil"/>
              <w:left w:val="nil"/>
              <w:bottom w:val="nil"/>
              <w:right w:val="nil"/>
            </w:tcBorders>
            <w:shd w:val="clear" w:color="auto" w:fill="auto"/>
            <w:noWrap/>
            <w:vAlign w:val="bottom"/>
            <w:hideMark/>
          </w:tcPr>
          <w:p w14:paraId="1FA70586"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Before-after study</w:t>
            </w:r>
          </w:p>
        </w:tc>
        <w:tc>
          <w:tcPr>
            <w:tcW w:w="1134" w:type="dxa"/>
            <w:tcBorders>
              <w:top w:val="nil"/>
              <w:left w:val="nil"/>
              <w:bottom w:val="nil"/>
              <w:right w:val="nil"/>
            </w:tcBorders>
            <w:shd w:val="clear" w:color="auto" w:fill="auto"/>
            <w:noWrap/>
            <w:vAlign w:val="bottom"/>
            <w:hideMark/>
          </w:tcPr>
          <w:p w14:paraId="658B9D6D" w14:textId="66988A1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38233DD5" w14:textId="2C5478E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3B07E90C" w14:textId="366777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98454F1" w14:textId="1027262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24BB6464" w14:textId="1550EAB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440704B4" w14:textId="1D834B4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C4C45F4" w14:textId="714DFEA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7524964D" w14:textId="4C57092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2135DCCF" w14:textId="77777777" w:rsidTr="008E764D">
        <w:trPr>
          <w:trHeight w:val="288"/>
        </w:trPr>
        <w:tc>
          <w:tcPr>
            <w:tcW w:w="2268" w:type="dxa"/>
            <w:tcBorders>
              <w:top w:val="nil"/>
              <w:left w:val="nil"/>
              <w:bottom w:val="nil"/>
              <w:right w:val="nil"/>
            </w:tcBorders>
            <w:shd w:val="clear" w:color="auto" w:fill="auto"/>
            <w:noWrap/>
            <w:vAlign w:val="bottom"/>
            <w:hideMark/>
          </w:tcPr>
          <w:p w14:paraId="7CE0644D"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opinion</w:t>
            </w:r>
          </w:p>
        </w:tc>
        <w:tc>
          <w:tcPr>
            <w:tcW w:w="1134" w:type="dxa"/>
            <w:tcBorders>
              <w:top w:val="nil"/>
              <w:left w:val="nil"/>
              <w:bottom w:val="nil"/>
              <w:right w:val="nil"/>
            </w:tcBorders>
            <w:shd w:val="clear" w:color="auto" w:fill="auto"/>
            <w:noWrap/>
            <w:vAlign w:val="bottom"/>
            <w:hideMark/>
          </w:tcPr>
          <w:p w14:paraId="4774E598" w14:textId="27DE72D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6A98C95D" w14:textId="105B706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820" w:type="dxa"/>
            <w:tcBorders>
              <w:top w:val="nil"/>
              <w:left w:val="nil"/>
              <w:bottom w:val="nil"/>
              <w:right w:val="nil"/>
            </w:tcBorders>
            <w:shd w:val="clear" w:color="auto" w:fill="auto"/>
            <w:noWrap/>
            <w:vAlign w:val="bottom"/>
            <w:hideMark/>
          </w:tcPr>
          <w:p w14:paraId="0271EA20" w14:textId="05204FB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72F9255" w14:textId="5354493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270DB660" w14:textId="5A17406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8 (18.6) </w:t>
            </w:r>
          </w:p>
        </w:tc>
        <w:tc>
          <w:tcPr>
            <w:tcW w:w="1638" w:type="dxa"/>
            <w:tcBorders>
              <w:top w:val="nil"/>
              <w:left w:val="nil"/>
              <w:bottom w:val="nil"/>
              <w:right w:val="nil"/>
            </w:tcBorders>
            <w:shd w:val="clear" w:color="auto" w:fill="auto"/>
            <w:noWrap/>
            <w:vAlign w:val="bottom"/>
            <w:hideMark/>
          </w:tcPr>
          <w:p w14:paraId="541A5624" w14:textId="2ADCEBF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363" w:type="dxa"/>
            <w:tcBorders>
              <w:top w:val="nil"/>
              <w:left w:val="nil"/>
              <w:bottom w:val="nil"/>
              <w:right w:val="nil"/>
            </w:tcBorders>
            <w:shd w:val="clear" w:color="auto" w:fill="auto"/>
            <w:noWrap/>
            <w:vAlign w:val="bottom"/>
            <w:hideMark/>
          </w:tcPr>
          <w:p w14:paraId="1167980B" w14:textId="5E1754B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437" w:type="dxa"/>
            <w:tcBorders>
              <w:top w:val="nil"/>
              <w:left w:val="nil"/>
              <w:bottom w:val="nil"/>
              <w:right w:val="nil"/>
            </w:tcBorders>
            <w:shd w:val="clear" w:color="auto" w:fill="auto"/>
            <w:noWrap/>
            <w:vAlign w:val="bottom"/>
            <w:hideMark/>
          </w:tcPr>
          <w:p w14:paraId="4E40A63A" w14:textId="29F7644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r>
      <w:tr w:rsidR="00475A03" w:rsidRPr="00213F7D" w14:paraId="37636509" w14:textId="77777777" w:rsidTr="008E764D">
        <w:trPr>
          <w:trHeight w:val="288"/>
        </w:trPr>
        <w:tc>
          <w:tcPr>
            <w:tcW w:w="2268" w:type="dxa"/>
            <w:tcBorders>
              <w:top w:val="nil"/>
              <w:left w:val="nil"/>
              <w:bottom w:val="nil"/>
              <w:right w:val="nil"/>
            </w:tcBorders>
            <w:shd w:val="clear" w:color="auto" w:fill="auto"/>
            <w:noWrap/>
            <w:vAlign w:val="bottom"/>
            <w:hideMark/>
          </w:tcPr>
          <w:p w14:paraId="2A64AD98"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w:t>
            </w:r>
          </w:p>
        </w:tc>
        <w:tc>
          <w:tcPr>
            <w:tcW w:w="1134" w:type="dxa"/>
            <w:tcBorders>
              <w:top w:val="nil"/>
              <w:left w:val="nil"/>
              <w:bottom w:val="nil"/>
              <w:right w:val="nil"/>
            </w:tcBorders>
            <w:shd w:val="clear" w:color="auto" w:fill="auto"/>
            <w:noWrap/>
            <w:vAlign w:val="bottom"/>
            <w:hideMark/>
          </w:tcPr>
          <w:p w14:paraId="73646320" w14:textId="1A46556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6D3BCAB1" w14:textId="37C819A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29DBE31C" w14:textId="283F559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29 ( 67.4) </w:t>
            </w:r>
          </w:p>
        </w:tc>
        <w:tc>
          <w:tcPr>
            <w:tcW w:w="1341" w:type="dxa"/>
            <w:tcBorders>
              <w:top w:val="nil"/>
              <w:left w:val="nil"/>
              <w:bottom w:val="nil"/>
              <w:right w:val="nil"/>
            </w:tcBorders>
            <w:shd w:val="clear" w:color="auto" w:fill="auto"/>
            <w:noWrap/>
            <w:vAlign w:val="bottom"/>
            <w:hideMark/>
          </w:tcPr>
          <w:p w14:paraId="73A477EB" w14:textId="1F7FB55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29 ( 67.4) </w:t>
            </w:r>
          </w:p>
        </w:tc>
        <w:tc>
          <w:tcPr>
            <w:tcW w:w="1413" w:type="dxa"/>
            <w:tcBorders>
              <w:top w:val="nil"/>
              <w:left w:val="nil"/>
              <w:bottom w:val="nil"/>
              <w:right w:val="nil"/>
            </w:tcBorders>
            <w:shd w:val="clear" w:color="auto" w:fill="auto"/>
            <w:noWrap/>
            <w:vAlign w:val="bottom"/>
            <w:hideMark/>
          </w:tcPr>
          <w:p w14:paraId="07996EE8" w14:textId="4A48716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24406990" w14:textId="7519CF6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61E8464" w14:textId="0538B1E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6BC9CA51" w14:textId="6EA2D64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74C4090B" w14:textId="77777777" w:rsidTr="008E764D">
        <w:trPr>
          <w:trHeight w:val="288"/>
        </w:trPr>
        <w:tc>
          <w:tcPr>
            <w:tcW w:w="2268" w:type="dxa"/>
            <w:tcBorders>
              <w:top w:val="nil"/>
              <w:left w:val="nil"/>
              <w:bottom w:val="nil"/>
              <w:right w:val="nil"/>
            </w:tcBorders>
            <w:shd w:val="clear" w:color="auto" w:fill="auto"/>
            <w:noWrap/>
            <w:vAlign w:val="bottom"/>
            <w:hideMark/>
          </w:tcPr>
          <w:p w14:paraId="7B27DB6A"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 (WHO)</w:t>
            </w:r>
          </w:p>
        </w:tc>
        <w:tc>
          <w:tcPr>
            <w:tcW w:w="1134" w:type="dxa"/>
            <w:tcBorders>
              <w:top w:val="nil"/>
              <w:left w:val="nil"/>
              <w:bottom w:val="nil"/>
              <w:right w:val="nil"/>
            </w:tcBorders>
            <w:shd w:val="clear" w:color="auto" w:fill="auto"/>
            <w:noWrap/>
            <w:vAlign w:val="bottom"/>
            <w:hideMark/>
          </w:tcPr>
          <w:p w14:paraId="431966D8" w14:textId="73FD0DB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408B57B1" w14:textId="41C2B06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3CAFF85E" w14:textId="51AC90E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14 ( 32.6) </w:t>
            </w:r>
          </w:p>
        </w:tc>
        <w:tc>
          <w:tcPr>
            <w:tcW w:w="1341" w:type="dxa"/>
            <w:tcBorders>
              <w:top w:val="nil"/>
              <w:left w:val="nil"/>
              <w:bottom w:val="nil"/>
              <w:right w:val="nil"/>
            </w:tcBorders>
            <w:shd w:val="clear" w:color="auto" w:fill="auto"/>
            <w:noWrap/>
            <w:vAlign w:val="bottom"/>
            <w:hideMark/>
          </w:tcPr>
          <w:p w14:paraId="45D80A89" w14:textId="24E12DD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14 ( 32.6) </w:t>
            </w:r>
          </w:p>
        </w:tc>
        <w:tc>
          <w:tcPr>
            <w:tcW w:w="1413" w:type="dxa"/>
            <w:tcBorders>
              <w:top w:val="nil"/>
              <w:left w:val="nil"/>
              <w:bottom w:val="nil"/>
              <w:right w:val="nil"/>
            </w:tcBorders>
            <w:shd w:val="clear" w:color="auto" w:fill="auto"/>
            <w:noWrap/>
            <w:vAlign w:val="bottom"/>
            <w:hideMark/>
          </w:tcPr>
          <w:p w14:paraId="0C190230" w14:textId="1DFA12C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3675ABCD" w14:textId="06B40C5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B4CB26F" w14:textId="5621AD9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286639CC" w14:textId="463D5FC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71047457" w14:textId="77777777" w:rsidTr="008E764D">
        <w:trPr>
          <w:trHeight w:val="288"/>
        </w:trPr>
        <w:tc>
          <w:tcPr>
            <w:tcW w:w="2268" w:type="dxa"/>
            <w:tcBorders>
              <w:top w:val="nil"/>
              <w:left w:val="nil"/>
              <w:bottom w:val="nil"/>
              <w:right w:val="nil"/>
            </w:tcBorders>
            <w:shd w:val="clear" w:color="auto" w:fill="auto"/>
            <w:noWrap/>
            <w:vAlign w:val="bottom"/>
            <w:hideMark/>
          </w:tcPr>
          <w:p w14:paraId="1F9BE535"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National registry</w:t>
            </w:r>
          </w:p>
        </w:tc>
        <w:tc>
          <w:tcPr>
            <w:tcW w:w="1134" w:type="dxa"/>
            <w:tcBorders>
              <w:top w:val="nil"/>
              <w:left w:val="nil"/>
              <w:bottom w:val="nil"/>
              <w:right w:val="nil"/>
            </w:tcBorders>
            <w:shd w:val="clear" w:color="auto" w:fill="auto"/>
            <w:noWrap/>
            <w:vAlign w:val="bottom"/>
            <w:hideMark/>
          </w:tcPr>
          <w:p w14:paraId="3AB4DF9F" w14:textId="21F6F78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(47.7) </w:t>
            </w:r>
          </w:p>
        </w:tc>
        <w:tc>
          <w:tcPr>
            <w:tcW w:w="1588" w:type="dxa"/>
            <w:tcBorders>
              <w:top w:val="nil"/>
              <w:left w:val="nil"/>
              <w:bottom w:val="nil"/>
              <w:right w:val="nil"/>
            </w:tcBorders>
            <w:shd w:val="clear" w:color="auto" w:fill="auto"/>
            <w:noWrap/>
            <w:vAlign w:val="bottom"/>
            <w:hideMark/>
          </w:tcPr>
          <w:p w14:paraId="47F3A789" w14:textId="39CB526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(48.8) </w:t>
            </w:r>
          </w:p>
        </w:tc>
        <w:tc>
          <w:tcPr>
            <w:tcW w:w="1820" w:type="dxa"/>
            <w:tcBorders>
              <w:top w:val="nil"/>
              <w:left w:val="nil"/>
              <w:bottom w:val="nil"/>
              <w:right w:val="nil"/>
            </w:tcBorders>
            <w:shd w:val="clear" w:color="auto" w:fill="auto"/>
            <w:noWrap/>
            <w:vAlign w:val="bottom"/>
            <w:hideMark/>
          </w:tcPr>
          <w:p w14:paraId="696F0543" w14:textId="7497071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329DB04" w14:textId="142EA7D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57C41612" w14:textId="0DA9459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12 (27.9) </w:t>
            </w:r>
          </w:p>
        </w:tc>
        <w:tc>
          <w:tcPr>
            <w:tcW w:w="1638" w:type="dxa"/>
            <w:tcBorders>
              <w:top w:val="nil"/>
              <w:left w:val="nil"/>
              <w:bottom w:val="nil"/>
              <w:right w:val="nil"/>
            </w:tcBorders>
            <w:shd w:val="clear" w:color="auto" w:fill="auto"/>
            <w:noWrap/>
            <w:vAlign w:val="bottom"/>
            <w:hideMark/>
          </w:tcPr>
          <w:p w14:paraId="188FA6C7" w14:textId="6F93460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(72.1) </w:t>
            </w:r>
          </w:p>
        </w:tc>
        <w:tc>
          <w:tcPr>
            <w:tcW w:w="1363" w:type="dxa"/>
            <w:tcBorders>
              <w:top w:val="nil"/>
              <w:left w:val="nil"/>
              <w:bottom w:val="nil"/>
              <w:right w:val="nil"/>
            </w:tcBorders>
            <w:shd w:val="clear" w:color="auto" w:fill="auto"/>
            <w:noWrap/>
            <w:vAlign w:val="bottom"/>
            <w:hideMark/>
          </w:tcPr>
          <w:p w14:paraId="59FDEBE5" w14:textId="229B7EF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7D4F9498" w14:textId="3E884A8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9 (39.1) </w:t>
            </w:r>
          </w:p>
        </w:tc>
      </w:tr>
      <w:tr w:rsidR="00475A03" w:rsidRPr="00213F7D" w14:paraId="19BBAA76" w14:textId="77777777" w:rsidTr="008E764D">
        <w:trPr>
          <w:trHeight w:val="288"/>
        </w:trPr>
        <w:tc>
          <w:tcPr>
            <w:tcW w:w="2268" w:type="dxa"/>
            <w:tcBorders>
              <w:top w:val="nil"/>
              <w:left w:val="nil"/>
              <w:bottom w:val="nil"/>
              <w:right w:val="nil"/>
            </w:tcBorders>
            <w:shd w:val="clear" w:color="auto" w:fill="auto"/>
            <w:noWrap/>
            <w:vAlign w:val="bottom"/>
            <w:hideMark/>
          </w:tcPr>
          <w:p w14:paraId="52F027D0"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prospective</w:t>
            </w:r>
          </w:p>
        </w:tc>
        <w:tc>
          <w:tcPr>
            <w:tcW w:w="1134" w:type="dxa"/>
            <w:tcBorders>
              <w:top w:val="nil"/>
              <w:left w:val="nil"/>
              <w:bottom w:val="nil"/>
              <w:right w:val="nil"/>
            </w:tcBorders>
            <w:shd w:val="clear" w:color="auto" w:fill="auto"/>
            <w:noWrap/>
            <w:vAlign w:val="bottom"/>
            <w:hideMark/>
          </w:tcPr>
          <w:p w14:paraId="62343A4A" w14:textId="7F30F12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08AD2006" w14:textId="3603D44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74B2324F" w14:textId="004FA26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410060" w14:textId="0876F02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1FB8507F" w14:textId="44197D3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638" w:type="dxa"/>
            <w:tcBorders>
              <w:top w:val="nil"/>
              <w:left w:val="nil"/>
              <w:bottom w:val="nil"/>
              <w:right w:val="nil"/>
            </w:tcBorders>
            <w:shd w:val="clear" w:color="auto" w:fill="auto"/>
            <w:noWrap/>
            <w:vAlign w:val="bottom"/>
            <w:hideMark/>
          </w:tcPr>
          <w:p w14:paraId="7CF4E815" w14:textId="36E99CD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5A786690" w14:textId="1BBAC5A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580382BE" w14:textId="44704FB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r>
      <w:tr w:rsidR="00475A03" w:rsidRPr="00213F7D" w14:paraId="0BBDEDA7" w14:textId="77777777" w:rsidTr="008E764D">
        <w:trPr>
          <w:trHeight w:val="288"/>
        </w:trPr>
        <w:tc>
          <w:tcPr>
            <w:tcW w:w="2268" w:type="dxa"/>
            <w:tcBorders>
              <w:top w:val="nil"/>
              <w:left w:val="nil"/>
              <w:bottom w:val="nil"/>
              <w:right w:val="nil"/>
            </w:tcBorders>
            <w:shd w:val="clear" w:color="auto" w:fill="auto"/>
            <w:noWrap/>
            <w:vAlign w:val="bottom"/>
            <w:hideMark/>
          </w:tcPr>
          <w:p w14:paraId="4F8738DF"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retrospective</w:t>
            </w:r>
          </w:p>
        </w:tc>
        <w:tc>
          <w:tcPr>
            <w:tcW w:w="1134" w:type="dxa"/>
            <w:tcBorders>
              <w:top w:val="nil"/>
              <w:left w:val="nil"/>
              <w:bottom w:val="nil"/>
              <w:right w:val="nil"/>
            </w:tcBorders>
            <w:shd w:val="clear" w:color="auto" w:fill="auto"/>
            <w:noWrap/>
            <w:vAlign w:val="bottom"/>
            <w:hideMark/>
          </w:tcPr>
          <w:p w14:paraId="119DB235" w14:textId="5946550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(22.7) </w:t>
            </w:r>
          </w:p>
        </w:tc>
        <w:tc>
          <w:tcPr>
            <w:tcW w:w="1588" w:type="dxa"/>
            <w:tcBorders>
              <w:top w:val="nil"/>
              <w:left w:val="nil"/>
              <w:bottom w:val="nil"/>
              <w:right w:val="nil"/>
            </w:tcBorders>
            <w:shd w:val="clear" w:color="auto" w:fill="auto"/>
            <w:noWrap/>
            <w:vAlign w:val="bottom"/>
            <w:hideMark/>
          </w:tcPr>
          <w:p w14:paraId="69CA6402" w14:textId="14F1399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820" w:type="dxa"/>
            <w:tcBorders>
              <w:top w:val="nil"/>
              <w:left w:val="nil"/>
              <w:bottom w:val="nil"/>
              <w:right w:val="nil"/>
            </w:tcBorders>
            <w:shd w:val="clear" w:color="auto" w:fill="auto"/>
            <w:noWrap/>
            <w:vAlign w:val="bottom"/>
            <w:hideMark/>
          </w:tcPr>
          <w:p w14:paraId="146B88E1" w14:textId="68EA148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C6EE5A5" w14:textId="14472CF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456CD6D7" w14:textId="0683935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9 (20.9) </w:t>
            </w:r>
          </w:p>
        </w:tc>
        <w:tc>
          <w:tcPr>
            <w:tcW w:w="1638" w:type="dxa"/>
            <w:tcBorders>
              <w:top w:val="nil"/>
              <w:left w:val="nil"/>
              <w:bottom w:val="nil"/>
              <w:right w:val="nil"/>
            </w:tcBorders>
            <w:shd w:val="clear" w:color="auto" w:fill="auto"/>
            <w:noWrap/>
            <w:vAlign w:val="bottom"/>
            <w:hideMark/>
          </w:tcPr>
          <w:p w14:paraId="7B7ABF28" w14:textId="31F41AD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363" w:type="dxa"/>
            <w:tcBorders>
              <w:top w:val="nil"/>
              <w:left w:val="nil"/>
              <w:bottom w:val="nil"/>
              <w:right w:val="nil"/>
            </w:tcBorders>
            <w:shd w:val="clear" w:color="auto" w:fill="auto"/>
            <w:noWrap/>
            <w:vAlign w:val="bottom"/>
            <w:hideMark/>
          </w:tcPr>
          <w:p w14:paraId="2F04658E" w14:textId="637FCB2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56B8D486" w14:textId="4CE559D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7 (30.4) </w:t>
            </w:r>
          </w:p>
        </w:tc>
      </w:tr>
      <w:tr w:rsidR="00475A03" w:rsidRPr="00213F7D" w14:paraId="229B9090" w14:textId="77777777" w:rsidTr="008E764D">
        <w:trPr>
          <w:trHeight w:val="288"/>
        </w:trPr>
        <w:tc>
          <w:tcPr>
            <w:tcW w:w="2268" w:type="dxa"/>
            <w:tcBorders>
              <w:top w:val="nil"/>
              <w:left w:val="nil"/>
              <w:bottom w:val="nil"/>
              <w:right w:val="nil"/>
            </w:tcBorders>
            <w:shd w:val="clear" w:color="auto" w:fill="auto"/>
            <w:noWrap/>
            <w:vAlign w:val="bottom"/>
            <w:hideMark/>
          </w:tcPr>
          <w:p w14:paraId="1052D266"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RCT</w:t>
            </w:r>
          </w:p>
        </w:tc>
        <w:tc>
          <w:tcPr>
            <w:tcW w:w="1134" w:type="dxa"/>
            <w:tcBorders>
              <w:top w:val="nil"/>
              <w:left w:val="nil"/>
              <w:bottom w:val="nil"/>
              <w:right w:val="nil"/>
            </w:tcBorders>
            <w:shd w:val="clear" w:color="auto" w:fill="auto"/>
            <w:noWrap/>
            <w:vAlign w:val="bottom"/>
            <w:hideMark/>
          </w:tcPr>
          <w:p w14:paraId="545E4568" w14:textId="66FCF18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3F998305" w14:textId="2F6BDA9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7F44214B" w14:textId="4937EB0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BE2936" w14:textId="307DCBB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613FFD44" w14:textId="018D2DA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638" w:type="dxa"/>
            <w:tcBorders>
              <w:top w:val="nil"/>
              <w:left w:val="nil"/>
              <w:bottom w:val="nil"/>
              <w:right w:val="nil"/>
            </w:tcBorders>
            <w:shd w:val="clear" w:color="auto" w:fill="auto"/>
            <w:noWrap/>
            <w:vAlign w:val="bottom"/>
            <w:hideMark/>
          </w:tcPr>
          <w:p w14:paraId="6EE41542" w14:textId="7D89C31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3F1072F9" w14:textId="1C708D9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437" w:type="dxa"/>
            <w:tcBorders>
              <w:top w:val="nil"/>
              <w:left w:val="nil"/>
              <w:bottom w:val="nil"/>
              <w:right w:val="nil"/>
            </w:tcBorders>
            <w:shd w:val="clear" w:color="auto" w:fill="auto"/>
            <w:noWrap/>
            <w:vAlign w:val="bottom"/>
            <w:hideMark/>
          </w:tcPr>
          <w:p w14:paraId="751786CE" w14:textId="3D7B34F0"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213F7D" w:rsidRPr="00213F7D" w14:paraId="047FDC55" w14:textId="77777777" w:rsidTr="00213F7D">
        <w:trPr>
          <w:trHeight w:val="288"/>
        </w:trPr>
        <w:tc>
          <w:tcPr>
            <w:tcW w:w="14002" w:type="dxa"/>
            <w:gridSpan w:val="9"/>
            <w:tcBorders>
              <w:top w:val="nil"/>
              <w:left w:val="nil"/>
              <w:bottom w:val="nil"/>
              <w:right w:val="nil"/>
            </w:tcBorders>
            <w:shd w:val="clear" w:color="auto" w:fill="auto"/>
            <w:noWrap/>
            <w:vAlign w:val="bottom"/>
            <w:hideMark/>
          </w:tcPr>
          <w:p w14:paraId="4505A460" w14:textId="480C938E"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Class of evidence </w:t>
            </w:r>
            <w:r w:rsidR="00213F7D" w:rsidRPr="00213F7D">
              <w:rPr>
                <w:rFonts w:ascii="Calibri" w:hAnsi="Calibri" w:cs="Calibri"/>
                <w:color w:val="000000"/>
                <w:sz w:val="22"/>
                <w:szCs w:val="22"/>
                <w:lang w:val="en-GB" w:eastAsia="en-GB"/>
              </w:rPr>
              <w:t>(%)</w:t>
            </w:r>
          </w:p>
        </w:tc>
      </w:tr>
      <w:tr w:rsidR="00475A03" w:rsidRPr="00213F7D" w14:paraId="01EC7EDA" w14:textId="77777777" w:rsidTr="008E764D">
        <w:trPr>
          <w:trHeight w:val="288"/>
        </w:trPr>
        <w:tc>
          <w:tcPr>
            <w:tcW w:w="2268" w:type="dxa"/>
            <w:tcBorders>
              <w:top w:val="nil"/>
              <w:left w:val="nil"/>
              <w:bottom w:val="nil"/>
              <w:right w:val="nil"/>
            </w:tcBorders>
            <w:shd w:val="clear" w:color="auto" w:fill="auto"/>
            <w:noWrap/>
            <w:vAlign w:val="bottom"/>
            <w:hideMark/>
          </w:tcPr>
          <w:p w14:paraId="38345A1C"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w:t>
            </w:r>
          </w:p>
        </w:tc>
        <w:tc>
          <w:tcPr>
            <w:tcW w:w="1134" w:type="dxa"/>
            <w:tcBorders>
              <w:top w:val="nil"/>
              <w:left w:val="nil"/>
              <w:bottom w:val="nil"/>
              <w:right w:val="nil"/>
            </w:tcBorders>
            <w:shd w:val="clear" w:color="auto" w:fill="auto"/>
            <w:noWrap/>
            <w:vAlign w:val="bottom"/>
            <w:hideMark/>
          </w:tcPr>
          <w:p w14:paraId="4B71A49C" w14:textId="63A24A5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61C4D69A" w14:textId="78DD83E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5769BB4B" w14:textId="57AC12F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0E4314ED" w14:textId="5DA3F52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3E86720F" w14:textId="342B317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638" w:type="dxa"/>
            <w:tcBorders>
              <w:top w:val="nil"/>
              <w:left w:val="nil"/>
              <w:bottom w:val="nil"/>
              <w:right w:val="nil"/>
            </w:tcBorders>
            <w:shd w:val="clear" w:color="auto" w:fill="auto"/>
            <w:noWrap/>
            <w:vAlign w:val="bottom"/>
            <w:hideMark/>
          </w:tcPr>
          <w:p w14:paraId="46D27880" w14:textId="600B118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1365922E" w14:textId="30492CE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437" w:type="dxa"/>
            <w:tcBorders>
              <w:top w:val="nil"/>
              <w:left w:val="nil"/>
              <w:bottom w:val="nil"/>
              <w:right w:val="nil"/>
            </w:tcBorders>
            <w:shd w:val="clear" w:color="auto" w:fill="auto"/>
            <w:noWrap/>
            <w:vAlign w:val="bottom"/>
            <w:hideMark/>
          </w:tcPr>
          <w:p w14:paraId="3AA5B3B8" w14:textId="6DBC4FA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3607E7CB" w14:textId="77777777" w:rsidTr="008E764D">
        <w:trPr>
          <w:trHeight w:val="288"/>
        </w:trPr>
        <w:tc>
          <w:tcPr>
            <w:tcW w:w="2268" w:type="dxa"/>
            <w:tcBorders>
              <w:top w:val="nil"/>
              <w:left w:val="nil"/>
              <w:bottom w:val="nil"/>
              <w:right w:val="nil"/>
            </w:tcBorders>
            <w:shd w:val="clear" w:color="auto" w:fill="auto"/>
            <w:noWrap/>
            <w:vAlign w:val="bottom"/>
            <w:hideMark/>
          </w:tcPr>
          <w:p w14:paraId="68CB1EF9"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IIa</w:t>
            </w:r>
          </w:p>
        </w:tc>
        <w:tc>
          <w:tcPr>
            <w:tcW w:w="1134" w:type="dxa"/>
            <w:tcBorders>
              <w:top w:val="nil"/>
              <w:left w:val="nil"/>
              <w:bottom w:val="nil"/>
              <w:right w:val="nil"/>
            </w:tcBorders>
            <w:shd w:val="clear" w:color="auto" w:fill="auto"/>
            <w:noWrap/>
            <w:vAlign w:val="bottom"/>
            <w:hideMark/>
          </w:tcPr>
          <w:p w14:paraId="537035FD" w14:textId="1584AE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12D3FB3D" w14:textId="1B8E0A9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6959FBD8" w14:textId="3889143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C1F7F83" w14:textId="07F4821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1F6B899A" w14:textId="475A0D3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638" w:type="dxa"/>
            <w:tcBorders>
              <w:top w:val="nil"/>
              <w:left w:val="nil"/>
              <w:bottom w:val="nil"/>
              <w:right w:val="nil"/>
            </w:tcBorders>
            <w:shd w:val="clear" w:color="auto" w:fill="auto"/>
            <w:noWrap/>
            <w:vAlign w:val="bottom"/>
            <w:hideMark/>
          </w:tcPr>
          <w:p w14:paraId="7B8A9795" w14:textId="55DAF53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0EE629A4" w14:textId="57CF820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2ED82B75" w14:textId="2061763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r>
      <w:tr w:rsidR="00475A03" w:rsidRPr="00213F7D" w14:paraId="5F87D3E5" w14:textId="77777777" w:rsidTr="008E764D">
        <w:trPr>
          <w:trHeight w:val="288"/>
        </w:trPr>
        <w:tc>
          <w:tcPr>
            <w:tcW w:w="2268" w:type="dxa"/>
            <w:tcBorders>
              <w:top w:val="nil"/>
              <w:left w:val="nil"/>
              <w:bottom w:val="nil"/>
              <w:right w:val="nil"/>
            </w:tcBorders>
            <w:shd w:val="clear" w:color="auto" w:fill="auto"/>
            <w:noWrap/>
            <w:vAlign w:val="bottom"/>
            <w:hideMark/>
          </w:tcPr>
          <w:p w14:paraId="68542ABD"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IIb</w:t>
            </w:r>
          </w:p>
        </w:tc>
        <w:tc>
          <w:tcPr>
            <w:tcW w:w="1134" w:type="dxa"/>
            <w:tcBorders>
              <w:top w:val="nil"/>
              <w:left w:val="nil"/>
              <w:bottom w:val="nil"/>
              <w:right w:val="nil"/>
            </w:tcBorders>
            <w:shd w:val="clear" w:color="auto" w:fill="auto"/>
            <w:noWrap/>
            <w:vAlign w:val="bottom"/>
            <w:hideMark/>
          </w:tcPr>
          <w:p w14:paraId="7FF8863F" w14:textId="3BF6F9B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(70.5) </w:t>
            </w:r>
          </w:p>
        </w:tc>
        <w:tc>
          <w:tcPr>
            <w:tcW w:w="1588" w:type="dxa"/>
            <w:tcBorders>
              <w:top w:val="nil"/>
              <w:left w:val="nil"/>
              <w:bottom w:val="nil"/>
              <w:right w:val="nil"/>
            </w:tcBorders>
            <w:shd w:val="clear" w:color="auto" w:fill="auto"/>
            <w:noWrap/>
            <w:vAlign w:val="bottom"/>
            <w:hideMark/>
          </w:tcPr>
          <w:p w14:paraId="7C432D2C" w14:textId="0BA1ACA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(72.1) </w:t>
            </w:r>
          </w:p>
        </w:tc>
        <w:tc>
          <w:tcPr>
            <w:tcW w:w="1820" w:type="dxa"/>
            <w:tcBorders>
              <w:top w:val="nil"/>
              <w:left w:val="nil"/>
              <w:bottom w:val="nil"/>
              <w:right w:val="nil"/>
            </w:tcBorders>
            <w:shd w:val="clear" w:color="auto" w:fill="auto"/>
            <w:noWrap/>
            <w:vAlign w:val="bottom"/>
            <w:hideMark/>
          </w:tcPr>
          <w:p w14:paraId="3828EECA" w14:textId="7D3390E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43 (100.0) </w:t>
            </w:r>
          </w:p>
        </w:tc>
        <w:tc>
          <w:tcPr>
            <w:tcW w:w="1341" w:type="dxa"/>
            <w:tcBorders>
              <w:top w:val="nil"/>
              <w:left w:val="nil"/>
              <w:bottom w:val="nil"/>
              <w:right w:val="nil"/>
            </w:tcBorders>
            <w:shd w:val="clear" w:color="auto" w:fill="auto"/>
            <w:noWrap/>
            <w:vAlign w:val="bottom"/>
            <w:hideMark/>
          </w:tcPr>
          <w:p w14:paraId="155D9453" w14:textId="4071A5F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43 (100.0) </w:t>
            </w:r>
          </w:p>
        </w:tc>
        <w:tc>
          <w:tcPr>
            <w:tcW w:w="1413" w:type="dxa"/>
            <w:tcBorders>
              <w:top w:val="nil"/>
              <w:left w:val="nil"/>
              <w:bottom w:val="nil"/>
              <w:right w:val="nil"/>
            </w:tcBorders>
            <w:shd w:val="clear" w:color="auto" w:fill="auto"/>
            <w:noWrap/>
            <w:vAlign w:val="bottom"/>
            <w:hideMark/>
          </w:tcPr>
          <w:p w14:paraId="420FFEEE" w14:textId="101959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(48.8) </w:t>
            </w:r>
          </w:p>
        </w:tc>
        <w:tc>
          <w:tcPr>
            <w:tcW w:w="1638" w:type="dxa"/>
            <w:tcBorders>
              <w:top w:val="nil"/>
              <w:left w:val="nil"/>
              <w:bottom w:val="nil"/>
              <w:right w:val="nil"/>
            </w:tcBorders>
            <w:shd w:val="clear" w:color="auto" w:fill="auto"/>
            <w:noWrap/>
            <w:vAlign w:val="bottom"/>
            <w:hideMark/>
          </w:tcPr>
          <w:p w14:paraId="7AB3D4F0" w14:textId="679B897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35 (81.4) </w:t>
            </w:r>
          </w:p>
        </w:tc>
        <w:tc>
          <w:tcPr>
            <w:tcW w:w="1363" w:type="dxa"/>
            <w:tcBorders>
              <w:top w:val="nil"/>
              <w:left w:val="nil"/>
              <w:bottom w:val="nil"/>
              <w:right w:val="nil"/>
            </w:tcBorders>
            <w:shd w:val="clear" w:color="auto" w:fill="auto"/>
            <w:noWrap/>
            <w:vAlign w:val="bottom"/>
            <w:hideMark/>
          </w:tcPr>
          <w:p w14:paraId="5FFCEB47" w14:textId="06F75D3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04DAF8CF" w14:textId="6E3FF91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16 (69.6) </w:t>
            </w:r>
          </w:p>
        </w:tc>
      </w:tr>
      <w:tr w:rsidR="00475A03" w:rsidRPr="00213F7D" w14:paraId="35293247" w14:textId="77777777" w:rsidTr="008E764D">
        <w:trPr>
          <w:trHeight w:val="288"/>
        </w:trPr>
        <w:tc>
          <w:tcPr>
            <w:tcW w:w="2268" w:type="dxa"/>
            <w:tcBorders>
              <w:top w:val="nil"/>
              <w:left w:val="nil"/>
              <w:bottom w:val="nil"/>
              <w:right w:val="nil"/>
            </w:tcBorders>
            <w:shd w:val="clear" w:color="auto" w:fill="auto"/>
            <w:noWrap/>
            <w:vAlign w:val="bottom"/>
            <w:hideMark/>
          </w:tcPr>
          <w:p w14:paraId="78D8E8F5"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III</w:t>
            </w:r>
          </w:p>
        </w:tc>
        <w:tc>
          <w:tcPr>
            <w:tcW w:w="1134" w:type="dxa"/>
            <w:tcBorders>
              <w:top w:val="nil"/>
              <w:left w:val="nil"/>
              <w:bottom w:val="nil"/>
              <w:right w:val="nil"/>
            </w:tcBorders>
            <w:shd w:val="clear" w:color="auto" w:fill="auto"/>
            <w:noWrap/>
            <w:vAlign w:val="bottom"/>
            <w:hideMark/>
          </w:tcPr>
          <w:p w14:paraId="346DE701" w14:textId="78FECC7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7743EFB2" w14:textId="1559403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820" w:type="dxa"/>
            <w:tcBorders>
              <w:top w:val="nil"/>
              <w:left w:val="nil"/>
              <w:bottom w:val="nil"/>
              <w:right w:val="nil"/>
            </w:tcBorders>
            <w:shd w:val="clear" w:color="auto" w:fill="auto"/>
            <w:noWrap/>
            <w:vAlign w:val="bottom"/>
            <w:hideMark/>
          </w:tcPr>
          <w:p w14:paraId="044F73CF" w14:textId="615227D0"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71A6E4A" w14:textId="2F796AA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4C05FF86" w14:textId="3F72B1D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8 (18.6) </w:t>
            </w:r>
          </w:p>
        </w:tc>
        <w:tc>
          <w:tcPr>
            <w:tcW w:w="1638" w:type="dxa"/>
            <w:tcBorders>
              <w:top w:val="nil"/>
              <w:left w:val="nil"/>
              <w:bottom w:val="nil"/>
              <w:right w:val="nil"/>
            </w:tcBorders>
            <w:shd w:val="clear" w:color="auto" w:fill="auto"/>
            <w:noWrap/>
            <w:vAlign w:val="bottom"/>
            <w:hideMark/>
          </w:tcPr>
          <w:p w14:paraId="1D288E39" w14:textId="2E70079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363" w:type="dxa"/>
            <w:tcBorders>
              <w:top w:val="nil"/>
              <w:left w:val="nil"/>
              <w:bottom w:val="nil"/>
              <w:right w:val="nil"/>
            </w:tcBorders>
            <w:shd w:val="clear" w:color="auto" w:fill="auto"/>
            <w:noWrap/>
            <w:vAlign w:val="bottom"/>
            <w:hideMark/>
          </w:tcPr>
          <w:p w14:paraId="37E4F2AE" w14:textId="06798D0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437" w:type="dxa"/>
            <w:tcBorders>
              <w:top w:val="nil"/>
              <w:left w:val="nil"/>
              <w:bottom w:val="nil"/>
              <w:right w:val="nil"/>
            </w:tcBorders>
            <w:shd w:val="clear" w:color="auto" w:fill="auto"/>
            <w:noWrap/>
            <w:vAlign w:val="bottom"/>
            <w:hideMark/>
          </w:tcPr>
          <w:p w14:paraId="653ECC1C" w14:textId="7536582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r>
    </w:tbl>
    <w:p w14:paraId="07B14EC1" w14:textId="77777777" w:rsidR="00213F7D" w:rsidRDefault="00213F7D" w:rsidP="00213F7D">
      <w:pPr>
        <w:sectPr w:rsidR="00213F7D" w:rsidSect="00213F7D">
          <w:pgSz w:w="16838" w:h="11906" w:orient="landscape"/>
          <w:pgMar w:top="1418" w:right="1418" w:bottom="1418" w:left="1418" w:header="709" w:footer="709" w:gutter="0"/>
          <w:cols w:space="708"/>
          <w:docGrid w:linePitch="360"/>
        </w:sectPr>
      </w:pPr>
    </w:p>
    <w:p w14:paraId="39DED4B5" w14:textId="5CBE32D7" w:rsidR="00213F7D" w:rsidRPr="00213F7D" w:rsidRDefault="00213F7D" w:rsidP="00213F7D"/>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1984ACDB">
            <wp:extent cx="62103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621030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0A410FEC">
            <wp:extent cx="5963962" cy="3975974"/>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2" cy="3975974"/>
                    </a:xfrm>
                    <a:prstGeom prst="rect">
                      <a:avLst/>
                    </a:prstGeom>
                  </pic:spPr>
                </pic:pic>
              </a:graphicData>
            </a:graphic>
          </wp:inline>
        </w:drawing>
      </w:r>
    </w:p>
    <w:p w14:paraId="15FF4786" w14:textId="654FB7E3"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r w:rsidR="00475A03">
        <w:rPr>
          <w:rFonts w:ascii="Calibri" w:hAnsi="Calibri" w:cs="Calibri"/>
          <w:iCs w:val="0"/>
          <w:lang w:val="en-US"/>
        </w:rPr>
        <w:t>; COPD: chronic obstructive pulmonary disease</w:t>
      </w:r>
      <w:r w:rsidR="00E219C5">
        <w:rPr>
          <w:rFonts w:ascii="Calibri" w:hAnsi="Calibri" w:cs="Calibri"/>
          <w:iCs w:val="0"/>
          <w:lang w:val="en-US"/>
        </w:rPr>
        <w:t xml:space="preserve">; PAD: peripheral arterial disease (F: Fontaine classification); AV: aortic valve; AVR: aortic valve replacement; MVR: mitral valve replacement; TAVI: transaortic valve implantation. </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664CA55D">
            <wp:extent cx="5990696" cy="3993797"/>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6" cy="3993797"/>
                    </a:xfrm>
                    <a:prstGeom prst="rect">
                      <a:avLst/>
                    </a:prstGeom>
                  </pic:spPr>
                </pic:pic>
              </a:graphicData>
            </a:graphic>
          </wp:inline>
        </w:drawing>
      </w:r>
    </w:p>
    <w:p w14:paraId="31B98CE2" w14:textId="363C1E28"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xml:space="preserve">: </w:t>
      </w:r>
      <w:r w:rsidR="00E219C5" w:rsidRPr="00363A0B">
        <w:rPr>
          <w:rFonts w:ascii="Calibri" w:hAnsi="Calibri" w:cs="Calibri"/>
          <w:iCs w:val="0"/>
          <w:lang w:val="en-US"/>
        </w:rPr>
        <w:t>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r w:rsidR="00E219C5">
        <w:rPr>
          <w:rFonts w:ascii="Calibri" w:hAnsi="Calibri" w:cs="Calibri"/>
          <w:iCs w:val="0"/>
          <w:lang w:val="en-US"/>
        </w:rPr>
        <w:t>; COPD: chronic obstructive pulmonary disease; PAD: peripheral arterial disease (F: Fontaine classification); AV: aortic valve; AVR: aortic valve replacement; MVR: mitral valve replacement; TAVI: transaortic valve implantation.</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78293851">
            <wp:extent cx="5760718" cy="4320538"/>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8" cy="4320538"/>
                    </a:xfrm>
                    <a:prstGeom prst="rect">
                      <a:avLst/>
                    </a:prstGeom>
                  </pic:spPr>
                </pic:pic>
              </a:graphicData>
            </a:graphic>
          </wp:inline>
        </w:drawing>
      </w:r>
    </w:p>
    <w:p w14:paraId="622B1B14" w14:textId="14EA44D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xml:space="preserve">: </w:t>
      </w:r>
      <w:r w:rsidR="00E219C5" w:rsidRPr="00363A0B">
        <w:rPr>
          <w:rFonts w:ascii="Calibri" w:hAnsi="Calibri" w:cs="Calibri"/>
          <w:iCs w:val="0"/>
          <w:lang w:val="en-US"/>
        </w:rPr>
        <w:t>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r w:rsidR="00E219C5">
        <w:rPr>
          <w:rFonts w:ascii="Calibri" w:hAnsi="Calibri" w:cs="Calibri"/>
          <w:iCs w:val="0"/>
          <w:lang w:val="en-US"/>
        </w:rPr>
        <w:t>; COPD: chronic obstructive pulmonary disease; PAD: peripheral arterial disease (F: Fontaine classification); AV: aortic valve; AVR: aortic valve replacement; MVR: mitral valve replacement; TAVI: transaortic valve implantation.</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r w:rsidRPr="00EC16D2">
        <w:rPr>
          <w:rFonts w:ascii="Calibri" w:eastAsia="Calibri" w:hAnsi="Calibri" w:cs="Calibri"/>
        </w:rPr>
        <w:t xml:space="preserve">Retel Helmrich and Ernest van Veen are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Caulley for her revision of the final manuscript. </w:t>
      </w:r>
      <w:r w:rsidR="004A2A67"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58645C8F" w14:textId="1EFDA3D7" w:rsidR="00C12402" w:rsidRPr="00C12402" w:rsidRDefault="0065107A" w:rsidP="00C12402">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12402" w:rsidRPr="00C12402">
        <w:rPr>
          <w:rFonts w:ascii="Calibri" w:hAnsi="Calibri" w:cs="Calibri"/>
          <w:noProof/>
          <w:sz w:val="20"/>
        </w:rPr>
        <w:t xml:space="preserve">1. </w:t>
      </w:r>
      <w:r w:rsidR="00C12402" w:rsidRPr="00C12402">
        <w:rPr>
          <w:rFonts w:ascii="Calibri" w:hAnsi="Calibri" w:cs="Calibri"/>
          <w:noProof/>
          <w:sz w:val="20"/>
        </w:rPr>
        <w:tab/>
        <w:t xml:space="preserve">Office of the Assistant Secretary for Preparedness H. Pandemic Influenza Plan - Update IV (December 2017). 2017. </w:t>
      </w:r>
    </w:p>
    <w:p w14:paraId="1D3FADC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 </w:t>
      </w:r>
      <w:r w:rsidRPr="00C12402">
        <w:rPr>
          <w:rFonts w:ascii="Calibri" w:hAnsi="Calibri" w:cs="Calibri"/>
          <w:noProof/>
          <w:sz w:val="20"/>
        </w:rPr>
        <w:tab/>
        <w:t xml:space="preserve">Emanuel EJ, Persad G, Upshur R, et al. Fair Allocation of Scarce Medical Resources in the Time of Covid-19. N Engl J Med 2020;1–7. </w:t>
      </w:r>
    </w:p>
    <w:p w14:paraId="2EFB286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 </w:t>
      </w:r>
      <w:r w:rsidRPr="00C12402">
        <w:rPr>
          <w:rFonts w:ascii="Calibri" w:hAnsi="Calibri" w:cs="Calibri"/>
          <w:noProof/>
          <w:sz w:val="20"/>
        </w:rPr>
        <w:tab/>
        <w:t xml:space="preserve">D’Agostino A, Demartini B, Cavallotti S, Gambini O. Mental health services in Italy during the COVID-19 outbreak. The Lancet Psychiatry. 2020;7(5):385–7. </w:t>
      </w:r>
    </w:p>
    <w:p w14:paraId="7449C138"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 </w:t>
      </w:r>
      <w:r w:rsidRPr="00C12402">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4C867E5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 </w:t>
      </w:r>
      <w:r w:rsidRPr="00C12402">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EA90F1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t xml:space="preserve">6. </w:t>
      </w:r>
      <w:r w:rsidRPr="00F8406C">
        <w:rPr>
          <w:rFonts w:ascii="Calibri" w:hAnsi="Calibri" w:cs="Calibri"/>
          <w:noProof/>
          <w:sz w:val="20"/>
          <w:lang w:val="nl-NL"/>
        </w:rPr>
        <w:tab/>
        <w:t xml:space="preserve">NZA. Analyse van de gevolgen van de coronacrisis voor de reguliere zorg [Internet]. </w:t>
      </w:r>
      <w:r w:rsidRPr="00C12402">
        <w:rPr>
          <w:rFonts w:ascii="Calibri" w:hAnsi="Calibri" w:cs="Calibri"/>
          <w:noProof/>
          <w:sz w:val="20"/>
        </w:rPr>
        <w:t>2020 [cited 2020 May 17]. Available from: https://zorgdomein.com/media/documents/NZa-analyse_van_de_gevolgen_van_de_coronacrisis_voor_de_reguliere_zorg_-....pdf</w:t>
      </w:r>
    </w:p>
    <w:p w14:paraId="16B4D68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t xml:space="preserve">7. </w:t>
      </w:r>
      <w:r w:rsidRPr="00F8406C">
        <w:rPr>
          <w:rFonts w:ascii="Calibri" w:hAnsi="Calibri" w:cs="Calibri"/>
          <w:noProof/>
          <w:sz w:val="20"/>
          <w:lang w:val="nl-NL"/>
        </w:rPr>
        <w:tab/>
        <w:t xml:space="preserve">Dinmohamed AG, Visser O, Verhoeven RHA, et al. </w:t>
      </w:r>
      <w:r w:rsidRPr="00C12402">
        <w:rPr>
          <w:rFonts w:ascii="Calibri" w:hAnsi="Calibri" w:cs="Calibri"/>
          <w:noProof/>
          <w:sz w:val="20"/>
        </w:rPr>
        <w:t xml:space="preserve">Fewer cancer diagnoses during the COVID-19 epidemic in the Netherlands. Lancet Oncol. 2020;0(0). </w:t>
      </w:r>
    </w:p>
    <w:p w14:paraId="3295AA9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 </w:t>
      </w:r>
      <w:r w:rsidRPr="00C12402">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32BF392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 </w:t>
      </w:r>
      <w:r w:rsidRPr="00C12402">
        <w:rPr>
          <w:rFonts w:ascii="Calibri" w:hAnsi="Calibri" w:cs="Calibri"/>
          <w:noProof/>
          <w:sz w:val="20"/>
        </w:rPr>
        <w:tab/>
        <w:t xml:space="preserve">Sud A, Jones M, Broggio J, et al. Collateral damage: the impact on outcomes from cancer surgery of the COVID-19 pandemic. Ann Oncol 2020;13:19. </w:t>
      </w:r>
    </w:p>
    <w:p w14:paraId="6CFF76A2"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10. </w:t>
      </w:r>
      <w:r w:rsidRPr="00C12402">
        <w:rPr>
          <w:rFonts w:ascii="Calibri" w:hAnsi="Calibri" w:cs="Calibri"/>
          <w:noProof/>
          <w:sz w:val="20"/>
        </w:rPr>
        <w:tab/>
        <w:t>Powell SN, Mullen T, Young L, Heald D, Iv ETP. SARS-CoV-2 Impact on Elective Orthopaedic Surgery: Implications for Post-Pandemic Recovery. J Bone Jt Surg  2020;</w:t>
      </w:r>
    </w:p>
    <w:p w14:paraId="1F77284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11. </w:t>
      </w:r>
      <w:r w:rsidRPr="00C12402">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3950F659"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t xml:space="preserve">12. </w:t>
      </w:r>
      <w:r w:rsidRPr="00F8406C">
        <w:rPr>
          <w:rFonts w:ascii="Calibri" w:hAnsi="Calibri" w:cs="Calibri"/>
          <w:noProof/>
          <w:sz w:val="20"/>
          <w:lang w:val="nl-NL"/>
        </w:rPr>
        <w:tab/>
        <w:t xml:space="preserve">Vergano M, Bertolini G, Giannini A, et al. </w:t>
      </w:r>
      <w:r w:rsidRPr="00C12402">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720783E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13. </w:t>
      </w:r>
      <w:r w:rsidRPr="00C12402">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255C316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14. </w:t>
      </w:r>
      <w:r w:rsidRPr="00C12402">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5CDEFE79"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15. </w:t>
      </w:r>
      <w:r w:rsidRPr="00C12402">
        <w:rPr>
          <w:rFonts w:ascii="Calibri" w:hAnsi="Calibri" w:cs="Calibri"/>
          <w:noProof/>
          <w:sz w:val="20"/>
        </w:rPr>
        <w:tab/>
        <w:t xml:space="preserve">York State Department of Health N. VENTILATOR ALLOCATION GUIDELINES New York State Task Force on Life and the Law New York State Department of Health. 2015. </w:t>
      </w:r>
    </w:p>
    <w:p w14:paraId="71D5568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16. </w:t>
      </w:r>
      <w:r w:rsidRPr="00C12402">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20663CF6"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17. </w:t>
      </w:r>
      <w:r w:rsidRPr="00C12402">
        <w:rPr>
          <w:rFonts w:ascii="Calibri" w:hAnsi="Calibri" w:cs="Calibri"/>
          <w:noProof/>
          <w:sz w:val="20"/>
        </w:rPr>
        <w:tab/>
        <w:t xml:space="preserve">Garner RT, Rosen B. Moral Philosophy: A Systematic Introduction to Normative Ethics and Meta-Ethics. New York: Macmillan; 1967. </w:t>
      </w:r>
    </w:p>
    <w:p w14:paraId="0D3D65D6"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18. </w:t>
      </w:r>
      <w:r w:rsidRPr="00C12402">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7788CA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19. </w:t>
      </w:r>
      <w:r w:rsidRPr="00C12402">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36B78D59"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20. </w:t>
      </w:r>
      <w:r w:rsidRPr="00C12402">
        <w:rPr>
          <w:rFonts w:ascii="Calibri" w:hAnsi="Calibri" w:cs="Calibri"/>
          <w:noProof/>
          <w:sz w:val="20"/>
        </w:rPr>
        <w:tab/>
        <w:t>Kankersoorten - IKNL [Internet]. [cited 2020 May 19];Available from: https://iknl.nl/kankersoorten</w:t>
      </w:r>
    </w:p>
    <w:p w14:paraId="3AB6642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21. </w:t>
      </w:r>
      <w:r w:rsidRPr="00C12402">
        <w:rPr>
          <w:rFonts w:ascii="Calibri" w:hAnsi="Calibri" w:cs="Calibri"/>
          <w:noProof/>
          <w:sz w:val="20"/>
        </w:rPr>
        <w:tab/>
        <w:t>NHR [Internet]. [cited 2020 May 19];Available from: https://nederlandsehartregistratie.nl/</w:t>
      </w:r>
    </w:p>
    <w:p w14:paraId="022CF75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lastRenderedPageBreak/>
        <w:t xml:space="preserve">22. </w:t>
      </w:r>
      <w:r w:rsidRPr="00F8406C">
        <w:rPr>
          <w:rFonts w:ascii="Calibri" w:hAnsi="Calibri" w:cs="Calibri"/>
          <w:noProof/>
          <w:sz w:val="20"/>
          <w:lang w:val="nl-NL"/>
        </w:rPr>
        <w:tab/>
        <w:t xml:space="preserve">CBS. Sterftekansen naar leeftijd, geslacht, opleidingsniveau [Internet]. </w:t>
      </w:r>
      <w:r w:rsidRPr="00C12402">
        <w:rPr>
          <w:rFonts w:ascii="Calibri" w:hAnsi="Calibri" w:cs="Calibri"/>
          <w:noProof/>
          <w:sz w:val="20"/>
        </w:rPr>
        <w:t>[cited 2020 May 19];Available from: https://www.cbs.nl/nl-nl/maatwerk/2017/23/sterftekansen-naar-leeftijd-geslacht-opleidingsniveau</w:t>
      </w:r>
    </w:p>
    <w:p w14:paraId="1218E5C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23. </w:t>
      </w:r>
      <w:r w:rsidRPr="00C12402">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032ABE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24. </w:t>
      </w:r>
      <w:r w:rsidRPr="00C12402">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12F898E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25. </w:t>
      </w:r>
      <w:r w:rsidRPr="00C12402">
        <w:rPr>
          <w:rFonts w:ascii="Calibri" w:hAnsi="Calibri" w:cs="Calibri"/>
          <w:noProof/>
          <w:sz w:val="20"/>
        </w:rPr>
        <w:tab/>
        <w:t>General Guidance for DALYs calculation [Internet]. [cited 2020 May 19]. Available from: https://montagu.vaccineimpact.org/contribution/resources/c978e5a1acf6a502679c92200e78ef61.pdf</w:t>
      </w:r>
    </w:p>
    <w:p w14:paraId="660E984D"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26. </w:t>
      </w:r>
      <w:r w:rsidRPr="00C12402">
        <w:rPr>
          <w:rFonts w:ascii="Calibri" w:hAnsi="Calibri" w:cs="Calibri"/>
          <w:noProof/>
          <w:sz w:val="20"/>
        </w:rPr>
        <w:tab/>
        <w:t>Disability-adjusted life years (DALYs) [Internet]. [cited 2020 May 19];Available from: https://www.who.int/data/gho/indicator-metadata-registry/imr-details/158</w:t>
      </w:r>
    </w:p>
    <w:p w14:paraId="58F5BFA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27. </w:t>
      </w:r>
      <w:r w:rsidRPr="00C12402">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66C54E6A"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t xml:space="preserve">28. </w:t>
      </w:r>
      <w:r w:rsidRPr="00F8406C">
        <w:rPr>
          <w:rFonts w:ascii="Calibri" w:hAnsi="Calibri" w:cs="Calibri"/>
          <w:noProof/>
          <w:sz w:val="20"/>
          <w:lang w:val="nl-NL"/>
        </w:rPr>
        <w:tab/>
        <w:t xml:space="preserve">Siebert U, Alagoz O, Bayoumi AM, et al. </w:t>
      </w:r>
      <w:r w:rsidRPr="00C12402">
        <w:rPr>
          <w:rFonts w:ascii="Calibri" w:hAnsi="Calibri" w:cs="Calibri"/>
          <w:noProof/>
          <w:sz w:val="20"/>
        </w:rPr>
        <w:t>State-Transition Modeling: A Report of the ISPOR-SMDM Modeling Good Research Practices Task Force-3. Value Heal [Internet] 2012;15(6):812–20. Available from: http://eprints.gla.ac.uk/73437/</w:t>
      </w:r>
    </w:p>
    <w:p w14:paraId="3A5E2AED"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29. </w:t>
      </w:r>
      <w:r w:rsidRPr="00C12402">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9A18796"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30. </w:t>
      </w:r>
      <w:r w:rsidRPr="00C12402">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54DB55E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31. </w:t>
      </w:r>
      <w:r w:rsidRPr="00C12402">
        <w:rPr>
          <w:rFonts w:ascii="Calibri" w:hAnsi="Calibri" w:cs="Calibri"/>
          <w:noProof/>
          <w:sz w:val="20"/>
        </w:rPr>
        <w:tab/>
        <w:t>Torgerson DJ, Raftery J. Economic notes. Discounting. BMJ [Internet] 1999;319(7214):914–5. Available from: http://www.ncbi.nlm.nih.gov/pubmed/10506056</w:t>
      </w:r>
    </w:p>
    <w:p w14:paraId="7D7AE1D8"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F8406C">
        <w:rPr>
          <w:rFonts w:ascii="Calibri" w:hAnsi="Calibri" w:cs="Calibri"/>
          <w:noProof/>
          <w:sz w:val="20"/>
          <w:lang w:val="nl-NL"/>
        </w:rPr>
        <w:t xml:space="preserve">32. </w:t>
      </w:r>
      <w:r w:rsidRPr="00F8406C">
        <w:rPr>
          <w:rFonts w:ascii="Calibri" w:hAnsi="Calibri" w:cs="Calibri"/>
          <w:noProof/>
          <w:sz w:val="20"/>
          <w:lang w:val="nl-NL"/>
        </w:rPr>
        <w:tab/>
        <w:t xml:space="preserve">Zorginstituut Nederland. Richtlijn voor het uitvoeren van economische evaluaties in de gezondheidszorg. </w:t>
      </w:r>
      <w:r w:rsidRPr="00C12402">
        <w:rPr>
          <w:rFonts w:ascii="Calibri" w:hAnsi="Calibri" w:cs="Calibri"/>
          <w:noProof/>
          <w:sz w:val="20"/>
        </w:rPr>
        <w:t>2016;</w:t>
      </w:r>
    </w:p>
    <w:p w14:paraId="6E37096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33. </w:t>
      </w:r>
      <w:r w:rsidRPr="00C12402">
        <w:rPr>
          <w:rFonts w:ascii="Calibri" w:hAnsi="Calibri" w:cs="Calibri"/>
          <w:noProof/>
          <w:sz w:val="20"/>
        </w:rPr>
        <w:tab/>
        <w:t xml:space="preserve">Zorginstituut Nederland. Richtlijn voor het uitvoeren van economische evaluaties in de gezondheidszorg. 2016. </w:t>
      </w:r>
    </w:p>
    <w:p w14:paraId="507006C9"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34. </w:t>
      </w:r>
      <w:r w:rsidRPr="00C12402">
        <w:rPr>
          <w:rFonts w:ascii="Calibri" w:hAnsi="Calibri" w:cs="Calibri"/>
          <w:noProof/>
          <w:sz w:val="20"/>
        </w:rPr>
        <w:tab/>
        <w:t>Husereau D, Drummond M, Petrou S, et al. Consolidated Health Economic Evaluation Reporting Standards (CHEERS) statement. Eur J Heal Econ 2013;</w:t>
      </w:r>
    </w:p>
    <w:p w14:paraId="74C1358B"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35. </w:t>
      </w:r>
      <w:r w:rsidRPr="00C12402">
        <w:rPr>
          <w:rFonts w:ascii="Calibri" w:hAnsi="Calibri" w:cs="Calibri"/>
          <w:noProof/>
          <w:sz w:val="20"/>
        </w:rPr>
        <w:tab/>
        <w:t>R Core Team. R: A language and Environment for Statistical Computing. 2013;</w:t>
      </w:r>
    </w:p>
    <w:p w14:paraId="332FFE3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36. </w:t>
      </w:r>
      <w:r w:rsidRPr="00C12402">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3398E5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37. </w:t>
      </w:r>
      <w:r w:rsidRPr="00C12402">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216056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38. </w:t>
      </w:r>
      <w:r w:rsidRPr="00C12402">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1D9446A"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39. </w:t>
      </w:r>
      <w:r w:rsidRPr="00C12402">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72258C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40. </w:t>
      </w:r>
      <w:r w:rsidRPr="00C12402">
        <w:rPr>
          <w:rFonts w:ascii="Calibri" w:hAnsi="Calibri" w:cs="Calibri"/>
          <w:noProof/>
          <w:sz w:val="20"/>
        </w:rPr>
        <w:tab/>
        <w:t xml:space="preserve">Konstantinides S, Geibel A, Olschewski M, et al. A comparison of surgical and medical therapy for atrial septal defect in adults. N Engl J Med 1995;333(8):469–73. </w:t>
      </w:r>
    </w:p>
    <w:p w14:paraId="4BB360B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41. </w:t>
      </w:r>
      <w:r w:rsidRPr="00C12402">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3B93433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42. </w:t>
      </w:r>
      <w:r w:rsidRPr="00C12402">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1B8561C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lastRenderedPageBreak/>
        <w:t xml:space="preserve">43. </w:t>
      </w:r>
      <w:r w:rsidRPr="00C12402">
        <w:rPr>
          <w:rFonts w:ascii="Calibri" w:hAnsi="Calibri" w:cs="Calibri"/>
          <w:noProof/>
          <w:sz w:val="20"/>
        </w:rPr>
        <w:tab/>
        <w:t xml:space="preserve">Haruna A, Muro S, Nakano Y, et al. CT scan findings of emphysema predict mortality in COPD. Chest 2010;138(3):635–40. </w:t>
      </w:r>
    </w:p>
    <w:p w14:paraId="6703F05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44. </w:t>
      </w:r>
      <w:r w:rsidRPr="00C12402">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1D293C6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45. </w:t>
      </w:r>
      <w:r w:rsidRPr="00C12402">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51FE6D9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46. </w:t>
      </w:r>
      <w:r w:rsidRPr="00C12402">
        <w:rPr>
          <w:rFonts w:ascii="Calibri" w:hAnsi="Calibri" w:cs="Calibri"/>
          <w:noProof/>
          <w:sz w:val="20"/>
        </w:rPr>
        <w:tab/>
        <w:t>Salomon JA, Haagsma JA, Davis A, et al. Disability weights for the Global Burden of Disease 2013 study [Internet]. 2015 [cited 2020 May 14]. Available from: www.thelancet.com/lancetgh</w:t>
      </w:r>
    </w:p>
    <w:p w14:paraId="28BE381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47. </w:t>
      </w:r>
      <w:r w:rsidRPr="00C12402">
        <w:rPr>
          <w:rFonts w:ascii="Calibri" w:hAnsi="Calibri" w:cs="Calibri"/>
          <w:noProof/>
          <w:sz w:val="20"/>
        </w:rPr>
        <w:tab/>
        <w:t>Chen EY, Mayo SC, Sutton T, et al. Effect of Time to Surgery of Colorectal Liver Metastases on Survival. J Gastrointest Cancer 2020;</w:t>
      </w:r>
    </w:p>
    <w:p w14:paraId="247A406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48. </w:t>
      </w:r>
      <w:r w:rsidRPr="00C12402">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105101A"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49. </w:t>
      </w:r>
      <w:r w:rsidRPr="00C12402">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A476BC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50. </w:t>
      </w:r>
      <w:r w:rsidRPr="00C12402">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60FE327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51. </w:t>
      </w:r>
      <w:r w:rsidRPr="00C12402">
        <w:rPr>
          <w:rFonts w:ascii="Calibri" w:hAnsi="Calibri" w:cs="Calibri"/>
          <w:noProof/>
          <w:sz w:val="20"/>
        </w:rPr>
        <w:tab/>
        <w:t xml:space="preserve">Lee JN, Kwon SY, Choi GS, et al. Impact of surgical wait time on oncologic outcomes in upper urinary tract urothelial carcinoma. J Surg Oncol 2014;110(4):468–75. </w:t>
      </w:r>
    </w:p>
    <w:p w14:paraId="12E3ED7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52. </w:t>
      </w:r>
      <w:r w:rsidRPr="00C12402">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D1A5C2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53. </w:t>
      </w:r>
      <w:r w:rsidRPr="00C12402">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074D2CAB"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54. </w:t>
      </w:r>
      <w:r w:rsidRPr="00C12402">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6B744F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55. </w:t>
      </w:r>
      <w:r w:rsidRPr="00C12402">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2FDD449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56. </w:t>
      </w:r>
      <w:r w:rsidRPr="00C12402">
        <w:rPr>
          <w:rFonts w:ascii="Calibri" w:hAnsi="Calibri" w:cs="Calibri"/>
          <w:noProof/>
          <w:sz w:val="20"/>
        </w:rPr>
        <w:tab/>
        <w:t xml:space="preserve">Brewster DC, Jones JE, Chung TK, et al. Long-term outcomes after endovascular abdominal aortic aneurysm repair: The First Decade. Ann. Surg. 2006;244(3):426–36. </w:t>
      </w:r>
    </w:p>
    <w:p w14:paraId="569E448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57. </w:t>
      </w:r>
      <w:r w:rsidRPr="00C12402">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10B7D4C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58. </w:t>
      </w:r>
      <w:r w:rsidRPr="00C12402">
        <w:rPr>
          <w:rFonts w:ascii="Calibri" w:hAnsi="Calibri" w:cs="Calibri"/>
          <w:noProof/>
          <w:sz w:val="20"/>
        </w:rPr>
        <w:tab/>
        <w:t xml:space="preserve">Rose EA, Gelijns AC, Moskowitz AJ, et al. Long-term use of a left ventricular assist device for end-stage heart failure. N Engl J Med 2001;345(20):1435–43. </w:t>
      </w:r>
    </w:p>
    <w:p w14:paraId="776B633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59. </w:t>
      </w:r>
      <w:r w:rsidRPr="00C12402">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6DC9E4E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60. </w:t>
      </w:r>
      <w:r w:rsidRPr="00C12402">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7560884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61. </w:t>
      </w:r>
      <w:r w:rsidRPr="00C12402">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35800F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62. </w:t>
      </w:r>
      <w:r w:rsidRPr="00C12402">
        <w:rPr>
          <w:rFonts w:ascii="Calibri" w:hAnsi="Calibri" w:cs="Calibri"/>
          <w:noProof/>
          <w:sz w:val="20"/>
        </w:rPr>
        <w:tab/>
        <w:t xml:space="preserve">Shalowitz DI, Epstein AJ, Ko EM, Giuntoli RL. Non-surgical management of ovarian cancer: Prevalence and implications. Gynecol Oncol 2016;142(1):30–7. </w:t>
      </w:r>
    </w:p>
    <w:p w14:paraId="3229544D"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63. </w:t>
      </w:r>
      <w:r w:rsidRPr="00C12402">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7693E8A2"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64. </w:t>
      </w:r>
      <w:r w:rsidRPr="00C12402">
        <w:rPr>
          <w:rFonts w:ascii="Calibri" w:hAnsi="Calibri" w:cs="Calibri"/>
          <w:noProof/>
          <w:sz w:val="20"/>
        </w:rPr>
        <w:tab/>
        <w:t xml:space="preserve">Kim WR, Lake JR, Smith JM, et al. OPTN/SRTR 2016 Annual Data Report: Liver. Am J Transplant 2018;18:172–253. </w:t>
      </w:r>
    </w:p>
    <w:p w14:paraId="235086D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65. </w:t>
      </w:r>
      <w:r w:rsidRPr="00C12402">
        <w:rPr>
          <w:rFonts w:ascii="Calibri" w:hAnsi="Calibri" w:cs="Calibri"/>
          <w:noProof/>
          <w:sz w:val="20"/>
        </w:rPr>
        <w:tab/>
        <w:t xml:space="preserve">Muluk SC, Muluk VS, Kelley ME, et al. Outcome events in patients with claudication: A 15-year study in 2777 patients. J Vasc Surg 2001;33(2):251–8. </w:t>
      </w:r>
    </w:p>
    <w:p w14:paraId="6350AC0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lastRenderedPageBreak/>
        <w:t xml:space="preserve">66. </w:t>
      </w:r>
      <w:r w:rsidRPr="00C12402">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8E594C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67. </w:t>
      </w:r>
      <w:r w:rsidRPr="00C12402">
        <w:rPr>
          <w:rFonts w:ascii="Calibri" w:hAnsi="Calibri" w:cs="Calibri"/>
          <w:noProof/>
          <w:sz w:val="20"/>
        </w:rPr>
        <w:tab/>
        <w:t xml:space="preserve">Murphy MM, Simons JP, Hill JS, et al. Pancreatic resection: A key component to reducing racial disparities in pancreatic adenocarcinoma. Cancer 2009;115(17):3979–90. </w:t>
      </w:r>
    </w:p>
    <w:p w14:paraId="0A88EA7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68. </w:t>
      </w:r>
      <w:r w:rsidRPr="00C12402">
        <w:rPr>
          <w:rFonts w:ascii="Calibri" w:hAnsi="Calibri" w:cs="Calibri"/>
          <w:noProof/>
          <w:sz w:val="20"/>
        </w:rPr>
        <w:tab/>
        <w:t xml:space="preserve">Mikkola R, Kelahaara J, Heikkinen J, Lahtinen J, Biancari F. Poor late survival after surgical treatment of pleural empyema. World J Surg 2010;34(2):266–71. </w:t>
      </w:r>
    </w:p>
    <w:p w14:paraId="419780B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69. </w:t>
      </w:r>
      <w:r w:rsidRPr="00C12402">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6C32C4A0"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70. </w:t>
      </w:r>
      <w:r w:rsidRPr="00C12402">
        <w:rPr>
          <w:rFonts w:ascii="Calibri" w:hAnsi="Calibri" w:cs="Calibri"/>
          <w:noProof/>
          <w:sz w:val="20"/>
        </w:rPr>
        <w:tab/>
        <w:t xml:space="preserve">Piehler JM, Crichlow RW. Primary Carcinoma of the Gallbladder. Arch Surg 1977;112(1):26–30. </w:t>
      </w:r>
    </w:p>
    <w:p w14:paraId="72AE128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71. </w:t>
      </w:r>
      <w:r w:rsidRPr="00C12402">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1B09AE2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72. </w:t>
      </w:r>
      <w:r w:rsidRPr="00C12402">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D6B7B7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73. </w:t>
      </w:r>
      <w:r w:rsidRPr="00C12402">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7F6C67E2"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74. </w:t>
      </w:r>
      <w:r w:rsidRPr="00C12402">
        <w:rPr>
          <w:rFonts w:ascii="Calibri" w:hAnsi="Calibri" w:cs="Calibri"/>
          <w:noProof/>
          <w:sz w:val="20"/>
        </w:rPr>
        <w:tab/>
        <w:t xml:space="preserve">Ginsberg RJ, Rubinstein L V. Randomized trial of lobectomy versus limited resection for T1 N0 non-small cell lung cancer. Ann Thorac Surg 1995;60(3):615–23. </w:t>
      </w:r>
    </w:p>
    <w:p w14:paraId="7CDA3944"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75. </w:t>
      </w:r>
      <w:r w:rsidRPr="00C12402">
        <w:rPr>
          <w:rFonts w:ascii="Calibri" w:hAnsi="Calibri" w:cs="Calibri"/>
          <w:noProof/>
          <w:sz w:val="20"/>
        </w:rPr>
        <w:tab/>
        <w:t xml:space="preserve">Redden MD, Chin TY, van Driel ML. Surgical versus non-surgical management for pleural empyema. Cochrane Database Syst. Rev. 2017;2017(3). </w:t>
      </w:r>
    </w:p>
    <w:p w14:paraId="5AD3E2C2"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76. </w:t>
      </w:r>
      <w:r w:rsidRPr="00C12402">
        <w:rPr>
          <w:rFonts w:ascii="Calibri" w:hAnsi="Calibri" w:cs="Calibri"/>
          <w:noProof/>
          <w:sz w:val="20"/>
        </w:rPr>
        <w:tab/>
        <w:t xml:space="preserve">Sørensen VR, Heaf J, Wehberg S, Sørensen SS. Survival Benefit in Renal Transplantation Despite High Comorbidity. Transplantation 2016;100(10):2160–7. </w:t>
      </w:r>
    </w:p>
    <w:p w14:paraId="0DAF0C7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77. </w:t>
      </w:r>
      <w:r w:rsidRPr="00C12402">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0F7DD87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78. </w:t>
      </w:r>
      <w:r w:rsidRPr="00C12402">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69E73A8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79. </w:t>
      </w:r>
      <w:r w:rsidRPr="00C12402">
        <w:rPr>
          <w:rFonts w:ascii="Calibri" w:hAnsi="Calibri" w:cs="Calibri"/>
          <w:noProof/>
          <w:sz w:val="20"/>
        </w:rPr>
        <w:tab/>
        <w:t xml:space="preserve">Stewart JM, Tone AA, Jiang H, et al. The optimal time for surgery in women with serous ovarian cancer. Can J Surg 2016;59(4):223–32. </w:t>
      </w:r>
    </w:p>
    <w:p w14:paraId="66BC53C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80. </w:t>
      </w:r>
      <w:r w:rsidRPr="00C12402">
        <w:rPr>
          <w:rFonts w:ascii="Calibri" w:hAnsi="Calibri" w:cs="Calibri"/>
          <w:noProof/>
          <w:sz w:val="20"/>
        </w:rPr>
        <w:tab/>
        <w:t xml:space="preserve">Davies L, Welch G. Thyroid cancer survival in the United States: Observational data from 1973 to 2005. Arch Otolaryngol - Head Neck Surg 2010;136(5):440–4. </w:t>
      </w:r>
    </w:p>
    <w:p w14:paraId="61E80A1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81. </w:t>
      </w:r>
      <w:r w:rsidRPr="00C12402">
        <w:rPr>
          <w:rFonts w:ascii="Calibri" w:hAnsi="Calibri" w:cs="Calibri"/>
          <w:noProof/>
          <w:sz w:val="20"/>
        </w:rPr>
        <w:tab/>
        <w:t xml:space="preserve">Bleicher RJ, Ruth K, Sigurdson ER, et al. Time to surgery and breast cancer survival in the United States. JAMA Oncol 2016;2(3):330–9. </w:t>
      </w:r>
    </w:p>
    <w:p w14:paraId="1DD7B85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82. </w:t>
      </w:r>
      <w:r w:rsidRPr="00C12402">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7C702D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83. </w:t>
      </w:r>
      <w:r w:rsidRPr="00C12402">
        <w:rPr>
          <w:rFonts w:ascii="Calibri" w:hAnsi="Calibri" w:cs="Calibri"/>
          <w:noProof/>
          <w:sz w:val="20"/>
        </w:rPr>
        <w:tab/>
        <w:t>USRDS [Internet]. [cited 2020 May 19];Available from: https://www.usrds.org/2015/view/</w:t>
      </w:r>
    </w:p>
    <w:p w14:paraId="28C414BF"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84. </w:t>
      </w:r>
      <w:r w:rsidRPr="00C12402">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055CB0F1"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85. </w:t>
      </w:r>
      <w:r w:rsidRPr="00C12402">
        <w:rPr>
          <w:rFonts w:ascii="Calibri" w:hAnsi="Calibri" w:cs="Calibri"/>
          <w:noProof/>
          <w:sz w:val="20"/>
        </w:rPr>
        <w:tab/>
        <w:t xml:space="preserve">Chung JH, Lee SH, Kim KT, Jung JS, Son HS, Sun K. Optimal Timing of Thoracoscopic Drainage and Decortication for Empyema. Ann Thorac Surg 2014;97(1):224–9. </w:t>
      </w:r>
    </w:p>
    <w:p w14:paraId="4FFCC0F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86. </w:t>
      </w:r>
      <w:r w:rsidRPr="00C12402">
        <w:rPr>
          <w:rFonts w:ascii="Calibri" w:hAnsi="Calibri" w:cs="Calibri"/>
          <w:noProof/>
          <w:sz w:val="20"/>
        </w:rPr>
        <w:tab/>
        <w:t>Organ Procurement and Transplantation Network [Internet]. [cited 2020 May 19];Available from: https://optn.transplant.hrsa.gov/data/view-data-reports/national-data/</w:t>
      </w:r>
    </w:p>
    <w:p w14:paraId="2E831B58"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87. </w:t>
      </w:r>
      <w:r w:rsidRPr="00C12402">
        <w:rPr>
          <w:rFonts w:ascii="Calibri" w:hAnsi="Calibri" w:cs="Calibri"/>
          <w:noProof/>
          <w:sz w:val="20"/>
        </w:rPr>
        <w:tab/>
        <w:t>Howard DPJ, Banerjee A, Fairhead JF, Hands L, Silver LE, Rothwell PM. Population-Based Study of Incidence, Risk Factors, Outcome, and Prognosis of Ischemic Peripheral Arterial Events: Implications for Prevention. Circulation [Internet] 2015 [cited 2020 Jun 17];132(19):1805–15. Available from: https://www.ahajournals.org/doi/10.1161/CIRCULATIONAHA.115.016424</w:t>
      </w:r>
    </w:p>
    <w:p w14:paraId="76BCDC7A"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88. </w:t>
      </w:r>
      <w:r w:rsidRPr="00C12402">
        <w:rPr>
          <w:rFonts w:ascii="Calibri" w:hAnsi="Calibri" w:cs="Calibri"/>
          <w:noProof/>
          <w:sz w:val="20"/>
        </w:rPr>
        <w:tab/>
        <w:t xml:space="preserve">Bonow RO, Greenland P. Population-wide trends in aortic stenosis incidence and outcomes. Circulation. </w:t>
      </w:r>
      <w:r w:rsidRPr="00C12402">
        <w:rPr>
          <w:rFonts w:ascii="Calibri" w:hAnsi="Calibri" w:cs="Calibri"/>
          <w:noProof/>
          <w:sz w:val="20"/>
        </w:rPr>
        <w:lastRenderedPageBreak/>
        <w:t xml:space="preserve">2015;131(11):969–71. </w:t>
      </w:r>
    </w:p>
    <w:p w14:paraId="46632889"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89. </w:t>
      </w:r>
      <w:r w:rsidRPr="00C12402">
        <w:rPr>
          <w:rFonts w:ascii="Calibri" w:hAnsi="Calibri" w:cs="Calibri"/>
          <w:noProof/>
          <w:sz w:val="20"/>
        </w:rPr>
        <w:tab/>
        <w:t xml:space="preserve">Badalato GM, Gaya JM, Hruby G, et al. Immediate radical cystectomy vs conservative management for high grade cT1 bladder cancer: Is there a survival difference? BJU Int 2012;110(10):1471–7. </w:t>
      </w:r>
    </w:p>
    <w:p w14:paraId="6516DF1E"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90. </w:t>
      </w:r>
      <w:r w:rsidRPr="00C12402">
        <w:rPr>
          <w:rFonts w:ascii="Calibri" w:hAnsi="Calibri" w:cs="Calibri"/>
          <w:noProof/>
          <w:sz w:val="20"/>
        </w:rPr>
        <w:tab/>
        <w:t xml:space="preserve">Lee CT, Madii R, Daignault S, et al. Cystectomy delay more than 3 months from initial bladder cancer diagnosis results in decreased disease specific and overall survival. J Urol 2006;175(4):1262–7. </w:t>
      </w:r>
    </w:p>
    <w:p w14:paraId="397A697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91. </w:t>
      </w:r>
      <w:r w:rsidRPr="00C12402">
        <w:rPr>
          <w:rFonts w:ascii="Calibri" w:hAnsi="Calibri" w:cs="Calibri"/>
          <w:noProof/>
          <w:sz w:val="20"/>
        </w:rPr>
        <w:tab/>
        <w:t xml:space="preserve">Tan WS, Trinh QD, Hayn MH, et al. Delayed nephrectomy has comparable long-term overall survival to immediate nephrectomy for cT1a renal cell carcinoma: A population-based analysis. Urol Oncol Semin Orig Investig 2020;38(3):74.e13-74.e20. </w:t>
      </w:r>
    </w:p>
    <w:p w14:paraId="282C3BAB"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92. </w:t>
      </w:r>
      <w:r w:rsidRPr="00C12402">
        <w:rPr>
          <w:rFonts w:ascii="Calibri" w:hAnsi="Calibri" w:cs="Calibri"/>
          <w:noProof/>
          <w:sz w:val="20"/>
        </w:rPr>
        <w:tab/>
        <w:t xml:space="preserve">Janssen MWW, Linxweiler J, Terwey S, et al. Survival outcomes in patients with large (7cm) clear cell renal cell carcinomas treated with nephron-sparing surgery versus radical nephrectomy: Results of a multicenter cohort with long-term follow-up. PLoS One 2018;13(5). </w:t>
      </w:r>
    </w:p>
    <w:p w14:paraId="43F9CF43"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93. </w:t>
      </w:r>
      <w:r w:rsidRPr="00C12402">
        <w:rPr>
          <w:rFonts w:ascii="Calibri" w:hAnsi="Calibri" w:cs="Calibri"/>
          <w:noProof/>
          <w:sz w:val="20"/>
        </w:rPr>
        <w:tab/>
        <w:t>Petrides GA, Subramaniam N, Pham M, et al. Reducing the morbidity of parotidectomy for benign pathology. 2020;</w:t>
      </w:r>
    </w:p>
    <w:p w14:paraId="61910365"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94. </w:t>
      </w:r>
      <w:r w:rsidRPr="00C12402">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2009;20:417–35. </w:t>
      </w:r>
    </w:p>
    <w:p w14:paraId="133C338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95. </w:t>
      </w:r>
      <w:r w:rsidRPr="00C12402">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079182DC"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96. </w:t>
      </w:r>
      <w:r w:rsidRPr="00C12402">
        <w:rPr>
          <w:rFonts w:ascii="Calibri" w:hAnsi="Calibri" w:cs="Calibri"/>
          <w:noProof/>
          <w:sz w:val="20"/>
        </w:rPr>
        <w:tab/>
        <w:t xml:space="preserve">Pettitt D, Raza S, Naughton B, et al. The Limitations of QALY: A Literature Review. J Stem Cell Res Ther 2016;6(4). </w:t>
      </w:r>
    </w:p>
    <w:p w14:paraId="7455E9F7" w14:textId="77777777" w:rsidR="00C12402" w:rsidRPr="00C12402" w:rsidRDefault="00C12402" w:rsidP="00C12402">
      <w:pPr>
        <w:widowControl w:val="0"/>
        <w:autoSpaceDE w:val="0"/>
        <w:autoSpaceDN w:val="0"/>
        <w:adjustRightInd w:val="0"/>
        <w:spacing w:before="40"/>
        <w:ind w:left="640" w:hanging="640"/>
        <w:rPr>
          <w:rFonts w:ascii="Calibri" w:hAnsi="Calibri" w:cs="Calibri"/>
          <w:noProof/>
          <w:sz w:val="20"/>
        </w:rPr>
      </w:pPr>
      <w:r w:rsidRPr="00C12402">
        <w:rPr>
          <w:rFonts w:ascii="Calibri" w:hAnsi="Calibri" w:cs="Calibri"/>
          <w:noProof/>
          <w:sz w:val="20"/>
        </w:rPr>
        <w:t xml:space="preserve">97. </w:t>
      </w:r>
      <w:r w:rsidRPr="00C12402">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17216105" w:rsidR="00625BC1" w:rsidRDefault="00625BC1">
      <w:pPr>
        <w:pStyle w:val="Tekstopmerking"/>
      </w:pPr>
      <w:r>
        <w:rPr>
          <w:rStyle w:val="Verwijzingopmerking"/>
        </w:rPr>
        <w:annotationRef/>
      </w:r>
      <w:r>
        <w:rPr>
          <w:rStyle w:val="Verwijzingopmerking"/>
        </w:rPr>
        <w:t>Abstract &lt;</w:t>
      </w:r>
      <w:r>
        <w:t xml:space="preserve"> 250 words </w:t>
      </w:r>
    </w:p>
  </w:comment>
  <w:comment w:id="1" w:author="E.M. Krijkamp" w:date="2020-06-01T19:13:00Z" w:initials="EK">
    <w:p w14:paraId="103B26AF" w14:textId="19B6EC3E" w:rsidR="00625BC1" w:rsidRDefault="00625BC1">
      <w:pPr>
        <w:pStyle w:val="Tekstopmerking"/>
      </w:pPr>
      <w:r>
        <w:rPr>
          <w:rStyle w:val="Verwijzingopmerking"/>
        </w:rPr>
        <w:annotationRef/>
      </w:r>
      <w:r>
        <w:rPr>
          <w:rStyle w:val="Verwijzingopmerking"/>
        </w:rPr>
        <w:t xml:space="preserve">Abstract &lt; </w:t>
      </w:r>
      <w:r>
        <w:t xml:space="preserve">300 words </w:t>
      </w:r>
    </w:p>
  </w:comment>
  <w:comment w:id="2" w:author="E.M. Krijkamp" w:date="2020-06-01T19:21:00Z" w:initials="EK">
    <w:p w14:paraId="04EE98AF" w14:textId="1991BC1A" w:rsidR="00625BC1" w:rsidRPr="00CD5FE9" w:rsidRDefault="00625BC1" w:rsidP="00CD5FE9">
      <w:r>
        <w:rPr>
          <w:rStyle w:val="Verwijzingopmerking"/>
        </w:rPr>
        <w:annotationRef/>
      </w:r>
      <w:r w:rsidRPr="00CD5FE9">
        <w:rPr>
          <w:rFonts w:ascii="Helvetica Neue" w:hAnsi="Helvetica Neue"/>
          <w:color w:val="333333"/>
          <w:shd w:val="clear" w:color="auto" w:fill="FFFFFF"/>
        </w:rPr>
        <w:t> </w:t>
      </w:r>
      <w:r>
        <w:rPr>
          <w:rStyle w:val="Verwijzingopmerking"/>
        </w:rPr>
        <w:t xml:space="preserve">Abstract </w:t>
      </w:r>
      <w:r w:rsidRPr="00CD5FE9">
        <w:rPr>
          <w:rFonts w:ascii="Helvetica Neue" w:hAnsi="Helvetica Neue"/>
          <w:color w:val="333333"/>
          <w:shd w:val="clear" w:color="auto" w:fill="FFFFFF"/>
        </w:rPr>
        <w:t xml:space="preserve">250- 300 words </w:t>
      </w:r>
    </w:p>
    <w:p w14:paraId="3AC6469A" w14:textId="638F6081" w:rsidR="00625BC1" w:rsidRDefault="00625BC1">
      <w:pPr>
        <w:pStyle w:val="Tekstopmerking"/>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34688" w14:textId="77777777" w:rsidR="0084676D" w:rsidRDefault="0084676D" w:rsidP="00FE7393">
      <w:r>
        <w:separator/>
      </w:r>
    </w:p>
  </w:endnote>
  <w:endnote w:type="continuationSeparator" w:id="0">
    <w:p w14:paraId="4283C573" w14:textId="77777777" w:rsidR="0084676D" w:rsidRDefault="0084676D"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625BC1" w:rsidRDefault="00625BC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625BC1" w:rsidRDefault="00625BC1"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EndPr>
      <w:rPr>
        <w:rStyle w:val="Paginanummer"/>
      </w:rPr>
    </w:sdtEndPr>
    <w:sdtContent>
      <w:p w14:paraId="00329293" w14:textId="30F7BF95" w:rsidR="00625BC1" w:rsidRDefault="00625BC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F8406C">
          <w:rPr>
            <w:rStyle w:val="Paginanummer"/>
            <w:noProof/>
          </w:rPr>
          <w:t>10</w:t>
        </w:r>
        <w:r>
          <w:rPr>
            <w:rStyle w:val="Paginanummer"/>
          </w:rPr>
          <w:fldChar w:fldCharType="end"/>
        </w:r>
      </w:p>
    </w:sdtContent>
  </w:sdt>
  <w:p w14:paraId="4CEB769F" w14:textId="77777777" w:rsidR="00625BC1" w:rsidRDefault="00625BC1"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4D37B" w14:textId="77777777" w:rsidR="0084676D" w:rsidRDefault="0084676D" w:rsidP="00FE7393">
      <w:r>
        <w:separator/>
      </w:r>
    </w:p>
  </w:footnote>
  <w:footnote w:type="continuationSeparator" w:id="0">
    <w:p w14:paraId="06C019B0" w14:textId="77777777" w:rsidR="0084676D" w:rsidRDefault="0084676D"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72A8"/>
    <w:rsid w:val="0008B50C"/>
    <w:rsid w:val="000960D9"/>
    <w:rsid w:val="000A1D9C"/>
    <w:rsid w:val="000A1DDC"/>
    <w:rsid w:val="000A2011"/>
    <w:rsid w:val="000B024F"/>
    <w:rsid w:val="000B1FAF"/>
    <w:rsid w:val="000B3CED"/>
    <w:rsid w:val="000B6FDB"/>
    <w:rsid w:val="000C277C"/>
    <w:rsid w:val="000C2C4F"/>
    <w:rsid w:val="000C32EF"/>
    <w:rsid w:val="000C3F23"/>
    <w:rsid w:val="000C7112"/>
    <w:rsid w:val="000D187D"/>
    <w:rsid w:val="000D7728"/>
    <w:rsid w:val="000D79FE"/>
    <w:rsid w:val="000E4643"/>
    <w:rsid w:val="000E539F"/>
    <w:rsid w:val="000EA3A3"/>
    <w:rsid w:val="000F1AFD"/>
    <w:rsid w:val="000F1B05"/>
    <w:rsid w:val="000F21BC"/>
    <w:rsid w:val="000F224F"/>
    <w:rsid w:val="000F725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559E3"/>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38EF"/>
    <w:rsid w:val="001C638F"/>
    <w:rsid w:val="001C7EE9"/>
    <w:rsid w:val="001C7EFB"/>
    <w:rsid w:val="001D4731"/>
    <w:rsid w:val="001D4D31"/>
    <w:rsid w:val="001E0604"/>
    <w:rsid w:val="001E1B6B"/>
    <w:rsid w:val="001E1D2F"/>
    <w:rsid w:val="001E4191"/>
    <w:rsid w:val="001E60E4"/>
    <w:rsid w:val="001E69DE"/>
    <w:rsid w:val="001F0CCD"/>
    <w:rsid w:val="001F3FAE"/>
    <w:rsid w:val="001F4168"/>
    <w:rsid w:val="001F564F"/>
    <w:rsid w:val="001F69FD"/>
    <w:rsid w:val="00200F83"/>
    <w:rsid w:val="00202AC6"/>
    <w:rsid w:val="0020337C"/>
    <w:rsid w:val="00204514"/>
    <w:rsid w:val="002048D1"/>
    <w:rsid w:val="00204932"/>
    <w:rsid w:val="00204EDB"/>
    <w:rsid w:val="0020725F"/>
    <w:rsid w:val="00211593"/>
    <w:rsid w:val="00212C81"/>
    <w:rsid w:val="00213F7D"/>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0160"/>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C67AE"/>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36828"/>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BA6"/>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0E26"/>
    <w:rsid w:val="004163EC"/>
    <w:rsid w:val="00420C01"/>
    <w:rsid w:val="0042311D"/>
    <w:rsid w:val="00423703"/>
    <w:rsid w:val="00424F66"/>
    <w:rsid w:val="004257EC"/>
    <w:rsid w:val="004275E2"/>
    <w:rsid w:val="004323E1"/>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75A03"/>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0FB0"/>
    <w:rsid w:val="005145A4"/>
    <w:rsid w:val="00514AC6"/>
    <w:rsid w:val="00514E05"/>
    <w:rsid w:val="0051545D"/>
    <w:rsid w:val="00516760"/>
    <w:rsid w:val="0052397F"/>
    <w:rsid w:val="00527D71"/>
    <w:rsid w:val="005305F4"/>
    <w:rsid w:val="005337D5"/>
    <w:rsid w:val="00535189"/>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1B09"/>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2010"/>
    <w:rsid w:val="00613927"/>
    <w:rsid w:val="00613DD2"/>
    <w:rsid w:val="00615993"/>
    <w:rsid w:val="00621B9E"/>
    <w:rsid w:val="00621EAC"/>
    <w:rsid w:val="00622B73"/>
    <w:rsid w:val="00623071"/>
    <w:rsid w:val="00625BC1"/>
    <w:rsid w:val="006308FD"/>
    <w:rsid w:val="00633198"/>
    <w:rsid w:val="00633DE9"/>
    <w:rsid w:val="00635FE5"/>
    <w:rsid w:val="00637AAF"/>
    <w:rsid w:val="00641034"/>
    <w:rsid w:val="006479D9"/>
    <w:rsid w:val="0065107A"/>
    <w:rsid w:val="00651672"/>
    <w:rsid w:val="00654393"/>
    <w:rsid w:val="0065685F"/>
    <w:rsid w:val="00657E5E"/>
    <w:rsid w:val="00660E0C"/>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A77DC"/>
    <w:rsid w:val="006B0601"/>
    <w:rsid w:val="006B4CF0"/>
    <w:rsid w:val="006B5580"/>
    <w:rsid w:val="006B6D0B"/>
    <w:rsid w:val="006C1239"/>
    <w:rsid w:val="006C1425"/>
    <w:rsid w:val="006C17F7"/>
    <w:rsid w:val="006C2355"/>
    <w:rsid w:val="006C23B2"/>
    <w:rsid w:val="006C491F"/>
    <w:rsid w:val="006C5AAD"/>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0707"/>
    <w:rsid w:val="00722EFA"/>
    <w:rsid w:val="0072588B"/>
    <w:rsid w:val="007259FA"/>
    <w:rsid w:val="00730ADB"/>
    <w:rsid w:val="00731953"/>
    <w:rsid w:val="00731F63"/>
    <w:rsid w:val="007342AB"/>
    <w:rsid w:val="00737CE6"/>
    <w:rsid w:val="00740C80"/>
    <w:rsid w:val="00741B42"/>
    <w:rsid w:val="0074641A"/>
    <w:rsid w:val="00746F41"/>
    <w:rsid w:val="007503B9"/>
    <w:rsid w:val="00753E4B"/>
    <w:rsid w:val="0076066B"/>
    <w:rsid w:val="00763B44"/>
    <w:rsid w:val="00764BAA"/>
    <w:rsid w:val="007711B2"/>
    <w:rsid w:val="007809CA"/>
    <w:rsid w:val="00782CE0"/>
    <w:rsid w:val="00784C81"/>
    <w:rsid w:val="00786FBC"/>
    <w:rsid w:val="00787ED8"/>
    <w:rsid w:val="00790DBC"/>
    <w:rsid w:val="00792B42"/>
    <w:rsid w:val="00793D96"/>
    <w:rsid w:val="0079587E"/>
    <w:rsid w:val="0079D49A"/>
    <w:rsid w:val="007A1546"/>
    <w:rsid w:val="007A393E"/>
    <w:rsid w:val="007B7745"/>
    <w:rsid w:val="007B7A3D"/>
    <w:rsid w:val="007C0CF8"/>
    <w:rsid w:val="007C1053"/>
    <w:rsid w:val="007C1283"/>
    <w:rsid w:val="007C6E31"/>
    <w:rsid w:val="007C7AFC"/>
    <w:rsid w:val="007D243A"/>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269CC"/>
    <w:rsid w:val="00830F68"/>
    <w:rsid w:val="00831878"/>
    <w:rsid w:val="00833B51"/>
    <w:rsid w:val="00834B5E"/>
    <w:rsid w:val="0083596A"/>
    <w:rsid w:val="00835D5A"/>
    <w:rsid w:val="0084022E"/>
    <w:rsid w:val="00840404"/>
    <w:rsid w:val="008439A1"/>
    <w:rsid w:val="00844D8B"/>
    <w:rsid w:val="00845D99"/>
    <w:rsid w:val="0084601D"/>
    <w:rsid w:val="00846768"/>
    <w:rsid w:val="0084676D"/>
    <w:rsid w:val="00846F5B"/>
    <w:rsid w:val="00850014"/>
    <w:rsid w:val="00856579"/>
    <w:rsid w:val="008569DD"/>
    <w:rsid w:val="00857D63"/>
    <w:rsid w:val="00863BD6"/>
    <w:rsid w:val="00865324"/>
    <w:rsid w:val="008668E7"/>
    <w:rsid w:val="00870ADD"/>
    <w:rsid w:val="00870D1A"/>
    <w:rsid w:val="00872009"/>
    <w:rsid w:val="008734A0"/>
    <w:rsid w:val="00877B32"/>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E764D"/>
    <w:rsid w:val="008F0D9E"/>
    <w:rsid w:val="008F19F8"/>
    <w:rsid w:val="008F415D"/>
    <w:rsid w:val="008F4D66"/>
    <w:rsid w:val="00900DFE"/>
    <w:rsid w:val="0090488B"/>
    <w:rsid w:val="00905441"/>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3C2C"/>
    <w:rsid w:val="00964D07"/>
    <w:rsid w:val="00966B36"/>
    <w:rsid w:val="00967345"/>
    <w:rsid w:val="00970A14"/>
    <w:rsid w:val="009718DF"/>
    <w:rsid w:val="0097278A"/>
    <w:rsid w:val="009727C4"/>
    <w:rsid w:val="0097519D"/>
    <w:rsid w:val="009812F3"/>
    <w:rsid w:val="00983664"/>
    <w:rsid w:val="00985DBF"/>
    <w:rsid w:val="00990D9B"/>
    <w:rsid w:val="0099203E"/>
    <w:rsid w:val="00992309"/>
    <w:rsid w:val="00992E03"/>
    <w:rsid w:val="00993323"/>
    <w:rsid w:val="00995228"/>
    <w:rsid w:val="00995896"/>
    <w:rsid w:val="009A4495"/>
    <w:rsid w:val="009C656C"/>
    <w:rsid w:val="009D493D"/>
    <w:rsid w:val="009D5E88"/>
    <w:rsid w:val="009D6D25"/>
    <w:rsid w:val="009D7F52"/>
    <w:rsid w:val="009E22E4"/>
    <w:rsid w:val="009E508D"/>
    <w:rsid w:val="009E62A4"/>
    <w:rsid w:val="009E7D3A"/>
    <w:rsid w:val="009F13BC"/>
    <w:rsid w:val="009F59BD"/>
    <w:rsid w:val="009F62A4"/>
    <w:rsid w:val="00A00A32"/>
    <w:rsid w:val="00A04BC9"/>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2479"/>
    <w:rsid w:val="00AA3B86"/>
    <w:rsid w:val="00AA5D26"/>
    <w:rsid w:val="00AB781F"/>
    <w:rsid w:val="00AB7AD2"/>
    <w:rsid w:val="00AC0AFE"/>
    <w:rsid w:val="00AC257A"/>
    <w:rsid w:val="00AC2803"/>
    <w:rsid w:val="00AC2E3D"/>
    <w:rsid w:val="00AC2F29"/>
    <w:rsid w:val="00AC4747"/>
    <w:rsid w:val="00AC6F5A"/>
    <w:rsid w:val="00AD37E0"/>
    <w:rsid w:val="00AD5313"/>
    <w:rsid w:val="00AD53CD"/>
    <w:rsid w:val="00AD62CA"/>
    <w:rsid w:val="00AE7483"/>
    <w:rsid w:val="00AF0E0B"/>
    <w:rsid w:val="00AF3014"/>
    <w:rsid w:val="00AF3CB7"/>
    <w:rsid w:val="00AF6E67"/>
    <w:rsid w:val="00B0055D"/>
    <w:rsid w:val="00B01625"/>
    <w:rsid w:val="00B04FAC"/>
    <w:rsid w:val="00B05DB4"/>
    <w:rsid w:val="00B07AF2"/>
    <w:rsid w:val="00B07D8C"/>
    <w:rsid w:val="00B1007B"/>
    <w:rsid w:val="00B10237"/>
    <w:rsid w:val="00B12901"/>
    <w:rsid w:val="00B12A7F"/>
    <w:rsid w:val="00B2275C"/>
    <w:rsid w:val="00B23379"/>
    <w:rsid w:val="00B240B5"/>
    <w:rsid w:val="00B243F4"/>
    <w:rsid w:val="00B25D96"/>
    <w:rsid w:val="00B25DB0"/>
    <w:rsid w:val="00B26867"/>
    <w:rsid w:val="00B271FB"/>
    <w:rsid w:val="00B308D5"/>
    <w:rsid w:val="00B33A0A"/>
    <w:rsid w:val="00B366DE"/>
    <w:rsid w:val="00B36A8C"/>
    <w:rsid w:val="00B433A0"/>
    <w:rsid w:val="00B44D15"/>
    <w:rsid w:val="00B478AE"/>
    <w:rsid w:val="00B51005"/>
    <w:rsid w:val="00B53AF3"/>
    <w:rsid w:val="00B5450E"/>
    <w:rsid w:val="00B54621"/>
    <w:rsid w:val="00B55C74"/>
    <w:rsid w:val="00B6060C"/>
    <w:rsid w:val="00B61557"/>
    <w:rsid w:val="00B62574"/>
    <w:rsid w:val="00B64A87"/>
    <w:rsid w:val="00B6703D"/>
    <w:rsid w:val="00B6789B"/>
    <w:rsid w:val="00B718C3"/>
    <w:rsid w:val="00B76DA6"/>
    <w:rsid w:val="00B80056"/>
    <w:rsid w:val="00B80DE7"/>
    <w:rsid w:val="00B85297"/>
    <w:rsid w:val="00B85E9B"/>
    <w:rsid w:val="00B8641D"/>
    <w:rsid w:val="00B87745"/>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23BB"/>
    <w:rsid w:val="00BD50BF"/>
    <w:rsid w:val="00BD5E97"/>
    <w:rsid w:val="00BD7A9F"/>
    <w:rsid w:val="00BE12DA"/>
    <w:rsid w:val="00BE4A57"/>
    <w:rsid w:val="00BE6480"/>
    <w:rsid w:val="00BED763"/>
    <w:rsid w:val="00BF031F"/>
    <w:rsid w:val="00C00721"/>
    <w:rsid w:val="00C0418C"/>
    <w:rsid w:val="00C047C6"/>
    <w:rsid w:val="00C12402"/>
    <w:rsid w:val="00C12832"/>
    <w:rsid w:val="00C24363"/>
    <w:rsid w:val="00C24ED4"/>
    <w:rsid w:val="00C26755"/>
    <w:rsid w:val="00C2764C"/>
    <w:rsid w:val="00C30596"/>
    <w:rsid w:val="00C30BCA"/>
    <w:rsid w:val="00C3110E"/>
    <w:rsid w:val="00C34858"/>
    <w:rsid w:val="00C35271"/>
    <w:rsid w:val="00C43C4F"/>
    <w:rsid w:val="00C464ED"/>
    <w:rsid w:val="00C47D5A"/>
    <w:rsid w:val="00C56785"/>
    <w:rsid w:val="00C67871"/>
    <w:rsid w:val="00C678D7"/>
    <w:rsid w:val="00C758B4"/>
    <w:rsid w:val="00C76E45"/>
    <w:rsid w:val="00C8046C"/>
    <w:rsid w:val="00C84BA3"/>
    <w:rsid w:val="00C86483"/>
    <w:rsid w:val="00C8778C"/>
    <w:rsid w:val="00C877CE"/>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615D"/>
    <w:rsid w:val="00CD7A9B"/>
    <w:rsid w:val="00CE22D4"/>
    <w:rsid w:val="00CE345F"/>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522"/>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9C5"/>
    <w:rsid w:val="00E21A7F"/>
    <w:rsid w:val="00E25C4D"/>
    <w:rsid w:val="00E3229F"/>
    <w:rsid w:val="00E3345C"/>
    <w:rsid w:val="00E4132A"/>
    <w:rsid w:val="00E4166A"/>
    <w:rsid w:val="00E514DF"/>
    <w:rsid w:val="00E601B7"/>
    <w:rsid w:val="00E63B2C"/>
    <w:rsid w:val="00E63B33"/>
    <w:rsid w:val="00E65891"/>
    <w:rsid w:val="00E65A86"/>
    <w:rsid w:val="00E65E61"/>
    <w:rsid w:val="00E678CD"/>
    <w:rsid w:val="00E70F2E"/>
    <w:rsid w:val="00E71200"/>
    <w:rsid w:val="00E73563"/>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05F1D"/>
    <w:rsid w:val="00F1403D"/>
    <w:rsid w:val="00F16806"/>
    <w:rsid w:val="00F17231"/>
    <w:rsid w:val="00F203BD"/>
    <w:rsid w:val="00F22109"/>
    <w:rsid w:val="00F23642"/>
    <w:rsid w:val="00F265AD"/>
    <w:rsid w:val="00F26CE8"/>
    <w:rsid w:val="00F2711F"/>
    <w:rsid w:val="00F31A0D"/>
    <w:rsid w:val="00F323B8"/>
    <w:rsid w:val="00F3324B"/>
    <w:rsid w:val="00F33358"/>
    <w:rsid w:val="00F3380A"/>
    <w:rsid w:val="00F34F0F"/>
    <w:rsid w:val="00F42A4D"/>
    <w:rsid w:val="00F435BA"/>
    <w:rsid w:val="00F43C9F"/>
    <w:rsid w:val="00F45670"/>
    <w:rsid w:val="00F5106D"/>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8406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37364A18-093E-4DAB-B3B7-878769A36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06008452">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687221392">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 w:id="815030058">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 w:id="202180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1485EF-B139-4C87-B3BB-69A4195DC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25</Pages>
  <Words>50881</Words>
  <Characters>290027</Characters>
  <Application>Microsoft Office Word</Application>
  <DocSecurity>0</DocSecurity>
  <Lines>2416</Lines>
  <Paragraphs>680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25</cp:revision>
  <dcterms:created xsi:type="dcterms:W3CDTF">2020-06-15T14:47:00Z</dcterms:created>
  <dcterms:modified xsi:type="dcterms:W3CDTF">2020-06-18T13:25:00Z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