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3BD14" w14:textId="39DB439F" w:rsidR="00DA712E" w:rsidRPr="0092480E" w:rsidRDefault="005145A4" w:rsidP="00153762">
      <w:pPr>
        <w:pStyle w:val="Title"/>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Benjamin Gravesteijn</w:t>
      </w:r>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Eline Krijkamp</w:t>
      </w:r>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xml:space="preserve">, Jan </w:t>
      </w:r>
      <w:proofErr w:type="spellStart"/>
      <w:r w:rsidRPr="00306820">
        <w:rPr>
          <w:rFonts w:ascii="Calibri" w:eastAsia="Calibri" w:hAnsi="Calibri" w:cs="Calibri"/>
          <w:lang w:val="nl-NL"/>
        </w:rPr>
        <w:t>Busschbach</w:t>
      </w:r>
      <w:proofErr w:type="spellEnd"/>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 xml:space="preserve">Geert </w:t>
      </w:r>
      <w:proofErr w:type="spellStart"/>
      <w:r w:rsidR="3B874E9B" w:rsidRPr="00306820">
        <w:rPr>
          <w:rFonts w:ascii="Calibri" w:eastAsia="Calibri" w:hAnsi="Calibri" w:cs="Calibri"/>
          <w:lang w:val="nl-NL"/>
        </w:rPr>
        <w:t>Geleijnse</w:t>
      </w:r>
      <w:proofErr w:type="spellEnd"/>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w:t>
      </w:r>
      <w:proofErr w:type="spellStart"/>
      <w:r w:rsidR="00584B7F" w:rsidRPr="00306820">
        <w:rPr>
          <w:rFonts w:ascii="Calibri" w:eastAsia="Calibri" w:hAnsi="Calibri" w:cs="Calibri"/>
          <w:lang w:val="nl-NL"/>
        </w:rPr>
        <w:t>Retel</w:t>
      </w:r>
      <w:proofErr w:type="spellEnd"/>
      <w:r w:rsidR="00584B7F" w:rsidRPr="00306820">
        <w:rPr>
          <w:rFonts w:ascii="Calibri" w:eastAsia="Calibri" w:hAnsi="Calibri" w:cs="Calibri"/>
          <w:lang w:val="nl-NL"/>
        </w:rPr>
        <w:t xml:space="preserve"> </w:t>
      </w:r>
      <w:proofErr w:type="spellStart"/>
      <w:r w:rsidR="00584B7F" w:rsidRPr="00306820">
        <w:rPr>
          <w:rFonts w:ascii="Calibri" w:eastAsia="Calibri" w:hAnsi="Calibri" w:cs="Calibri"/>
          <w:lang w:val="nl-NL"/>
        </w:rPr>
        <w:t>Helmrich</w:t>
      </w:r>
      <w:proofErr w:type="spellEnd"/>
      <w:r w:rsidR="00584B7F" w:rsidRPr="00306820">
        <w:rPr>
          <w:rFonts w:ascii="Calibri" w:eastAsia="Calibri" w:hAnsi="Calibri" w:cs="Calibri"/>
          <w:lang w:val="nl-NL"/>
        </w:rPr>
        <w:t xml:space="preserve">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w:t>
      </w:r>
      <w:proofErr w:type="spellStart"/>
      <w:r w:rsidR="004A5E8C">
        <w:rPr>
          <w:rFonts w:ascii="Calibri" w:eastAsia="Calibri" w:hAnsi="Calibri" w:cs="Calibri"/>
          <w:lang w:val="nl-NL"/>
        </w:rPr>
        <w:t>Steyerberg</w:t>
      </w:r>
      <w:proofErr w:type="spellEnd"/>
      <w:r w:rsidR="004A5E8C">
        <w:rPr>
          <w:rFonts w:ascii="Calibri" w:eastAsia="Calibri" w:hAnsi="Calibri" w:cs="Calibri"/>
          <w:lang w:val="nl-NL"/>
        </w:rPr>
        <w:t xml:space="preserve">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 xml:space="preserve">Jan van </w:t>
      </w:r>
      <w:proofErr w:type="spellStart"/>
      <w:r w:rsidRPr="00306820">
        <w:rPr>
          <w:rFonts w:ascii="Calibri" w:eastAsia="Calibri" w:hAnsi="Calibri" w:cs="Calibri"/>
          <w:lang w:val="nl-NL"/>
        </w:rPr>
        <w:t>Saase</w:t>
      </w:r>
      <w:proofErr w:type="spellEnd"/>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Hester Lingsma</w:t>
      </w:r>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xml:space="preserve">, Rob </w:t>
      </w:r>
      <w:proofErr w:type="spellStart"/>
      <w:r w:rsidRPr="00306820">
        <w:rPr>
          <w:rFonts w:ascii="Calibri" w:eastAsia="Calibri" w:hAnsi="Calibri" w:cs="Calibri"/>
          <w:lang w:val="nl-NL"/>
        </w:rPr>
        <w:t>Baatenburg</w:t>
      </w:r>
      <w:proofErr w:type="spellEnd"/>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xml:space="preserve">, </w:t>
      </w:r>
      <w:proofErr w:type="spellStart"/>
      <w:r w:rsidR="04214332" w:rsidRPr="00306820">
        <w:rPr>
          <w:rFonts w:ascii="Calibri" w:eastAsia="Calibri" w:hAnsi="Calibri" w:cs="Calibri"/>
          <w:lang w:val="nl-NL"/>
        </w:rPr>
        <w:t>and</w:t>
      </w:r>
      <w:proofErr w:type="spellEnd"/>
      <w:r w:rsidR="04214332" w:rsidRPr="00306820">
        <w:rPr>
          <w:rFonts w:ascii="Calibri" w:eastAsia="Calibri" w:hAnsi="Calibri" w:cs="Calibri"/>
          <w:lang w:val="nl-NL"/>
        </w:rPr>
        <w:t xml:space="preserve">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w:t>
      </w:r>
      <w:proofErr w:type="spellStart"/>
      <w:r w:rsidR="00A43F26" w:rsidRPr="0092480E">
        <w:rPr>
          <w:rFonts w:ascii="Calibri" w:eastAsia="Calibri" w:hAnsi="Calibri" w:cs="Calibri"/>
          <w:lang w:val="nl-NL"/>
        </w:rPr>
        <w:t>Based</w:t>
      </w:r>
      <w:proofErr w:type="spellEnd"/>
      <w:r w:rsidR="00A43F26" w:rsidRPr="0092480E">
        <w:rPr>
          <w:rFonts w:ascii="Calibri" w:eastAsia="Calibri" w:hAnsi="Calibri" w:cs="Calibri"/>
          <w:lang w:val="nl-NL"/>
        </w:rPr>
        <w:t xml:space="preserve"> </w:t>
      </w:r>
      <w:proofErr w:type="spellStart"/>
      <w:r w:rsidR="003A5099">
        <w:rPr>
          <w:rFonts w:ascii="Calibri" w:eastAsia="Calibri" w:hAnsi="Calibri" w:cs="Calibri"/>
          <w:lang w:val="nl-NL"/>
        </w:rPr>
        <w:t>Operation</w:t>
      </w:r>
      <w:proofErr w:type="spellEnd"/>
      <w:r w:rsidR="003A5099">
        <w:rPr>
          <w:rFonts w:ascii="Calibri" w:eastAsia="Calibri" w:hAnsi="Calibri" w:cs="Calibri"/>
          <w:lang w:val="nl-NL"/>
        </w:rPr>
        <w:t xml:space="preserve">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w:t>
      </w:r>
      <w:proofErr w:type="spellStart"/>
      <w:r w:rsidR="00E25C4D" w:rsidRPr="0092480E">
        <w:rPr>
          <w:rFonts w:ascii="Calibri" w:eastAsia="Calibri" w:hAnsi="Calibri" w:cs="Calibri"/>
          <w:lang w:val="nl-NL"/>
        </w:rPr>
        <w:t>Bangma</w:t>
      </w:r>
      <w:proofErr w:type="spellEnd"/>
      <w:r w:rsidR="00E25C4D" w:rsidRPr="0092480E">
        <w:rPr>
          <w:rFonts w:ascii="Calibri" w:eastAsia="Calibri" w:hAnsi="Calibri" w:cs="Calibri"/>
          <w:lang w:val="nl-NL"/>
        </w:rPr>
        <w:t>,</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Bindels</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Dirven</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T</w:t>
      </w:r>
      <w:r w:rsidR="00584B7F" w:rsidRPr="0092480E">
        <w:rPr>
          <w:rFonts w:ascii="Calibri" w:eastAsia="Calibri" w:hAnsi="Calibri" w:cs="Calibri"/>
          <w:lang w:val="nl-NL"/>
        </w:rPr>
        <w:t>jebbe</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Galema</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w:t>
      </w:r>
      <w:proofErr w:type="spellStart"/>
      <w:r w:rsidR="00CE22D4" w:rsidRPr="0092480E">
        <w:rPr>
          <w:rFonts w:ascii="Calibri" w:eastAsia="Calibri" w:hAnsi="Calibri" w:cs="Calibri"/>
          <w:lang w:val="nl-NL"/>
        </w:rPr>
        <w:t>Polinder</w:t>
      </w:r>
      <w:proofErr w:type="spellEnd"/>
      <w:r w:rsidR="00CE22D4" w:rsidRPr="0092480E">
        <w:rPr>
          <w:rFonts w:ascii="Calibri" w:eastAsia="Calibri" w:hAnsi="Calibri" w:cs="Calibri"/>
          <w:lang w:val="nl-NL"/>
        </w:rPr>
        <w:t xml:space="preserve">-Bos,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61BFBB1C" w:rsidR="00155FFA" w:rsidRPr="00155FFA" w:rsidRDefault="00155FFA" w:rsidP="00155FFA">
      <w:pPr>
        <w:spacing w:line="276" w:lineRule="auto"/>
        <w:rPr>
          <w:rFonts w:ascii="Calibri" w:hAnsi="Calibri" w:cs="Calibri"/>
        </w:rPr>
      </w:pPr>
      <w:r>
        <w:rPr>
          <w:rFonts w:ascii="Calibri" w:hAnsi="Calibri" w:cs="Calibri"/>
        </w:rPr>
        <w:t xml:space="preserve">Word count: </w:t>
      </w:r>
      <w:r w:rsidR="00793554">
        <w:rPr>
          <w:rFonts w:ascii="Calibri" w:hAnsi="Calibri" w:cs="Calibri"/>
        </w:rPr>
        <w:t>3</w:t>
      </w:r>
      <w:r w:rsidR="00AC036D">
        <w:rPr>
          <w:rFonts w:ascii="Calibri" w:hAnsi="Calibri" w:cs="Calibri"/>
        </w:rPr>
        <w:t>5</w:t>
      </w:r>
      <w:r w:rsidR="00793554">
        <w:rPr>
          <w:rFonts w:ascii="Calibri" w:hAnsi="Calibri" w:cs="Calibri"/>
        </w:rPr>
        <w:t>00</w:t>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5CA7376D" w:rsidR="00737CE6" w:rsidRPr="0092480E" w:rsidRDefault="00737CE6" w:rsidP="00153762">
      <w:pPr>
        <w:pStyle w:val="Heading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Heading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0878FBB3"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 xml:space="preserve">WHO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Heading2"/>
        <w:spacing w:before="0" w:after="160" w:line="276" w:lineRule="auto"/>
        <w:rPr>
          <w:rFonts w:ascii="Calibri" w:hAnsi="Calibri" w:cs="Calibri"/>
          <w:lang w:val="en-US"/>
        </w:rPr>
      </w:pPr>
    </w:p>
    <w:p w14:paraId="68617D15" w14:textId="621329AD" w:rsidR="006D27F5"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7F68AB95" w:rsidR="004E657C" w:rsidRDefault="00964D07" w:rsidP="00B07D8C">
      <w:pPr>
        <w:spacing w:line="276" w:lineRule="auto"/>
        <w:rPr>
          <w:rFonts w:ascii="Calibri" w:hAnsi="Calibri" w:cs="Calibri"/>
        </w:rPr>
      </w:pPr>
      <w:r w:rsidRPr="00E71200">
        <w:rPr>
          <w:rFonts w:ascii="Calibri" w:hAnsi="Calibri" w:cs="Calibri"/>
        </w:rPr>
        <w:t xml:space="preserve">If </w:t>
      </w:r>
      <w:r w:rsidR="00E71200" w:rsidRPr="00E71200">
        <w:rPr>
          <w:rFonts w:ascii="Calibri" w:hAnsi="Calibri" w:cs="Calibri"/>
        </w:rPr>
        <w:t>best available evidence was used</w:t>
      </w:r>
      <w:r w:rsidR="0069315C" w:rsidRPr="00E71200">
        <w:rPr>
          <w:rFonts w:ascii="Calibri" w:hAnsi="Calibri" w:cs="Calibri"/>
        </w:rPr>
        <w:t>, 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95%-CI: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r w:rsidR="00F3324B" w:rsidRPr="004323E1">
        <w:rPr>
          <w:rFonts w:ascii="Calibri" w:hAnsi="Calibri" w:cs="Calibri"/>
        </w:rPr>
        <w:t>transaortic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Heading2"/>
        <w:spacing w:line="276" w:lineRule="auto"/>
        <w:rPr>
          <w:rFonts w:ascii="Calibri" w:hAnsi="Calibri" w:cs="Calibri"/>
          <w:lang w:val="en-US"/>
        </w:rPr>
      </w:pPr>
      <w:r w:rsidRPr="0092480E">
        <w:rPr>
          <w:rFonts w:ascii="Calibri" w:hAnsi="Calibri" w:cs="Calibri"/>
          <w:lang w:val="en-US"/>
        </w:rPr>
        <w:t>Conclusion</w:t>
      </w:r>
    </w:p>
    <w:p w14:paraId="33023EA8" w14:textId="79C1AFC9"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it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Heading2"/>
        <w:spacing w:line="276" w:lineRule="auto"/>
        <w:rPr>
          <w:rFonts w:ascii="Calibri" w:hAnsi="Calibri" w:cs="Calibri"/>
          <w:lang w:val="en-US"/>
        </w:rPr>
      </w:pPr>
      <w:r w:rsidRPr="0092480E">
        <w:rPr>
          <w:rFonts w:ascii="Calibri" w:hAnsi="Calibri" w:cs="Calibri"/>
          <w:lang w:val="en-US"/>
        </w:rPr>
        <w:lastRenderedPageBreak/>
        <w:t>Background</w:t>
      </w:r>
    </w:p>
    <w:p w14:paraId="0A5E86E6" w14:textId="3EBD847B" w:rsidR="59F76BD3" w:rsidRPr="00C2764C"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FF5FD7">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383134" w:rsidRPr="00383134">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00BF28A9">
        <w:rPr>
          <w:rFonts w:ascii="Calibri" w:eastAsia="Calibri" w:hAnsi="Calibri" w:cs="Calibri"/>
        </w:rPr>
        <w:t xml:space="preserve">. Among other things </w:t>
      </w:r>
      <w:r w:rsidR="00162DFF">
        <w:rPr>
          <w:rFonts w:ascii="Calibri" w:eastAsia="Calibri" w:hAnsi="Calibri" w:cs="Calibri"/>
        </w:rPr>
        <w:t xml:space="preserve">because </w:t>
      </w:r>
      <w:r w:rsidR="00FF5FD7">
        <w:rPr>
          <w:rFonts w:ascii="Calibri" w:eastAsia="Calibri" w:hAnsi="Calibri" w:cs="Calibri"/>
        </w:rPr>
        <w:t xml:space="preserve">1)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0FF5FD7">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00FF5FD7">
        <w:rPr>
          <w:rFonts w:ascii="Calibri" w:eastAsiaTheme="minorEastAsia" w:hAnsi="Calibri" w:cs="Calibri"/>
        </w:rPr>
        <w:t xml:space="preserve"> 2) </w:t>
      </w:r>
      <w:r w:rsidR="035A04FF" w:rsidRPr="00C2764C">
        <w:rPr>
          <w:rFonts w:ascii="Calibri" w:eastAsiaTheme="minorEastAsia" w:hAnsi="Calibri" w:cs="Calibri"/>
        </w:rPr>
        <w:t xml:space="preserve">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patients,</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r w:rsidR="00FF5FD7">
        <w:rPr>
          <w:rFonts w:ascii="Calibri" w:eastAsiaTheme="minorEastAsia" w:hAnsi="Calibri" w:cs="Calibri"/>
        </w:rPr>
        <w:t xml:space="preserve">and 3)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contagion with 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30B9A1A2" w:rsidR="256137A7" w:rsidRDefault="75544506" w:rsidP="00332D64">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7&lt;/sup&gt;","plainTextFormattedCitation":"7","previouslyFormattedCitation":"&lt;sup&gt;7&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7</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8&lt;/sup&gt;","plainTextFormattedCitation":"8","previouslyFormattedCitation":"&lt;sup&gt;8&lt;/sup&gt;"},"properties":{"noteIndex":0},"schema":"https://github.com/citation-style-language/schema/raw/master/csl-citation.json"}</w:instrText>
      </w:r>
      <w:r w:rsidR="00D240FC">
        <w:rPr>
          <w:rFonts w:ascii="Calibri" w:eastAsiaTheme="minorEastAsia" w:hAnsi="Calibri" w:cs="Calibri"/>
        </w:rPr>
        <w:fldChar w:fldCharType="separate"/>
      </w:r>
      <w:r w:rsidR="00FF5FD7" w:rsidRPr="00FF5FD7">
        <w:rPr>
          <w:rFonts w:ascii="Calibri" w:eastAsiaTheme="minorEastAsia" w:hAnsi="Calibri" w:cs="Calibri"/>
          <w:noProof/>
          <w:vertAlign w:val="superscript"/>
        </w:rPr>
        <w:t>8</w:t>
      </w:r>
      <w:r w:rsidR="00D240FC">
        <w:rPr>
          <w:rFonts w:ascii="Calibri" w:eastAsiaTheme="minorEastAsia" w:hAnsi="Calibri" w:cs="Calibri"/>
        </w:rPr>
        <w:fldChar w:fldCharType="end"/>
      </w:r>
      <w:r w:rsidR="00D240FC">
        <w:rPr>
          <w:rFonts w:ascii="Calibri" w:eastAsiaTheme="minorEastAsia" w:hAnsi="Calibri" w:cs="Calibri"/>
        </w:rPr>
        <w:t xml:space="preserve"> </w:t>
      </w:r>
      <w:r w:rsidR="00332D64" w:rsidRPr="00332D64">
        <w:rPr>
          <w:rFonts w:ascii="Calibri" w:eastAsiaTheme="minorEastAsia" w:hAnsi="Calibri" w:cs="Calibri"/>
        </w:rPr>
        <w:t>Moreover, it may be impossible to treat the whole accumulating group of patients</w:t>
      </w:r>
      <w:r w:rsidR="00162DFF">
        <w:rPr>
          <w:rFonts w:ascii="Calibri" w:eastAsiaTheme="minorEastAsia" w:hAnsi="Calibri" w:cs="Calibri"/>
        </w:rPr>
        <w:t>,</w:t>
      </w:r>
      <w:r w:rsidR="00332D64" w:rsidRPr="00332D64">
        <w:rPr>
          <w:rFonts w:ascii="Calibri" w:eastAsiaTheme="minorEastAsia" w:hAnsi="Calibri" w:cs="Calibri"/>
        </w:rPr>
        <w:t xml:space="preserve"> as</w:t>
      </w:r>
      <w:r w:rsidR="00FF5FD7">
        <w:rPr>
          <w:rFonts w:ascii="Calibri" w:eastAsiaTheme="minorEastAsia" w:hAnsi="Calibri" w:cs="Calibri"/>
        </w:rPr>
        <w:t xml:space="preserve"> </w:t>
      </w:r>
      <w:r w:rsidR="00BF28A9">
        <w:rPr>
          <w:rFonts w:ascii="Calibri" w:eastAsiaTheme="minorEastAsia" w:hAnsi="Calibri" w:cs="Calibri"/>
        </w:rPr>
        <w:t>estimated</w:t>
      </w:r>
      <w:r w:rsidR="00FF5FD7">
        <w:rPr>
          <w:rFonts w:ascii="Calibri" w:eastAsiaTheme="minorEastAsia" w:hAnsi="Calibri" w:cs="Calibri"/>
        </w:rPr>
        <w:t xml:space="preserve"> for orthopedic and cardiothoracic surgery in the US.</w:t>
      </w:r>
      <w:r w:rsidR="00FF5FD7">
        <w:rPr>
          <w:rFonts w:ascii="Calibri" w:eastAsiaTheme="minorEastAsia" w:hAnsi="Calibri" w:cs="Calibri"/>
        </w:rPr>
        <w:fldChar w:fldCharType="begin" w:fldLock="1"/>
      </w:r>
      <w:r w:rsidR="009B688A">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Recovery","type":"article-journal"},"uris":["http://www.mendeley.com/documents/?uuid=e050101e-19c8-348f-81dc-58a5fa29f68e"]},{"id":"ITEM-2","itemData":{"DOI":"10.1016/j.athoracsur.2020.04.018","ISSN":"00034975","PMID":"32376350","abstract":"BACKGROUND: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Surgery","id":"ITEM-2","issued":{"date-parts":[["2020","5","3"]]},"publisher":"NLM (Medline)","title":"The Surge after the Surge: Cardiac Surgery post-COVID-19","type":"article-journal"},"uris":["http://www.mendeley.com/documents/?uuid=064caad3-c6c3-320f-85f8-74e7da0badcb"]}],"mendeley":{"formattedCitation":"&lt;sup&gt;9,10&lt;/sup&gt;","plainTextFormattedCitation":"9,10","previouslyFormattedCitation":"&lt;sup&gt;9,10&lt;/sup&gt;"},"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9,10</w:t>
      </w:r>
      <w:r w:rsidR="00FF5FD7">
        <w:rPr>
          <w:rFonts w:ascii="Calibri" w:eastAsiaTheme="minorEastAsia" w:hAnsi="Calibri" w:cs="Calibri"/>
        </w:rPr>
        <w:fldChar w:fldCharType="end"/>
      </w:r>
      <w:r w:rsidR="00332D64" w:rsidDel="00332D64">
        <w:rPr>
          <w:rFonts w:ascii="Calibri" w:eastAsiaTheme="minorEastAsia" w:hAnsi="Calibri" w:cs="Calibri"/>
        </w:rPr>
        <w:t xml:space="preserve"> </w:t>
      </w:r>
      <w:r w:rsidR="005572BE">
        <w:rPr>
          <w:rFonts w:ascii="Calibri" w:eastAsiaTheme="minorEastAsia" w:hAnsi="Calibri" w:cs="Calibri"/>
        </w:rPr>
        <w:t>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C815A4E" w14:textId="77777777" w:rsidR="005726B9" w:rsidRPr="00C2764C" w:rsidRDefault="005726B9" w:rsidP="00153762">
      <w:pPr>
        <w:spacing w:line="276" w:lineRule="auto"/>
        <w:rPr>
          <w:rFonts w:ascii="Calibri" w:eastAsiaTheme="minorEastAsia" w:hAnsi="Calibri" w:cs="Calibri"/>
        </w:rPr>
      </w:pPr>
    </w:p>
    <w:p w14:paraId="4961370D" w14:textId="397B3BD2" w:rsidR="256137A7" w:rsidRPr="00C2764C" w:rsidRDefault="00E04D5D" w:rsidP="00FF5FD7">
      <w:pPr>
        <w:spacing w:line="276" w:lineRule="auto"/>
        <w:rPr>
          <w:rFonts w:ascii="Calibri" w:eastAsiaTheme="minorEastAsia" w:hAnsi="Calibri" w:cs="Calibri"/>
        </w:rPr>
      </w:pPr>
      <w:r>
        <w:rPr>
          <w:rFonts w:ascii="Calibri" w:eastAsiaTheme="minorEastAsia" w:hAnsi="Calibri" w:cs="Calibri"/>
        </w:rPr>
        <w:t>As stated</w:t>
      </w:r>
      <w:r w:rsidR="004F7C3E">
        <w:rPr>
          <w:rFonts w:ascii="Calibri" w:eastAsiaTheme="minorEastAsia" w:hAnsi="Calibri" w:cs="Calibri"/>
        </w:rPr>
        <w:t xml:space="preserve"> by Emanuel et al.</w:t>
      </w:r>
      <w:r>
        <w:rPr>
          <w:rFonts w:ascii="Calibri" w:eastAsiaTheme="minorEastAsia" w:hAnsi="Calibri" w:cs="Calibri"/>
        </w:rPr>
        <w:t xml:space="preserve">, </w:t>
      </w:r>
      <w:r w:rsidR="005726B9" w:rsidRPr="0047740F">
        <w:rPr>
          <w:rFonts w:ascii="Calibri" w:eastAsiaTheme="minorEastAsia" w:hAnsi="Calibri" w:cs="Calibri"/>
        </w:rPr>
        <w:t>“</w:t>
      </w:r>
      <w:r w:rsidR="005726B9"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005726B9" w:rsidRPr="00C2764C">
        <w:rPr>
          <w:rFonts w:ascii="Calibri" w:eastAsia="Calibri" w:hAnsi="Calibri" w:cs="Calibri"/>
        </w:rPr>
        <w:t>”.</w:t>
      </w:r>
      <w:r w:rsidR="005726B9" w:rsidRPr="00C2764C">
        <w:rPr>
          <w:rFonts w:ascii="Calibri" w:eastAsia="Calibri" w:hAnsi="Calibri" w:cs="Calibri"/>
        </w:rPr>
        <w:fldChar w:fldCharType="begin" w:fldLock="1"/>
      </w:r>
      <w:r w:rsidR="00FF5FD7">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5726B9" w:rsidRPr="00C2764C">
        <w:rPr>
          <w:rFonts w:ascii="Calibri" w:eastAsia="Calibri" w:hAnsi="Calibri" w:cs="Calibri"/>
        </w:rPr>
        <w:fldChar w:fldCharType="separate"/>
      </w:r>
      <w:r w:rsidR="00383134" w:rsidRPr="00383134">
        <w:rPr>
          <w:rFonts w:ascii="Calibri" w:eastAsia="Calibri" w:hAnsi="Calibri" w:cs="Calibri"/>
          <w:noProof/>
          <w:vertAlign w:val="superscript"/>
        </w:rPr>
        <w:t>2</w:t>
      </w:r>
      <w:r w:rsidR="005726B9" w:rsidRPr="00C2764C">
        <w:rPr>
          <w:rFonts w:ascii="Calibri" w:eastAsia="Calibri" w:hAnsi="Calibri" w:cs="Calibri"/>
        </w:rPr>
        <w:fldChar w:fldCharType="end"/>
      </w:r>
      <w:r w:rsidR="005726B9" w:rsidRPr="00C2764C">
        <w:rPr>
          <w:rFonts w:ascii="Calibri" w:hAnsi="Calibri" w:cs="Calibri"/>
        </w:rPr>
        <w:t xml:space="preserve"> </w:t>
      </w:r>
      <w:r w:rsidR="005726B9" w:rsidRPr="00C2764C">
        <w:rPr>
          <w:rFonts w:ascii="Calibri" w:eastAsia="Calibri" w:hAnsi="Calibri" w:cs="Calibri"/>
        </w:rPr>
        <w:t>I</w:t>
      </w:r>
      <w:r w:rsidR="005726B9" w:rsidRPr="00C2764C">
        <w:rPr>
          <w:rFonts w:ascii="Calibri" w:hAnsi="Calibri" w:cs="Calibri"/>
        </w:rPr>
        <w:t xml:space="preserve">n </w:t>
      </w:r>
      <w:r w:rsidR="002E38B8">
        <w:rPr>
          <w:rFonts w:ascii="Calibri" w:hAnsi="Calibri" w:cs="Calibri"/>
        </w:rPr>
        <w:t>practice</w:t>
      </w:r>
      <w:r w:rsidR="005726B9" w:rsidRPr="00C2764C">
        <w:rPr>
          <w:rFonts w:ascii="Calibri" w:hAnsi="Calibri" w:cs="Calibri"/>
        </w:rPr>
        <w:t xml:space="preserve">, </w:t>
      </w:r>
      <w:r w:rsidR="005726B9">
        <w:rPr>
          <w:rFonts w:ascii="Calibri" w:hAnsi="Calibri" w:cs="Calibri"/>
        </w:rPr>
        <w:t xml:space="preserve">individual </w:t>
      </w:r>
      <w:r w:rsidR="005726B9" w:rsidRPr="00C2764C">
        <w:rPr>
          <w:rFonts w:ascii="Calibri" w:hAnsi="Calibri" w:cs="Calibri"/>
        </w:rPr>
        <w:t>surgical patients are most often triaged by experts from the respective surgical</w:t>
      </w:r>
      <w:r w:rsidR="005726B9">
        <w:rPr>
          <w:rFonts w:ascii="Calibri" w:hAnsi="Calibri" w:cs="Calibri"/>
        </w:rPr>
        <w:t xml:space="preserve"> </w:t>
      </w:r>
      <w:r w:rsidR="00332D64" w:rsidRPr="00C2764C">
        <w:rPr>
          <w:rFonts w:ascii="Calibri" w:hAnsi="Calibri" w:cs="Calibri"/>
        </w:rPr>
        <w:t>fields</w:t>
      </w:r>
      <w:r w:rsidR="00332D64">
        <w:rPr>
          <w:rFonts w:ascii="Calibri" w:hAnsi="Calibri" w:cs="Calibri"/>
        </w:rPr>
        <w:t>.</w:t>
      </w:r>
      <w:r w:rsidR="00332D64" w:rsidRPr="00C2764C">
        <w:rPr>
          <w:rFonts w:ascii="Calibri" w:hAnsi="Calibri" w:cs="Calibri"/>
        </w:rPr>
        <w:fldChar w:fldCharType="begin" w:fldLock="1"/>
      </w:r>
      <w:r w:rsidR="00FF5FD7">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instrText>
      </w:r>
      <w:r w:rsidR="00332D64" w:rsidRPr="00C2764C">
        <w:rPr>
          <w:rFonts w:ascii="Calibri" w:hAnsi="Calibri" w:cs="Calibri"/>
        </w:rPr>
        <w:fldChar w:fldCharType="separate"/>
      </w:r>
      <w:r w:rsidR="00FF5FD7" w:rsidRPr="00FF5FD7">
        <w:rPr>
          <w:rFonts w:ascii="Calibri" w:hAnsi="Calibri" w:cs="Calibri"/>
          <w:noProof/>
          <w:vertAlign w:val="superscript"/>
        </w:rPr>
        <w:t>11</w:t>
      </w:r>
      <w:r w:rsidR="00332D64" w:rsidRPr="00C2764C">
        <w:rPr>
          <w:rFonts w:ascii="Calibri" w:hAnsi="Calibri" w:cs="Calibri"/>
        </w:rPr>
        <w:fldChar w:fldCharType="end"/>
      </w:r>
      <w:r w:rsidR="00332D64">
        <w:rPr>
          <w:rFonts w:ascii="Calibri" w:hAnsi="Calibri" w:cs="Calibri"/>
        </w:rPr>
        <w:t xml:space="preserve"> U</w:t>
      </w:r>
      <w:r w:rsidR="005726B9">
        <w:rPr>
          <w:rFonts w:ascii="Calibri" w:hAnsi="Calibri" w:cs="Calibri"/>
        </w:rPr>
        <w:t>nfortunately</w:t>
      </w:r>
      <w:r w:rsidR="009F07F7">
        <w:rPr>
          <w:rFonts w:ascii="Calibri" w:hAnsi="Calibri" w:cs="Calibri"/>
        </w:rPr>
        <w:t xml:space="preserve"> the</w:t>
      </w:r>
      <w:r w:rsidR="005726B9">
        <w:rPr>
          <w:rFonts w:ascii="Calibri" w:hAnsi="Calibri" w:cs="Calibri"/>
        </w:rPr>
        <w:t xml:space="preserve"> level of </w:t>
      </w:r>
      <w:r w:rsidR="005726B9" w:rsidRPr="00C2764C">
        <w:rPr>
          <w:rFonts w:ascii="Calibri" w:hAnsi="Calibri" w:cs="Calibri"/>
        </w:rPr>
        <w:t>agreement o</w:t>
      </w:r>
      <w:r w:rsidR="005726B9">
        <w:rPr>
          <w:rFonts w:ascii="Calibri" w:hAnsi="Calibri" w:cs="Calibri"/>
        </w:rPr>
        <w:t>n</w:t>
      </w:r>
      <w:r w:rsidR="005726B9" w:rsidRPr="00C2764C">
        <w:rPr>
          <w:rFonts w:ascii="Calibri" w:hAnsi="Calibri" w:cs="Calibri"/>
        </w:rPr>
        <w:t xml:space="preserve"> prioritization </w:t>
      </w:r>
      <w:r w:rsidR="005726B9">
        <w:rPr>
          <w:rFonts w:ascii="Calibri" w:hAnsi="Calibri" w:cs="Calibri"/>
        </w:rPr>
        <w:t>between</w:t>
      </w:r>
      <w:r w:rsidR="002E38B8">
        <w:rPr>
          <w:rFonts w:ascii="Calibri" w:hAnsi="Calibri" w:cs="Calibri"/>
        </w:rPr>
        <w:t xml:space="preserve"> </w:t>
      </w:r>
      <w:r w:rsidR="005726B9">
        <w:rPr>
          <w:rFonts w:ascii="Calibri" w:hAnsi="Calibri" w:cs="Calibri"/>
        </w:rPr>
        <w:t>experts</w:t>
      </w:r>
      <w:r w:rsidR="002E38B8">
        <w:rPr>
          <w:rFonts w:ascii="Calibri" w:hAnsi="Calibri" w:cs="Calibri"/>
        </w:rPr>
        <w:t xml:space="preserve"> </w:t>
      </w:r>
      <w:r w:rsidR="002E38B8" w:rsidRPr="00C2764C">
        <w:rPr>
          <w:rFonts w:ascii="Calibri" w:hAnsi="Calibri" w:cs="Calibri"/>
        </w:rPr>
        <w:t>is low</w:t>
      </w:r>
      <w:r w:rsidR="005726B9" w:rsidRPr="00C2764C">
        <w:rPr>
          <w:rFonts w:ascii="Calibri" w:hAnsi="Calibri" w:cs="Calibri"/>
        </w:rPr>
        <w:t>.</w:t>
      </w:r>
      <w:r w:rsidR="005726B9" w:rsidRPr="00C2764C">
        <w:rPr>
          <w:rFonts w:ascii="Calibri" w:hAnsi="Calibri" w:cs="Calibri"/>
        </w:rPr>
        <w:fldChar w:fldCharType="begin" w:fldLock="1"/>
      </w:r>
      <w:r w:rsidR="00FF5FD7">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instrText>
      </w:r>
      <w:r w:rsidR="005726B9" w:rsidRPr="00C2764C">
        <w:rPr>
          <w:rFonts w:ascii="Calibri" w:hAnsi="Calibri" w:cs="Calibri"/>
        </w:rPr>
        <w:fldChar w:fldCharType="separate"/>
      </w:r>
      <w:r w:rsidR="00FF5FD7" w:rsidRPr="00FF5FD7">
        <w:rPr>
          <w:rFonts w:ascii="Calibri" w:hAnsi="Calibri" w:cs="Calibri"/>
          <w:noProof/>
          <w:vertAlign w:val="superscript"/>
        </w:rPr>
        <w:t>12</w:t>
      </w:r>
      <w:r w:rsidR="005726B9" w:rsidRPr="00C2764C">
        <w:rPr>
          <w:rFonts w:ascii="Calibri" w:hAnsi="Calibri" w:cs="Calibri"/>
        </w:rPr>
        <w:fldChar w:fldCharType="end"/>
      </w:r>
      <w:r w:rsidR="005726B9" w:rsidRPr="00C2764C">
        <w:rPr>
          <w:rFonts w:ascii="Calibri" w:hAnsi="Calibri" w:cs="Calibri"/>
        </w:rPr>
        <w:t xml:space="preserve"> Additionally, prioritization across disciplines is complicated by the high degree of specialization in modern medicine.</w:t>
      </w:r>
      <w:r w:rsidR="00FF5FD7">
        <w:rPr>
          <w:rFonts w:ascii="Calibri" w:eastAsiaTheme="minorEastAsia" w:hAnsi="Calibri" w:cs="Calibri"/>
        </w:rPr>
        <w:t xml:space="preserve"> Most importantly, this approach does not systematically optimize population health</w:t>
      </w:r>
      <w:r w:rsidR="00200F83" w:rsidRPr="00C2764C">
        <w:rPr>
          <w:rFonts w:ascii="Calibri" w:eastAsiaTheme="minorEastAsia" w:hAnsi="Calibri" w:cs="Calibri"/>
        </w:rPr>
        <w:t>.</w:t>
      </w:r>
      <w:r w:rsidR="00FF5FD7">
        <w:rPr>
          <w:rFonts w:ascii="Calibri" w:eastAsiaTheme="minorEastAsia" w:hAnsi="Calibri" w:cs="Calibri"/>
        </w:rPr>
        <w:t xml:space="preserve"> The perspective of maximizing population health, a </w:t>
      </w:r>
      <w:r w:rsidR="00FF5FD7" w:rsidRPr="00C2764C">
        <w:rPr>
          <w:rFonts w:ascii="Calibri" w:eastAsiaTheme="minorEastAsia" w:hAnsi="Calibri" w:cs="Calibri"/>
        </w:rPr>
        <w:t>utilitarian ethical perspective</w:t>
      </w:r>
      <w:r w:rsidR="00FF5FD7">
        <w:rPr>
          <w:rFonts w:ascii="Calibri" w:eastAsiaTheme="minorEastAsia" w:hAnsi="Calibri" w:cs="Calibri"/>
        </w:rPr>
        <w:t>,</w:t>
      </w:r>
      <w:r w:rsidR="00FF5FD7" w:rsidRPr="00C2764C">
        <w:rPr>
          <w:rFonts w:ascii="Calibri" w:eastAsiaTheme="minorEastAsia" w:hAnsi="Calibri" w:cs="Calibri"/>
        </w:rPr>
        <w:fldChar w:fldCharType="begin" w:fldLock="1"/>
      </w:r>
      <w:r w:rsidR="009B688A">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13&lt;/sup&gt;","plainTextFormattedCitation":"13","previouslyFormattedCitation":"&lt;sup&gt;18&lt;/sup&gt;"},"properties":{"noteIndex":0},"schema":"https://github.com/citation-style-language/schema/raw/master/csl-citation.json"}</w:instrText>
      </w:r>
      <w:r w:rsidR="00FF5FD7" w:rsidRPr="00C2764C">
        <w:rPr>
          <w:rFonts w:ascii="Calibri" w:eastAsiaTheme="minorEastAsia" w:hAnsi="Calibri" w:cs="Calibri"/>
        </w:rPr>
        <w:fldChar w:fldCharType="separate"/>
      </w:r>
      <w:r w:rsidR="009B688A" w:rsidRPr="009B688A">
        <w:rPr>
          <w:rFonts w:ascii="Calibri" w:eastAsiaTheme="minorEastAsia" w:hAnsi="Calibri" w:cs="Calibri"/>
          <w:noProof/>
          <w:vertAlign w:val="superscript"/>
        </w:rPr>
        <w:t>13</w:t>
      </w:r>
      <w:r w:rsidR="00FF5FD7" w:rsidRPr="00C2764C">
        <w:rPr>
          <w:rFonts w:ascii="Calibri" w:eastAsiaTheme="minorEastAsia" w:hAnsi="Calibri" w:cs="Calibri"/>
        </w:rPr>
        <w:fldChar w:fldCharType="end"/>
      </w:r>
      <w:r w:rsidR="00FF5FD7" w:rsidRPr="00C2764C">
        <w:rPr>
          <w:rFonts w:ascii="Calibri" w:eastAsiaTheme="minorEastAsia" w:hAnsi="Calibri" w:cs="Calibri"/>
        </w:rPr>
        <w:t xml:space="preserve"> </w:t>
      </w:r>
      <w:r w:rsidR="00FF5FD7">
        <w:rPr>
          <w:rFonts w:ascii="Calibri" w:eastAsiaTheme="minorEastAsia" w:hAnsi="Calibri" w:cs="Calibri"/>
        </w:rPr>
        <w:t xml:space="preserve">has been described to be most defendable in times of scarcity. </w:t>
      </w:r>
      <w:r w:rsidR="00FF5FD7">
        <w:rPr>
          <w:rFonts w:ascii="Calibri" w:eastAsiaTheme="minorEastAsia" w:hAnsi="Calibri" w:cs="Calibri"/>
        </w:rPr>
        <w:fldChar w:fldCharType="begin" w:fldLock="1"/>
      </w:r>
      <w:r w:rsidR="009B688A">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Journal","type":"webpage"},"uris":["http://www.mendeley.com/documents/?uuid=8de40761-8611-309c-8560-38fce7062392"]},{"id":"ITEM-6","itemData":{"DOI":"10.1056/NEJMsb2005114","ISSN":"15334406","PMID":"32202722","author":[{"dropping-particle":"","family":"Emanuel","given":"Ezekiel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medicine","id":"ITEM-6","issued":{"date-parts":[["2020"]]},"note":"No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2,14–18&lt;/sup&gt;","plainTextFormattedCitation":"2,14–18","previouslyFormattedCitation":"&lt;sup&gt;2,13–17&lt;/sup&gt;"},"properties":{"noteIndex":0},"schema":"https://github.com/citation-style-language/schema/raw/master/csl-citation.json"}</w:instrText>
      </w:r>
      <w:r w:rsidR="00FF5FD7">
        <w:rPr>
          <w:rFonts w:ascii="Calibri" w:eastAsiaTheme="minorEastAsia" w:hAnsi="Calibri" w:cs="Calibri"/>
        </w:rPr>
        <w:fldChar w:fldCharType="separate"/>
      </w:r>
      <w:r w:rsidR="009B688A" w:rsidRPr="009B688A">
        <w:rPr>
          <w:rFonts w:ascii="Calibri" w:eastAsiaTheme="minorEastAsia" w:hAnsi="Calibri" w:cs="Calibri"/>
          <w:noProof/>
          <w:vertAlign w:val="superscript"/>
        </w:rPr>
        <w:t>2,14–18</w:t>
      </w:r>
      <w:r w:rsidR="00FF5FD7">
        <w:rPr>
          <w:rFonts w:ascii="Calibri" w:eastAsiaTheme="minorEastAsia" w:hAnsi="Calibri" w:cs="Calibri"/>
        </w:rPr>
        <w:fldChar w:fldCharType="end"/>
      </w:r>
      <w:r w:rsidR="4C608E21" w:rsidRPr="00C2764C">
        <w:rPr>
          <w:rFonts w:ascii="Calibri" w:eastAsiaTheme="minorEastAsia" w:hAnsi="Calibri" w:cs="Calibri"/>
        </w:rPr>
        <w:t xml:space="preserve"> </w:t>
      </w: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Heading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Heading3"/>
        <w:spacing w:line="276" w:lineRule="auto"/>
      </w:pPr>
      <w:r>
        <w:t>Overview</w:t>
      </w:r>
    </w:p>
    <w:p w14:paraId="6D9BEE3F" w14:textId="687B72F9"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e selected</w:t>
      </w:r>
      <w:r w:rsidR="00263F74">
        <w:rPr>
          <w:rFonts w:ascii="Calibri" w:hAnsi="Calibri" w:cs="Calibri"/>
        </w:rPr>
        <w:t xml:space="preserve"> </w:t>
      </w:r>
      <w:r w:rsidR="002333CC">
        <w:rPr>
          <w:rFonts w:ascii="Calibri" w:hAnsi="Calibri" w:cs="Calibri"/>
        </w:rPr>
        <w:t>semi-elective</w:t>
      </w:r>
      <w:r w:rsidR="00A65560">
        <w:rPr>
          <w:rStyle w:val="FootnoteReference"/>
          <w:rFonts w:ascii="Calibri" w:hAnsi="Calibri" w:cs="Calibri"/>
        </w:rPr>
        <w:footnoteReference w:id="1"/>
      </w:r>
      <w:r w:rsidR="002333CC">
        <w:rPr>
          <w:rFonts w:ascii="Calibri" w:hAnsi="Calibri" w:cs="Calibri"/>
        </w:rPr>
        <w:t xml:space="preserve"> </w:t>
      </w:r>
      <w:r w:rsidR="00F727B4">
        <w:rPr>
          <w:rFonts w:ascii="Calibri" w:hAnsi="Calibri" w:cs="Calibri"/>
        </w:rPr>
        <w:t xml:space="preserve">surgeries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CB5958">
        <w:rPr>
          <w:rFonts w:ascii="Calibri" w:hAnsi="Calibri" w:cs="Calibri"/>
        </w:rPr>
        <w:t>collected</w:t>
      </w:r>
      <w:r w:rsidR="00B366DE">
        <w:rPr>
          <w:rFonts w:ascii="Calibri" w:hAnsi="Calibri" w:cs="Calibri"/>
        </w:rPr>
        <w:t xml:space="preserve"> </w:t>
      </w:r>
      <w:r w:rsidR="00F219CA">
        <w:rPr>
          <w:rFonts w:ascii="Calibri" w:hAnsi="Calibri" w:cs="Calibri"/>
        </w:rPr>
        <w:t>data about</w:t>
      </w:r>
      <w:r w:rsidR="00B366DE">
        <w:rPr>
          <w:rFonts w:ascii="Calibri" w:hAnsi="Calibri" w:cs="Calibri"/>
        </w:rPr>
        <w:t xml:space="preserve"> these surgeries</w:t>
      </w:r>
      <w:r w:rsidR="00CB5958">
        <w:rPr>
          <w:rFonts w:ascii="Calibri" w:hAnsi="Calibri" w:cs="Calibri"/>
        </w:rPr>
        <w:t xml:space="preserve"> and used this</w:t>
      </w:r>
      <w:r w:rsidR="00F219CA">
        <w:rPr>
          <w:rFonts w:ascii="Calibri" w:hAnsi="Calibri" w:cs="Calibri"/>
        </w:rPr>
        <w:t xml:space="preserve"> data</w:t>
      </w:r>
      <w:r w:rsidR="00323973">
        <w:rPr>
          <w:rFonts w:ascii="Calibri" w:hAnsi="Calibri" w:cs="Calibri"/>
        </w:rPr>
        <w:t xml:space="preserve"> in </w:t>
      </w:r>
      <w:r w:rsidR="00B04FAC">
        <w:rPr>
          <w:rFonts w:ascii="Calibri" w:hAnsi="Calibri" w:cs="Calibri"/>
        </w:rPr>
        <w:t xml:space="preserve">a broadly applicable </w:t>
      </w:r>
      <w:r w:rsidR="00263F74">
        <w:rPr>
          <w:rFonts w:ascii="Calibri" w:hAnsi="Calibri" w:cs="Calibri"/>
        </w:rPr>
        <w:t xml:space="preserve">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(QoL)</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Heading3"/>
        <w:spacing w:line="276" w:lineRule="auto"/>
      </w:pPr>
      <w:r w:rsidRPr="00514AC6">
        <w:t xml:space="preserve">Patients and setting </w:t>
      </w:r>
    </w:p>
    <w:p w14:paraId="02500DCF" w14:textId="5244F32E" w:rsidR="001F564F" w:rsidRPr="00205D43" w:rsidRDefault="004C45BB" w:rsidP="00153762">
      <w:pPr>
        <w:spacing w:line="276" w:lineRule="auto"/>
        <w:rPr>
          <w:rFonts w:ascii="Calibri" w:hAnsi="Calibri" w:cs="Calibri"/>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semi-</w:t>
      </w:r>
      <w:proofErr w:type="spellStart"/>
      <w:proofErr w:type="gramStart"/>
      <w:r w:rsidRPr="0092480E">
        <w:rPr>
          <w:rFonts w:ascii="Calibri" w:hAnsi="Calibri" w:cs="Calibri"/>
        </w:rPr>
        <w:t>elective</w:t>
      </w:r>
      <w:r w:rsidR="007302B3">
        <w:rPr>
          <w:rFonts w:ascii="Calibri" w:hAnsi="Calibri" w:cs="Calibri"/>
          <w:vertAlign w:val="superscript"/>
        </w:rPr>
        <w:t>i</w:t>
      </w:r>
      <w:proofErr w:type="spellEnd"/>
      <w:r w:rsidR="00A65560">
        <w:rPr>
          <w:rFonts w:ascii="Calibri" w:hAnsi="Calibri" w:cs="Calibri"/>
          <w:vertAlign w:val="superscript"/>
        </w:rPr>
        <w:t xml:space="preserve"> </w:t>
      </w:r>
      <w:r w:rsidR="00A65560">
        <w:rPr>
          <w:rFonts w:ascii="Calibri" w:hAnsi="Calibri" w:cs="Calibri"/>
        </w:rPr>
        <w:t xml:space="preserve"> </w:t>
      </w:r>
      <w:r w:rsidRPr="0092480E">
        <w:rPr>
          <w:rFonts w:ascii="Calibri" w:hAnsi="Calibri" w:cs="Calibri"/>
        </w:rPr>
        <w:t>surgeries</w:t>
      </w:r>
      <w:proofErr w:type="gramEnd"/>
      <w:r w:rsidRPr="0092480E">
        <w:rPr>
          <w:rFonts w:ascii="Calibri" w:hAnsi="Calibri" w:cs="Calibri"/>
        </w:rPr>
        <w:t xml:space="preserve">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w:t>
      </w:r>
      <w:r w:rsidR="001E7D09">
        <w:rPr>
          <w:rFonts w:ascii="Calibri" w:hAnsi="Calibri" w:cs="Calibri"/>
        </w:rPr>
        <w:t xml:space="preserve">From the </w:t>
      </w:r>
      <w:r w:rsidR="001E7D09" w:rsidRPr="004C45BB">
        <w:rPr>
          <w:rFonts w:ascii="Calibri" w:hAnsi="Calibri" w:cs="Calibri"/>
        </w:rPr>
        <w:t>electronic patient registry (</w:t>
      </w:r>
      <w:proofErr w:type="spellStart"/>
      <w:r w:rsidR="001E7D09" w:rsidRPr="004C45BB">
        <w:rPr>
          <w:rFonts w:ascii="Calibri" w:hAnsi="Calibri" w:cs="Calibri"/>
        </w:rPr>
        <w:t>ChipSoft</w:t>
      </w:r>
      <w:proofErr w:type="spellEnd"/>
      <w:r w:rsidR="001E7D09" w:rsidRPr="004C45BB">
        <w:rPr>
          <w:rFonts w:ascii="Calibri" w:hAnsi="Calibri" w:cs="Calibri"/>
        </w:rPr>
        <w:t xml:space="preserve">, </w:t>
      </w:r>
      <w:proofErr w:type="spellStart"/>
      <w:r w:rsidR="001E7D09" w:rsidRPr="004C45BB">
        <w:rPr>
          <w:rFonts w:ascii="Calibri" w:hAnsi="Calibri" w:cs="Calibri"/>
        </w:rPr>
        <w:t>Hi</w:t>
      </w:r>
      <w:r w:rsidR="001E7D09">
        <w:rPr>
          <w:rFonts w:ascii="Calibri" w:hAnsi="Calibri" w:cs="Calibri"/>
        </w:rPr>
        <w:t>X</w:t>
      </w:r>
      <w:proofErr w:type="spellEnd"/>
      <w:r w:rsidR="001E7D09" w:rsidRPr="004C45BB">
        <w:rPr>
          <w:rFonts w:ascii="Calibri" w:hAnsi="Calibri" w:cs="Calibri"/>
        </w:rPr>
        <w:t>)</w:t>
      </w:r>
      <w:r w:rsidR="001E7D09">
        <w:rPr>
          <w:rFonts w:ascii="Calibri" w:hAnsi="Calibri" w:cs="Calibri"/>
        </w:rPr>
        <w:t>, w</w:t>
      </w:r>
      <w:r w:rsidR="00447377">
        <w:rPr>
          <w:rFonts w:ascii="Calibri" w:hAnsi="Calibri" w:cs="Calibri"/>
        </w:rPr>
        <w:t xml:space="preserve">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EB2CAB">
        <w:rPr>
          <w:rFonts w:ascii="Calibri" w:hAnsi="Calibri" w:cs="Calibri"/>
        </w:rPr>
        <w:t xml:space="preserve">. </w:t>
      </w:r>
      <w:r w:rsidR="001E7D09">
        <w:rPr>
          <w:rFonts w:ascii="Calibri" w:hAnsi="Calibri" w:cs="Calibri"/>
        </w:rPr>
        <w:t>Next, t</w:t>
      </w:r>
      <w:r w:rsidR="00332D64">
        <w:rPr>
          <w:rFonts w:ascii="Calibri" w:hAnsi="Calibri" w:cs="Calibri"/>
        </w:rPr>
        <w:t>w</w:t>
      </w:r>
      <w:r w:rsidR="001E7D09">
        <w:rPr>
          <w:rFonts w:ascii="Calibri" w:hAnsi="Calibri" w:cs="Calibri"/>
        </w:rPr>
        <w:t>o senior clinic</w:t>
      </w:r>
      <w:r w:rsidR="00162DFF">
        <w:rPr>
          <w:rFonts w:ascii="Calibri" w:hAnsi="Calibri" w:cs="Calibri"/>
        </w:rPr>
        <w:t>ians</w:t>
      </w:r>
      <w:r w:rsidR="001E7D09">
        <w:rPr>
          <w:rFonts w:ascii="Calibri" w:hAnsi="Calibri" w:cs="Calibri"/>
        </w:rPr>
        <w:t xml:space="preserve"> selected the semi-elective surgeries from this list. </w:t>
      </w:r>
      <w:r>
        <w:rPr>
          <w:rFonts w:ascii="Calibri" w:hAnsi="Calibri" w:cs="Calibri"/>
        </w:rPr>
        <w:t xml:space="preserve">Finally,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sidR="001E7D09">
        <w:rPr>
          <w:rFonts w:ascii="Calibri" w:hAnsi="Calibri" w:cs="Calibri"/>
        </w:rPr>
        <w:t xml:space="preserve"> approved the selection</w:t>
      </w:r>
      <w:r>
        <w:rPr>
          <w:rFonts w:ascii="Calibri" w:hAnsi="Calibri" w:cs="Calibri"/>
        </w:rPr>
        <w:t>.</w:t>
      </w:r>
      <w:r w:rsidR="00205D43">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w:t>
      </w:r>
      <w:r w:rsidR="0041156F" w:rsidRPr="0059217B">
        <w:rPr>
          <w:rFonts w:ascii="Calibri" w:eastAsia="Calibri" w:hAnsi="Calibri" w:cs="Calibri"/>
        </w:rPr>
        <w:t>collaborators</w:t>
      </w:r>
      <w:r>
        <w:rPr>
          <w:rFonts w:ascii="Calibri" w:hAnsi="Calibri" w:cs="Calibri"/>
        </w:rPr>
        <w:t xml:space="preserve">.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Heading3"/>
        <w:spacing w:line="276" w:lineRule="auto"/>
        <w:rPr>
          <w:rFonts w:ascii="Calibri" w:hAnsi="Calibri" w:cs="Calibri"/>
          <w:lang w:val="en-US"/>
        </w:rPr>
      </w:pPr>
      <w:r>
        <w:rPr>
          <w:rFonts w:ascii="Calibri" w:hAnsi="Calibri" w:cs="Calibri"/>
          <w:lang w:val="en-US"/>
        </w:rPr>
        <w:t>Input parameters</w:t>
      </w:r>
    </w:p>
    <w:p w14:paraId="24979F7B" w14:textId="50EDB48A"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r w:rsidR="009D493D">
        <w:rPr>
          <w:rFonts w:ascii="Calibri" w:hAnsi="Calibri" w:cs="Calibri"/>
        </w:rPr>
        <w:t>QoL</w:t>
      </w:r>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4) QoL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r w:rsidR="009D493D">
        <w:rPr>
          <w:rFonts w:ascii="Calibri" w:hAnsi="Calibri" w:cs="Calibri"/>
        </w:rPr>
        <w:t>QoL</w:t>
      </w:r>
      <w:r w:rsidR="00955D8D">
        <w:rPr>
          <w:rFonts w:ascii="Calibri" w:hAnsi="Calibri" w:cs="Calibri"/>
        </w:rPr>
        <w:t xml:space="preserve"> (see Appendix A)</w:t>
      </w:r>
      <w:r w:rsidRPr="00B04FAC">
        <w:rPr>
          <w:rFonts w:ascii="Calibri" w:hAnsi="Calibri" w:cs="Calibri"/>
        </w:rPr>
        <w:t>.</w:t>
      </w:r>
      <w:r w:rsidR="009D493D" w:rsidRPr="009D493D">
        <w:rPr>
          <w:rFonts w:ascii="Calibri" w:hAnsi="Calibri" w:cs="Calibri"/>
        </w:rPr>
        <w:t xml:space="preserve"> </w:t>
      </w:r>
      <w:r w:rsidR="00112E26">
        <w:rPr>
          <w:rFonts w:ascii="Calibri" w:hAnsi="Calibri" w:cs="Calibri"/>
        </w:rPr>
        <w:t xml:space="preserve">The class of collected evidence was defined as class I (Randomized Controlled Trials (RCT) or systematic reviews of RCTs), class </w:t>
      </w:r>
      <w:proofErr w:type="spellStart"/>
      <w:r w:rsidR="00112E26">
        <w:rPr>
          <w:rFonts w:ascii="Calibri" w:hAnsi="Calibri" w:cs="Calibri"/>
        </w:rPr>
        <w:t>IIa</w:t>
      </w:r>
      <w:proofErr w:type="spellEnd"/>
      <w:r w:rsidR="00112E26">
        <w:rPr>
          <w:rFonts w:ascii="Calibri" w:hAnsi="Calibri" w:cs="Calibri"/>
        </w:rPr>
        <w:t xml:space="preserve"> (Prospective observational studies, before-after studies), class IIb (Retrospective observational studies, expert panels for the utilities, national registries), and class III (expert opinion).</w:t>
      </w:r>
      <w:r w:rsidR="0059217B">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17406830" w14:textId="77777777" w:rsidR="008A38A5" w:rsidRPr="00514AC6" w:rsidRDefault="008A38A5" w:rsidP="00153762">
      <w:pPr>
        <w:pStyle w:val="Heading3"/>
        <w:spacing w:line="276" w:lineRule="auto"/>
      </w:pPr>
      <w:r w:rsidRPr="00514AC6">
        <w:t>Markov model</w:t>
      </w:r>
    </w:p>
    <w:p w14:paraId="619E1963" w14:textId="21AC1893" w:rsidR="008A38A5" w:rsidRPr="00574410" w:rsidRDefault="00112E26" w:rsidP="00153762">
      <w:pPr>
        <w:spacing w:line="276" w:lineRule="auto"/>
        <w:rPr>
          <w:rFonts w:ascii="Calibri" w:hAnsi="Calibri" w:cs="Calibri"/>
        </w:rPr>
      </w:pPr>
      <w:r>
        <w:rPr>
          <w:rFonts w:ascii="Calibri" w:hAnsi="Calibri" w:cs="Calibri"/>
        </w:rPr>
        <w:t>W</w:t>
      </w:r>
      <w:r w:rsidR="008A38A5" w:rsidRPr="0092480E">
        <w:rPr>
          <w:rFonts w:ascii="Calibri" w:hAnsi="Calibri" w:cs="Calibri"/>
        </w:rPr>
        <w:t xml:space="preserve">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FF5FD7">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19,20&lt;/sup&gt;","plainTextFormattedCitation":"19,20","previouslyFormattedCitation":"&lt;sup&gt;19,20&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19,20</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008A38A5" w:rsidRPr="0092480E">
        <w:rPr>
          <w:rFonts w:ascii="Calibri" w:eastAsia="Calibri" w:hAnsi="Calibri" w:cs="Calibri"/>
        </w:rPr>
        <w:t xml:space="preserve"> a preoperative state, a postoperative state, and a dead state (Figure 1).</w:t>
      </w:r>
      <w:r w:rsidR="008A38A5"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life years </w:t>
      </w:r>
      <w:r w:rsidR="00146376">
        <w:rPr>
          <w:rFonts w:ascii="Calibri" w:hAnsi="Calibri" w:cs="Calibri"/>
        </w:rPr>
        <w:t xml:space="preserve">(LYs) </w:t>
      </w:r>
      <w:r w:rsidR="000F35D3" w:rsidRPr="0092480E">
        <w:rPr>
          <w:rFonts w:ascii="Calibri" w:hAnsi="Calibri" w:cs="Calibri"/>
        </w:rPr>
        <w:t xml:space="preserve">or </w:t>
      </w:r>
      <w:r w:rsidR="00A86729">
        <w:rPr>
          <w:rFonts w:ascii="Calibri" w:hAnsi="Calibri" w:cs="Calibri"/>
        </w:rPr>
        <w:t>quality adjusted lif</w:t>
      </w:r>
      <w:r w:rsidR="00205D43">
        <w:rPr>
          <w:rFonts w:ascii="Calibri" w:hAnsi="Calibri" w:cs="Calibri"/>
        </w:rPr>
        <w:t xml:space="preserve">e </w:t>
      </w:r>
      <w:r w:rsidR="00A86729">
        <w:rPr>
          <w:rFonts w:ascii="Calibri" w:hAnsi="Calibri" w:cs="Calibri"/>
        </w:rPr>
        <w:t>years (</w:t>
      </w:r>
      <w:r w:rsidR="000F35D3" w:rsidRPr="0092480E">
        <w:rPr>
          <w:rFonts w:ascii="Calibri" w:hAnsi="Calibri" w:cs="Calibri"/>
        </w:rPr>
        <w:t>QALYs</w:t>
      </w:r>
      <w:r w:rsidR="00A86729">
        <w:rPr>
          <w:rFonts w:ascii="Calibri" w:hAnsi="Calibri" w:cs="Calibri"/>
        </w:rPr>
        <w:t>)</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FF5FD7">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20–22&lt;/sup&gt;","plainTextFormattedCitation":"20–22","previouslyFormattedCitation":"&lt;sup&gt;20–22&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20–22</w:t>
      </w:r>
      <w:r w:rsidR="000F35D3" w:rsidRPr="0092480E">
        <w:rPr>
          <w:rFonts w:ascii="Calibri" w:hAnsi="Calibri" w:cs="Calibri"/>
        </w:rPr>
        <w:fldChar w:fldCharType="end"/>
      </w:r>
      <w:r w:rsidR="000F35D3">
        <w:rPr>
          <w:rFonts w:ascii="Calibri" w:hAnsi="Calibri" w:cs="Calibri"/>
        </w:rPr>
        <w:t xml:space="preserve"> </w:t>
      </w:r>
      <w:r w:rsidR="008A38A5" w:rsidRPr="0092480E">
        <w:rPr>
          <w:rFonts w:ascii="Calibri" w:hAnsi="Calibri" w:cs="Calibri"/>
        </w:rPr>
        <w:t xml:space="preserve">The entire cohort </w:t>
      </w:r>
      <w:r w:rsidR="000F35D3">
        <w:rPr>
          <w:rFonts w:ascii="Calibri" w:hAnsi="Calibri" w:cs="Calibri"/>
        </w:rPr>
        <w:t>started</w:t>
      </w:r>
      <w:r w:rsidR="008A38A5" w:rsidRPr="0092480E">
        <w:rPr>
          <w:rFonts w:ascii="Calibri" w:hAnsi="Calibri" w:cs="Calibri"/>
        </w:rPr>
        <w:t xml:space="preserve"> in the preoperative state, and was followed their entire remaining lifespan, until they </w:t>
      </w:r>
      <w:r w:rsidR="000F35D3">
        <w:rPr>
          <w:rFonts w:ascii="Calibri" w:hAnsi="Calibri" w:cs="Calibri"/>
        </w:rPr>
        <w:t xml:space="preserve">were </w:t>
      </w:r>
      <w:r w:rsidR="008A38A5" w:rsidRPr="0092480E">
        <w:rPr>
          <w:rFonts w:ascii="Calibri" w:hAnsi="Calibri" w:cs="Calibri"/>
        </w:rPr>
        <w:t>100 years</w:t>
      </w:r>
      <w:r w:rsidR="00B01625">
        <w:rPr>
          <w:rFonts w:ascii="Calibri" w:hAnsi="Calibri" w:cs="Calibri"/>
        </w:rPr>
        <w:t xml:space="preserve"> old</w:t>
      </w:r>
      <w:r w:rsidR="008A38A5" w:rsidRPr="0092480E">
        <w:rPr>
          <w:rFonts w:ascii="Calibri" w:hAnsi="Calibri" w:cs="Calibri"/>
        </w:rPr>
        <w:t xml:space="preserve">, using weekly cycles. The transition from the preoperative </w:t>
      </w:r>
      <w:r w:rsidR="008A38A5" w:rsidRPr="002C1AFD">
        <w:rPr>
          <w:rFonts w:ascii="Calibri" w:hAnsi="Calibri" w:cs="Calibri"/>
        </w:rPr>
        <w:t xml:space="preserve">state to the postoperative state was set to a specific week, depending on the scenario. We evaluated scenarios </w:t>
      </w:r>
      <w:r w:rsidR="00FA767D">
        <w:rPr>
          <w:rFonts w:ascii="Calibri" w:hAnsi="Calibri" w:cs="Calibri"/>
        </w:rPr>
        <w:t xml:space="preserve">of surgical </w:t>
      </w:r>
      <w:r w:rsidR="008A38A5" w:rsidRPr="002C1AFD">
        <w:rPr>
          <w:rFonts w:ascii="Calibri" w:hAnsi="Calibri" w:cs="Calibri"/>
        </w:rPr>
        <w:t xml:space="preserve">delay of two weeks up to </w:t>
      </w:r>
      <w:r w:rsidR="00FA767D">
        <w:rPr>
          <w:rFonts w:ascii="Calibri" w:hAnsi="Calibri" w:cs="Calibri"/>
        </w:rPr>
        <w:t>surgical</w:t>
      </w:r>
      <w:r w:rsidR="008A38A5" w:rsidRPr="002C1AFD">
        <w:rPr>
          <w:rFonts w:ascii="Calibri" w:hAnsi="Calibri" w:cs="Calibri"/>
        </w:rPr>
        <w:t xml:space="preserve"> delay of a year using intervals of ten weeks. In addition, we evaluated the scenario where </w:t>
      </w:r>
      <w:r w:rsidR="00032992">
        <w:rPr>
          <w:rFonts w:ascii="Calibri" w:hAnsi="Calibri" w:cs="Calibri"/>
        </w:rPr>
        <w:t xml:space="preserve">patients </w:t>
      </w:r>
      <w:r w:rsidR="00FA767D">
        <w:rPr>
          <w:rFonts w:ascii="Calibri" w:hAnsi="Calibri" w:cs="Calibri"/>
        </w:rPr>
        <w:t>n</w:t>
      </w:r>
      <w:r w:rsidR="00032992">
        <w:rPr>
          <w:rFonts w:ascii="Calibri" w:hAnsi="Calibri" w:cs="Calibri"/>
        </w:rPr>
        <w:t>ever</w:t>
      </w:r>
      <w:r w:rsidR="008A38A5" w:rsidRPr="002C1AFD">
        <w:rPr>
          <w:rFonts w:ascii="Calibri" w:hAnsi="Calibri" w:cs="Calibri"/>
        </w:rPr>
        <w:t xml:space="preserve"> received treatment: this was modeled by following patients their remaining </w:t>
      </w:r>
      <w:r w:rsidR="008A38A5"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008A38A5" w:rsidRPr="0092480E">
        <w:rPr>
          <w:rFonts w:ascii="Calibri" w:hAnsi="Calibri" w:cs="Calibri"/>
        </w:rPr>
        <w:t xml:space="preserve"> were based on survival data.</w:t>
      </w:r>
      <w:r w:rsidR="00205D43">
        <w:rPr>
          <w:rFonts w:ascii="Calibri" w:hAnsi="Calibri" w:cs="Calibri"/>
        </w:rPr>
        <w:t xml:space="preserve"> A description of the model parameters and assumptions can be found in Appendix C.</w:t>
      </w:r>
    </w:p>
    <w:p w14:paraId="38EB6022" w14:textId="77777777" w:rsidR="00BB3C35" w:rsidRPr="002E05CA" w:rsidRDefault="00BB3C35" w:rsidP="00BB3C35">
      <w:pPr>
        <w:pStyle w:val="Heading3"/>
        <w:spacing w:line="276" w:lineRule="auto"/>
        <w:rPr>
          <w:rFonts w:ascii="Calibri" w:hAnsi="Calibri" w:cs="Calibri"/>
          <w:lang w:val="en-US"/>
        </w:rPr>
      </w:pPr>
      <w:r>
        <w:rPr>
          <w:rFonts w:ascii="Calibri" w:hAnsi="Calibri" w:cs="Calibri"/>
          <w:lang w:val="en-US"/>
        </w:rPr>
        <w:lastRenderedPageBreak/>
        <w:t>Health Effects of Surgery</w:t>
      </w:r>
    </w:p>
    <w:p w14:paraId="38D3D257" w14:textId="5565C561" w:rsidR="00BB3C35" w:rsidRPr="00A86729" w:rsidRDefault="00BB3C35" w:rsidP="00A86729">
      <w:pPr>
        <w:spacing w:line="276" w:lineRule="auto"/>
        <w:rPr>
          <w:rFonts w:ascii="Calibri" w:hAnsi="Calibri" w:cs="Calibri"/>
          <w:lang w:val="en-GB"/>
        </w:rPr>
      </w:pPr>
      <w:r>
        <w:rPr>
          <w:rFonts w:ascii="Calibri" w:hAnsi="Calibri" w:cs="Calibri"/>
          <w:lang w:val="en-GB"/>
        </w:rPr>
        <w:t xml:space="preserve">The effects of delays in surgery on </w:t>
      </w:r>
      <w:r w:rsidR="00F430E5">
        <w:rPr>
          <w:rFonts w:ascii="Calibri" w:hAnsi="Calibri" w:cs="Calibri"/>
          <w:lang w:val="en-GB"/>
        </w:rPr>
        <w:t xml:space="preserve">the health outcomes </w:t>
      </w:r>
      <w:r w:rsidR="00A86729">
        <w:rPr>
          <w:rFonts w:ascii="Calibri" w:hAnsi="Calibri" w:cs="Calibri"/>
          <w:lang w:val="en-GB"/>
        </w:rPr>
        <w:t xml:space="preserve">(LYs and QALYs) </w:t>
      </w:r>
      <w:r>
        <w:rPr>
          <w:rFonts w:ascii="Calibri" w:hAnsi="Calibri" w:cs="Calibri"/>
          <w:lang w:val="en-GB"/>
        </w:rPr>
        <w:t xml:space="preserve">were evaluated. </w:t>
      </w:r>
      <w:r w:rsidR="00A86729">
        <w:rPr>
          <w:rFonts w:ascii="Calibri" w:hAnsi="Calibri" w:cs="Calibri"/>
          <w:lang w:val="en-GB"/>
        </w:rPr>
        <w:t xml:space="preserve">LYs disregard QoL (QoL = 100%), while QALYs incorporate QoL and are therefore preferred. </w:t>
      </w:r>
      <w:r w:rsidR="00F430E5">
        <w:rPr>
          <w:rFonts w:ascii="Calibri" w:hAnsi="Calibri" w:cs="Calibri"/>
          <w:lang w:val="en-GB"/>
        </w:rPr>
        <w:t>The health outcomes without</w:t>
      </w:r>
      <w:r>
        <w:rPr>
          <w:rFonts w:ascii="Calibri" w:hAnsi="Calibri" w:cs="Calibri"/>
          <w:lang w:val="en-GB"/>
        </w:rPr>
        <w:t xml:space="preserve"> surgery w</w:t>
      </w:r>
      <w:r w:rsidR="00F430E5">
        <w:rPr>
          <w:rFonts w:ascii="Calibri" w:hAnsi="Calibri" w:cs="Calibri"/>
          <w:lang w:val="en-GB"/>
        </w:rPr>
        <w:t>ere</w:t>
      </w:r>
      <w:r>
        <w:rPr>
          <w:rFonts w:ascii="Calibri" w:hAnsi="Calibri" w:cs="Calibri"/>
          <w:lang w:val="en-GB"/>
        </w:rPr>
        <w:t xml:space="preserve"> compared to </w:t>
      </w:r>
      <w:r w:rsidR="00F430E5">
        <w:rPr>
          <w:rFonts w:ascii="Calibri" w:hAnsi="Calibri" w:cs="Calibri"/>
          <w:lang w:val="en-GB"/>
        </w:rPr>
        <w:t>the health outcomes with surgery</w:t>
      </w:r>
      <w:r>
        <w:rPr>
          <w:rFonts w:ascii="Calibri" w:hAnsi="Calibri" w:cs="Calibri"/>
          <w:lang w:val="en-GB"/>
        </w:rPr>
        <w:t xml:space="preserve"> at 2 weeks and 52 weeks</w:t>
      </w:r>
      <w:r w:rsidR="00F430E5">
        <w:rPr>
          <w:rFonts w:ascii="Calibri" w:hAnsi="Calibri" w:cs="Calibri"/>
          <w:lang w:val="en-GB"/>
        </w:rPr>
        <w:t xml:space="preserve"> </w:t>
      </w:r>
      <w:r>
        <w:rPr>
          <w:rFonts w:ascii="Calibri" w:hAnsi="Calibri" w:cs="Calibri"/>
          <w:lang w:val="en-GB"/>
        </w:rPr>
        <w:t>to determine the</w:t>
      </w:r>
      <w:r w:rsidR="00F430E5">
        <w:rPr>
          <w:rFonts w:ascii="Calibri" w:hAnsi="Calibri" w:cs="Calibri"/>
          <w:lang w:val="en-GB"/>
        </w:rPr>
        <w:t xml:space="preserve"> overall</w:t>
      </w:r>
      <w:r>
        <w:rPr>
          <w:rFonts w:ascii="Calibri" w:hAnsi="Calibri" w:cs="Calibri"/>
          <w:lang w:val="en-GB"/>
        </w:rPr>
        <w:t xml:space="preserve"> </w:t>
      </w:r>
      <w:r w:rsidR="00F430E5">
        <w:rPr>
          <w:rFonts w:ascii="Calibri" w:hAnsi="Calibri" w:cs="Calibri"/>
          <w:lang w:val="en-GB"/>
        </w:rPr>
        <w:t>health outcomes</w:t>
      </w:r>
      <w:r>
        <w:rPr>
          <w:rFonts w:ascii="Calibri" w:hAnsi="Calibri" w:cs="Calibri"/>
          <w:lang w:val="en-GB"/>
        </w:rPr>
        <w:t xml:space="preserve"> associated with surgery and </w:t>
      </w:r>
      <w:r w:rsidR="00F430E5">
        <w:rPr>
          <w:rFonts w:ascii="Calibri" w:hAnsi="Calibri" w:cs="Calibri"/>
          <w:lang w:val="en-GB"/>
        </w:rPr>
        <w:t>health outcomes</w:t>
      </w:r>
      <w:r>
        <w:rPr>
          <w:rFonts w:ascii="Calibri" w:hAnsi="Calibri" w:cs="Calibri"/>
          <w:lang w:val="en-GB"/>
        </w:rPr>
        <w:t xml:space="preserve"> lost per 50 weeks</w:t>
      </w:r>
      <w:r w:rsidR="00F430E5">
        <w:rPr>
          <w:rFonts w:ascii="Calibri" w:hAnsi="Calibri" w:cs="Calibri"/>
          <w:lang w:val="en-GB"/>
        </w:rPr>
        <w:t>.</w:t>
      </w:r>
      <w:r>
        <w:rPr>
          <w:rFonts w:ascii="Calibri" w:hAnsi="Calibri" w:cs="Calibri"/>
          <w:lang w:val="en-GB"/>
        </w:rPr>
        <w:t xml:space="preserve"> This measure of urgency was converted to loss per month </w:t>
      </w:r>
      <w:r w:rsidR="001E5AB7">
        <w:rPr>
          <w:rFonts w:ascii="Calibri" w:hAnsi="Calibri" w:cs="Calibri"/>
          <w:lang w:val="en-GB"/>
        </w:rPr>
        <w:t xml:space="preserve">(loss/month) </w:t>
      </w:r>
      <w:r>
        <w:rPr>
          <w:rFonts w:ascii="Calibri" w:hAnsi="Calibri" w:cs="Calibri"/>
          <w:lang w:val="en-GB"/>
        </w:rPr>
        <w:t>and was used to rank the surgeries</w:t>
      </w:r>
      <w:r w:rsidR="00FA0D00">
        <w:rPr>
          <w:rFonts w:ascii="Calibri" w:hAnsi="Calibri" w:cs="Calibri"/>
          <w:lang w:val="en-GB"/>
        </w:rPr>
        <w:t xml:space="preserve">, </w:t>
      </w:r>
      <w:r w:rsidR="00B8108F">
        <w:rPr>
          <w:rFonts w:ascii="Calibri" w:hAnsi="Calibri" w:cs="Calibri"/>
          <w:lang w:val="en-GB"/>
        </w:rPr>
        <w:t xml:space="preserve">where </w:t>
      </w:r>
      <w:r w:rsidR="00FA0D00">
        <w:rPr>
          <w:rFonts w:ascii="Calibri" w:hAnsi="Calibri" w:cs="Calibri"/>
          <w:lang w:val="en-GB"/>
        </w:rPr>
        <w:t>a high loss/month is considered an urgent surgery</w:t>
      </w:r>
      <w:r>
        <w:rPr>
          <w:rFonts w:ascii="Calibri" w:hAnsi="Calibri" w:cs="Calibri"/>
          <w:lang w:val="en-GB"/>
        </w:rPr>
        <w:t xml:space="preserve">. </w:t>
      </w:r>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Heading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50DC86DC" w14:textId="54448059" w:rsidR="00FA0D00" w:rsidRDefault="005F4A6E" w:rsidP="00153762">
      <w:pPr>
        <w:spacing w:line="276" w:lineRule="auto"/>
        <w:rPr>
          <w:rFonts w:ascii="Calibri" w:hAnsi="Calibri" w:cs="Calibri"/>
          <w:strike/>
          <w:highlight w:val="yellow"/>
          <w:lang w:val="en-GB"/>
        </w:rPr>
      </w:pPr>
      <w:r>
        <w:rPr>
          <w:rFonts w:ascii="Calibri" w:hAnsi="Calibri" w:cs="Calibri"/>
        </w:rPr>
        <w:t>P</w:t>
      </w:r>
      <w:r w:rsidRPr="0092480E">
        <w:rPr>
          <w:rFonts w:ascii="Calibri" w:hAnsi="Calibri" w:cs="Calibri"/>
        </w:rPr>
        <w:t>robabilistic sensitivity analysis</w:t>
      </w:r>
      <w:r w:rsidR="009F07F7">
        <w:rPr>
          <w:rFonts w:ascii="Calibri" w:hAnsi="Calibri" w:cs="Calibri"/>
        </w:rPr>
        <w:t xml:space="preserve"> (PSA)</w:t>
      </w:r>
      <w:r w:rsidRPr="0092480E">
        <w:rPr>
          <w:rFonts w:ascii="Calibri" w:hAnsi="Calibri" w:cs="Calibri"/>
        </w:rPr>
        <w:t xml:space="preserve">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00306E66">
        <w:rPr>
          <w:rFonts w:ascii="Calibri" w:hAnsi="Calibri" w:cs="Calibri"/>
        </w:rPr>
        <w:t xml:space="preserve"> (Appendix C)</w:t>
      </w:r>
      <w:r w:rsidR="2DE29F2E" w:rsidRPr="0092480E">
        <w:rPr>
          <w:rFonts w:ascii="Calibri" w:hAnsi="Calibri" w:cs="Calibri"/>
        </w:rPr>
        <w:t>.</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health benefits </w:t>
      </w:r>
      <w:r w:rsidR="00B8108F">
        <w:rPr>
          <w:rFonts w:ascii="Calibri" w:hAnsi="Calibri" w:cs="Calibri"/>
          <w:lang w:val="en-GB"/>
        </w:rPr>
        <w:t xml:space="preserve">or health </w:t>
      </w:r>
      <w:r w:rsidR="00417F4E">
        <w:rPr>
          <w:rFonts w:ascii="Calibri" w:hAnsi="Calibri" w:cs="Calibri"/>
          <w:lang w:val="en-GB"/>
        </w:rPr>
        <w:t xml:space="preserve">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1D1E25F" w14:textId="77777777" w:rsidR="00B11ECB" w:rsidRPr="00B11ECB" w:rsidRDefault="00B11ECB" w:rsidP="00153762">
      <w:pPr>
        <w:spacing w:line="276" w:lineRule="auto"/>
        <w:rPr>
          <w:rFonts w:ascii="Calibri" w:hAnsi="Calibri" w:cs="Calibri"/>
          <w:strike/>
          <w:highlight w:val="yellow"/>
          <w:lang w:val="en-GB"/>
        </w:rPr>
      </w:pPr>
    </w:p>
    <w:p w14:paraId="100D34D0" w14:textId="4DC4F0FE" w:rsidR="00FA0D00" w:rsidRDefault="00FA0D00" w:rsidP="00153762">
      <w:pPr>
        <w:spacing w:line="276" w:lineRule="auto"/>
        <w:rPr>
          <w:rFonts w:ascii="Calibri" w:hAnsi="Calibri" w:cs="Calibri"/>
          <w:strike/>
        </w:rPr>
      </w:pPr>
      <w:r>
        <w:rPr>
          <w:rFonts w:ascii="Calibri" w:hAnsi="Calibri" w:cs="Calibri"/>
          <w:lang w:val="en-GB"/>
        </w:rPr>
        <w:t>T</w:t>
      </w:r>
      <w:r w:rsidRPr="004275E2">
        <w:rPr>
          <w:rFonts w:ascii="Calibri" w:hAnsi="Calibri" w:cs="Calibri"/>
        </w:rPr>
        <w:t xml:space="preserve">he available </w:t>
      </w:r>
      <w:r w:rsidR="00B8108F">
        <w:rPr>
          <w:rFonts w:ascii="Calibri" w:hAnsi="Calibri" w:cs="Calibri"/>
        </w:rPr>
        <w:t xml:space="preserve">surgical </w:t>
      </w:r>
      <w:r w:rsidRPr="004275E2">
        <w:rPr>
          <w:rFonts w:ascii="Calibri" w:hAnsi="Calibri" w:cs="Calibri"/>
        </w:rPr>
        <w:t>resource</w:t>
      </w:r>
      <w:r w:rsidR="00B8108F">
        <w:rPr>
          <w:rFonts w:ascii="Calibri" w:hAnsi="Calibri" w:cs="Calibri"/>
        </w:rPr>
        <w:t>s</w:t>
      </w:r>
      <w:r>
        <w:rPr>
          <w:rFonts w:ascii="Calibri" w:hAnsi="Calibri" w:cs="Calibri"/>
        </w:rPr>
        <w:t xml:space="preserve"> should also be optimally used</w:t>
      </w:r>
      <w:r w:rsidRPr="004275E2">
        <w:rPr>
          <w:rFonts w:ascii="Calibri" w:hAnsi="Calibri" w:cs="Calibri"/>
        </w:rPr>
        <w:t xml:space="preserve">. </w:t>
      </w:r>
      <w:r w:rsidRPr="00CB6B9E">
        <w:rPr>
          <w:rFonts w:ascii="Calibri" w:hAnsi="Calibri" w:cs="Calibri"/>
        </w:rPr>
        <w:t>Therefore</w:t>
      </w:r>
      <w:r w:rsidRPr="00A86729">
        <w:rPr>
          <w:rFonts w:ascii="Calibri" w:hAnsi="Calibri" w:cs="Calibri"/>
        </w:rPr>
        <w:t>, the model results were compared visually to the capacity requirements in our hospital, obtained from the electronic patient registry.</w:t>
      </w:r>
      <w:r>
        <w:rPr>
          <w:rFonts w:ascii="Calibri" w:hAnsi="Calibri" w:cs="Calibri"/>
        </w:rPr>
        <w:t xml:space="preserve"> Since OR room availability was the bottleneck in our hospital during the first COVID-19 wave, we focused on surgery time.</w:t>
      </w:r>
    </w:p>
    <w:p w14:paraId="2B3B1B40" w14:textId="77777777" w:rsidR="00B736D9" w:rsidRPr="00B736D9" w:rsidRDefault="00B736D9" w:rsidP="00153762">
      <w:pPr>
        <w:spacing w:line="276" w:lineRule="auto"/>
        <w:rPr>
          <w:rFonts w:ascii="Calibri" w:hAnsi="Calibri" w:cs="Calibri"/>
          <w:strike/>
        </w:rPr>
      </w:pPr>
    </w:p>
    <w:p w14:paraId="7CD2308C" w14:textId="68D1F466" w:rsidR="0083596A" w:rsidRPr="00A57785" w:rsidRDefault="0083596A" w:rsidP="00153762">
      <w:pPr>
        <w:spacing w:line="276" w:lineRule="auto"/>
        <w:rPr>
          <w:rFonts w:ascii="Calibri" w:eastAsia="Calibri" w:hAnsi="Calibri" w:cs="Calibri"/>
        </w:rPr>
      </w:pPr>
      <w:r w:rsidRPr="0092480E">
        <w:rPr>
          <w:rFonts w:ascii="Calibri" w:hAnsi="Calibri" w:cs="Calibri"/>
        </w:rPr>
        <w:t xml:space="preserve">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9B688A">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23&lt;/sup&gt;","plainTextFormattedCitation":"23","previouslyFormattedCitation":"&lt;sup&gt;24&lt;/sup&gt;"},"properties":{"noteIndex":0},"schema":"https://github.com/citation-style-language/schema/raw/master/csl-citation.json"}</w:instrText>
      </w:r>
      <w:r>
        <w:rPr>
          <w:rFonts w:ascii="Calibri" w:hAnsi="Calibri" w:cs="Calibri"/>
        </w:rPr>
        <w:fldChar w:fldCharType="separate"/>
      </w:r>
      <w:r w:rsidR="009B688A" w:rsidRPr="009B688A">
        <w:rPr>
          <w:rFonts w:ascii="Calibri" w:hAnsi="Calibri" w:cs="Calibri"/>
          <w:noProof/>
          <w:vertAlign w:val="superscript"/>
        </w:rPr>
        <w:t>23</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9B688A">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24,25&lt;/sup&gt;","plainTextFormattedCitation":"24,25","previouslyFormattedCitation":"&lt;sup&gt;25,26&lt;/sup&gt;"},"properties":{"noteIndex":0},"schema":"https://github.com/citation-style-language/schema/raw/master/csl-citation.json"}</w:instrText>
      </w:r>
      <w:r w:rsidRPr="0092480E">
        <w:rPr>
          <w:rFonts w:ascii="Calibri" w:hAnsi="Calibri" w:cs="Calibri"/>
        </w:rPr>
        <w:fldChar w:fldCharType="separate"/>
      </w:r>
      <w:r w:rsidR="009B688A" w:rsidRPr="009B688A">
        <w:rPr>
          <w:rFonts w:ascii="Calibri" w:hAnsi="Calibri" w:cs="Calibri"/>
          <w:noProof/>
          <w:vertAlign w:val="superscript"/>
        </w:rPr>
        <w:t>24,25</w:t>
      </w:r>
      <w:r w:rsidRPr="0092480E">
        <w:rPr>
          <w:rFonts w:ascii="Calibri" w:hAnsi="Calibri" w:cs="Calibri"/>
        </w:rPr>
        <w:fldChar w:fldCharType="end"/>
      </w:r>
      <w:r w:rsidRPr="0092480E">
        <w:rPr>
          <w:rFonts w:ascii="Calibri" w:hAnsi="Calibri" w:cs="Calibri"/>
        </w:rPr>
        <w:t xml:space="preserve"> The </w:t>
      </w:r>
      <w:r w:rsidR="00C03083">
        <w:rPr>
          <w:rFonts w:ascii="Calibri" w:hAnsi="Calibri" w:cs="Calibri"/>
        </w:rPr>
        <w:t xml:space="preserve">full </w:t>
      </w:r>
      <w:r w:rsidRPr="0092480E">
        <w:rPr>
          <w:rFonts w:ascii="Calibri" w:hAnsi="Calibri" w:cs="Calibri"/>
        </w:rPr>
        <w:t xml:space="preserve">model code </w:t>
      </w:r>
      <w:r w:rsidR="00C03083">
        <w:rPr>
          <w:rFonts w:ascii="Calibri" w:hAnsi="Calibri" w:cs="Calibri"/>
        </w:rPr>
        <w:t>is</w:t>
      </w:r>
      <w:r w:rsidRPr="0092480E">
        <w:rPr>
          <w:rFonts w:ascii="Calibri" w:hAnsi="Calibri" w:cs="Calibri"/>
        </w:rPr>
        <w:t xml:space="preserve"> available </w:t>
      </w:r>
      <w:r w:rsidR="00C03083">
        <w:rPr>
          <w:rFonts w:ascii="Calibri" w:hAnsi="Calibri" w:cs="Calibri"/>
        </w:rPr>
        <w:t>on</w:t>
      </w:r>
      <w:r w:rsidRPr="0092480E">
        <w:rPr>
          <w:rFonts w:ascii="Calibri" w:hAnsi="Calibri" w:cs="Calibri"/>
        </w:rPr>
        <w:t xml:space="preserve"> GitHub: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Heading1"/>
        <w:spacing w:line="276" w:lineRule="auto"/>
      </w:pPr>
      <w:r w:rsidRPr="00282BDB">
        <w:t>Results</w:t>
      </w:r>
    </w:p>
    <w:p w14:paraId="08E22379" w14:textId="74001217" w:rsidR="00872009" w:rsidRDefault="00872009" w:rsidP="00872009">
      <w:pPr>
        <w:pStyle w:val="Heading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45B8D1F5" w:rsidR="00830F68" w:rsidRPr="00A04BC9" w:rsidRDefault="00625BC1" w:rsidP="009812F3">
      <w:pPr>
        <w:spacing w:before="40" w:line="276" w:lineRule="auto"/>
        <w:rPr>
          <w:rFonts w:ascii="Calibri" w:hAnsi="Calibri" w:cs="Calibri"/>
        </w:rPr>
      </w:pPr>
      <w:r w:rsidRPr="00A04BC9">
        <w:rPr>
          <w:rFonts w:ascii="Calibri" w:hAnsi="Calibri" w:cs="Calibri"/>
        </w:rPr>
        <w:t>For all surgeries, survival with 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could was </w:t>
      </w:r>
      <w:r w:rsidR="009812F3" w:rsidRPr="00A04BC9">
        <w:rPr>
          <w:rFonts w:ascii="Calibri" w:hAnsi="Calibri" w:cs="Calibri"/>
        </w:rPr>
        <w:t xml:space="preserve">mostly </w:t>
      </w:r>
      <w:r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w:t>
      </w:r>
      <w:r w:rsidR="00AC387C">
        <w:rPr>
          <w:rFonts w:ascii="Calibri" w:hAnsi="Calibri" w:cs="Calibri"/>
        </w:rPr>
        <w:t>/43</w:t>
      </w:r>
      <w:r w:rsidR="009812F3" w:rsidRPr="00A04BC9">
        <w:rPr>
          <w:rFonts w:ascii="Calibri" w:hAnsi="Calibri" w:cs="Calibri"/>
        </w:rPr>
        <w:t xml:space="preserve">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w:t>
      </w:r>
      <w:r w:rsidR="00AC387C">
        <w:rPr>
          <w:rFonts w:ascii="Calibri" w:hAnsi="Calibri" w:cs="Calibri"/>
        </w:rPr>
        <w:t>/43</w:t>
      </w:r>
      <w:r w:rsidRPr="00A04BC9">
        <w:rPr>
          <w:rFonts w:ascii="Calibri" w:hAnsi="Calibri" w:cs="Calibri"/>
        </w:rPr>
        <w:t xml:space="preserve">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w:t>
      </w:r>
      <w:r w:rsidR="00AC387C">
        <w:rPr>
          <w:rFonts w:ascii="Calibri" w:hAnsi="Calibri" w:cs="Calibri"/>
        </w:rPr>
        <w:t>/43</w:t>
      </w:r>
      <w:r w:rsidRPr="00A04BC9">
        <w:rPr>
          <w:rFonts w:ascii="Calibri" w:hAnsi="Calibri" w:cs="Calibri"/>
        </w:rPr>
        <w:t xml:space="preserve"> surgeries</w:t>
      </w:r>
      <w:r w:rsidR="009812F3" w:rsidRPr="00A04BC9">
        <w:rPr>
          <w:rFonts w:ascii="Calibri" w:hAnsi="Calibri" w:cs="Calibri"/>
        </w:rPr>
        <w:t>, 3 indirectly calculated</w:t>
      </w:r>
      <w:r w:rsidR="00096F71">
        <w:rPr>
          <w:rFonts w:ascii="Calibri" w:hAnsi="Calibri" w:cs="Calibri"/>
        </w:rPr>
        <w:t>)</w:t>
      </w:r>
      <w:r w:rsidR="009812F3" w:rsidRPr="00A04BC9">
        <w:rPr>
          <w:rFonts w:ascii="Calibri" w:hAnsi="Calibri" w:cs="Calibri"/>
        </w:rPr>
        <w:t>. For 14</w:t>
      </w:r>
      <w:r w:rsidR="00AC387C">
        <w:rPr>
          <w:rFonts w:ascii="Calibri" w:hAnsi="Calibri" w:cs="Calibri"/>
        </w:rPr>
        <w:t>/43</w:t>
      </w:r>
      <w:r w:rsidR="009812F3" w:rsidRPr="00A04BC9">
        <w:rPr>
          <w:rFonts w:ascii="Calibri" w:hAnsi="Calibri" w:cs="Calibri"/>
        </w:rPr>
        <w:t xml:space="preserve"> surgeries, QoL was available through the WHO Global Burden of Disease study.</w:t>
      </w:r>
      <w:r w:rsidR="00383134">
        <w:rPr>
          <w:rFonts w:ascii="Calibri" w:hAnsi="Calibri" w:cs="Calibri"/>
        </w:rPr>
        <w:fldChar w:fldCharType="begin" w:fldLock="1"/>
      </w:r>
      <w:r w:rsidR="009B688A">
        <w:rPr>
          <w:rFonts w:ascii="Calibri" w:hAnsi="Calibri" w:cs="Calibri"/>
        </w:rPr>
        <w:instrText>ADDIN CSL_CITATION {"citationItems":[{"id":"ITEM-1","itemData":{"abstract":"Background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Health","id":"ITEM-1","issued":{"date-parts":[["2015"]]},"number-of-pages":"712-735","title":"Disability weights for the Global Burden of Disease 2013 study","type":"report","volume":"3"},"uris":["http://www.mendeley.com/documents/?uuid=ac3e42fd-1d32-44b2-b8bf-eaba719e1571"]}],"mendeley":{"formattedCitation":"&lt;sup&gt;26&lt;/sup&gt;","plainTextFormattedCitation":"26","previouslyFormattedCitation":"&lt;sup&gt;27&lt;/sup&gt;"},"properties":{"noteIndex":0},"schema":"https://github.com/citation-style-language/schema/raw/master/csl-citation.json"}</w:instrText>
      </w:r>
      <w:r w:rsidR="00383134">
        <w:rPr>
          <w:rFonts w:ascii="Calibri" w:hAnsi="Calibri" w:cs="Calibri"/>
        </w:rPr>
        <w:fldChar w:fldCharType="separate"/>
      </w:r>
      <w:r w:rsidR="009B688A" w:rsidRPr="009B688A">
        <w:rPr>
          <w:rFonts w:ascii="Calibri" w:hAnsi="Calibri" w:cs="Calibri"/>
          <w:noProof/>
          <w:vertAlign w:val="superscript"/>
        </w:rPr>
        <w:t>26</w:t>
      </w:r>
      <w:r w:rsidR="00383134">
        <w:rPr>
          <w:rFonts w:ascii="Calibri" w:hAnsi="Calibri" w:cs="Calibri"/>
        </w:rPr>
        <w:fldChar w:fldCharType="end"/>
      </w:r>
      <w:r w:rsidR="009812F3" w:rsidRPr="00A04BC9">
        <w:rPr>
          <w:rFonts w:ascii="Calibri" w:hAnsi="Calibri" w:cs="Calibri"/>
        </w:rPr>
        <w:t xml:space="preserve"> For the remaining 29 surgeries, the QoL of the pre- and postoperative health state was estimated by the expert panel as described in </w:t>
      </w:r>
      <w:r w:rsidR="00383134">
        <w:rPr>
          <w:rFonts w:ascii="Calibri" w:hAnsi="Calibri" w:cs="Calibri"/>
        </w:rPr>
        <w:t>Appendix C</w:t>
      </w:r>
      <w:r w:rsidR="009812F3" w:rsidRPr="00A04BC9">
        <w:rPr>
          <w:rFonts w:ascii="Calibri" w:hAnsi="Calibri" w:cs="Calibri"/>
        </w:rPr>
        <w:t>. For 6</w:t>
      </w:r>
      <w:r w:rsidR="00AC387C">
        <w:rPr>
          <w:rFonts w:ascii="Calibri" w:hAnsi="Calibri" w:cs="Calibri"/>
        </w:rPr>
        <w:t>/43</w:t>
      </w:r>
      <w:r w:rsidR="009812F3" w:rsidRPr="00A04BC9">
        <w:rPr>
          <w:rFonts w:ascii="Calibri" w:hAnsi="Calibri" w:cs="Calibri"/>
        </w:rPr>
        <w:t xml:space="preserve"> surgeries, a “time-to-no-effect-on-QoL”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r w:rsidR="00933AB1">
        <w:rPr>
          <w:rFonts w:ascii="Calibri" w:hAnsi="Calibri" w:cs="Calibri"/>
        </w:rPr>
        <w:t>20/23</w:t>
      </w:r>
      <w:r w:rsidR="0071679E" w:rsidRPr="00C27C5F">
        <w:rPr>
          <w:rFonts w:ascii="Calibri" w:hAnsi="Calibri" w:cs="Calibri"/>
        </w:rPr>
        <w:t>)</w:t>
      </w:r>
      <w:r w:rsidR="00B12901" w:rsidRPr="003B1152">
        <w:rPr>
          <w:rFonts w:ascii="Calibri" w:hAnsi="Calibri" w:cs="Calibri"/>
        </w:rPr>
        <w:t>.</w:t>
      </w:r>
      <w:r w:rsidR="00B12901">
        <w:rPr>
          <w:rFonts w:ascii="Calibri" w:hAnsi="Calibri" w:cs="Calibri"/>
        </w:rPr>
        <w:t xml:space="preserve"> The estimates for the time until surgery becomes ineffective was mostly based on class IIb </w:t>
      </w:r>
      <w:r w:rsidR="00B12901">
        <w:rPr>
          <w:rFonts w:ascii="Calibri" w:hAnsi="Calibri" w:cs="Calibri"/>
        </w:rPr>
        <w:lastRenderedPageBreak/>
        <w:t xml:space="preserve">evidence (retrospective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All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9B688A">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Survival","type":"article-journal","volume":"Epub"},"uris":["http://www.mendeley.com/documents/?uuid=b3241d8c-9363-3c15-9a01-5b408402c62c"]},{"id":"ITEM-11","itemData":{"DOI":"10.1016/S0140-6736(94)91963-1","ISSN":"01406736","PMID":"7914958","abstract":"Summary.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9B688A">
        <w:rPr>
          <w:rFonts w:ascii="Cambria Math" w:hAnsi="Cambria Math" w:cs="Cambria Math"/>
        </w:rPr>
        <w:instrText>∼</w:instrText>
      </w:r>
      <w:r w:rsidR="009B688A">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Reviews","id":"ITEM-36","issue":"CD002027","issued":{"date-parts":[["2014","12","12"]]},"publisher":"John Wiley and Sons Ltd","title":"Radiotherapy versus open surgery versus endolaryngeal surgery (with or without laser) for early laryngeal squamous cell cancer","type":"article","volume":"2"},"uris":["http://www.mendeley.com/documents/?uuid=d811b0b6-2bba-39a6-a5d0-19ee68385319"]},{"id":"ITEM-37","itemData":{"DOI":"10.1016/S0140-6736(97)09292-1","ISSN":"01406736","PMID":"9593407","abstract":"Background.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operate.","author":[{"dropping-particle":"","family":"European Carotid Surgery Trialists' Collaborative Group","given":"","non-dropping-particle":"","parse-names":false,"suffix":""}],"container-title":"Lancet","id":"ITEM-37","issue":"9113","issued":{"date-parts":[["1998","5","9"]]},"page":"1379-1387","publisher":"Lancet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9B688A">
        <w:rPr>
          <w:rFonts w:ascii="Cambria Math" w:hAnsi="Cambria Math" w:cs="Cambria Math"/>
        </w:rPr>
        <w:instrText>∼</w:instrText>
      </w:r>
      <w:r w:rsidR="009B688A">
        <w:rPr>
          <w:rFonts w:ascii="Calibri" w:hAnsi="Calibri" w:cs="Calibri"/>
        </w:rPr>
        <w:instrText>80%) and median survival (</w:instrText>
      </w:r>
      <w:r w:rsidR="009B688A">
        <w:rPr>
          <w:rFonts w:ascii="Cambria Math" w:hAnsi="Cambria Math" w:cs="Cambria Math"/>
        </w:rPr>
        <w:instrText>∼</w:instrText>
      </w:r>
      <w:r w:rsidR="009B688A">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26–82&lt;/sup&gt;","plainTextFormattedCitation":"26–82","previouslyFormattedCitation":"&lt;sup&gt;27–83&lt;/sup&gt;"},"properties":{"noteIndex":0},"schema":"https://github.com/citation-style-language/schema/raw/master/csl-citation.json"}</w:instrText>
      </w:r>
      <w:r w:rsidR="00830F68" w:rsidRPr="00A04BC9">
        <w:rPr>
          <w:rFonts w:ascii="Calibri" w:hAnsi="Calibri" w:cs="Calibri"/>
        </w:rPr>
        <w:fldChar w:fldCharType="separate"/>
      </w:r>
      <w:r w:rsidR="009B688A" w:rsidRPr="009B688A">
        <w:rPr>
          <w:rFonts w:ascii="Calibri" w:hAnsi="Calibri" w:cs="Calibri"/>
          <w:noProof/>
          <w:vertAlign w:val="superscript"/>
        </w:rPr>
        <w:t>26–82</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 are presented in Appendix A.</w:t>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Heading2"/>
      </w:pPr>
      <w:r w:rsidRPr="005B1B09">
        <w:t xml:space="preserve">Quality of Life </w:t>
      </w:r>
    </w:p>
    <w:p w14:paraId="4CDC8569" w14:textId="220020D5" w:rsidR="0A1EFA4D" w:rsidRPr="005B1B09" w:rsidRDefault="0071679E" w:rsidP="00153762">
      <w:pPr>
        <w:spacing w:line="276" w:lineRule="auto"/>
        <w:rPr>
          <w:rFonts w:ascii="Calibri" w:hAnsi="Calibri" w:cs="Calibri"/>
        </w:rPr>
      </w:pPr>
      <w:r>
        <w:rPr>
          <w:rFonts w:ascii="Calibri" w:hAnsi="Calibri" w:cs="Calibri"/>
        </w:rPr>
        <w:t>The preoperative and postoperative health state of 3 surgeries (one with a mild and severe subgroup) were estimated in both sessions, resulting in 8 double estimates of QoL. T</w:t>
      </w:r>
      <w:r w:rsidR="00FB74E6" w:rsidRPr="005B1B09">
        <w:rPr>
          <w:rFonts w:ascii="Calibri" w:hAnsi="Calibri" w:cs="Calibri"/>
        </w:rPr>
        <w:t xml:space="preserve">he </w:t>
      </w:r>
      <w:r w:rsidR="005E6B21" w:rsidRPr="005B1B09">
        <w:rPr>
          <w:rFonts w:ascii="Calibri" w:hAnsi="Calibri" w:cs="Calibri"/>
        </w:rPr>
        <w:t xml:space="preserve">gain in </w:t>
      </w:r>
      <w:r w:rsidR="00830F68" w:rsidRPr="005B1B09">
        <w:rPr>
          <w:rFonts w:ascii="Calibri" w:hAnsi="Calibri" w:cs="Calibri"/>
        </w:rPr>
        <w:t>QoL</w:t>
      </w:r>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w:t>
      </w:r>
      <w:r w:rsidR="00B8108F">
        <w:rPr>
          <w:rFonts w:ascii="Calibri" w:hAnsi="Calibri" w:cs="Calibri"/>
        </w:rPr>
        <w:t xml:space="preserve">consistent in the two </w:t>
      </w:r>
      <w:r w:rsidR="005E6B21" w:rsidRPr="005B1B09">
        <w:rPr>
          <w:rFonts w:ascii="Calibri" w:hAnsi="Calibri" w:cs="Calibri"/>
        </w:rPr>
        <w:t>session</w:t>
      </w:r>
      <w:r w:rsidR="00B8108F">
        <w:rPr>
          <w:rFonts w:ascii="Calibri" w:hAnsi="Calibri" w:cs="Calibri"/>
        </w:rPr>
        <w:t>s</w:t>
      </w:r>
      <w:r w:rsidR="005E6B21" w:rsidRPr="005B1B09">
        <w:rPr>
          <w:rFonts w:ascii="Calibri" w:hAnsi="Calibri" w:cs="Calibri"/>
        </w:rPr>
        <w:t xml:space="preserve">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00C618AD">
        <w:rPr>
          <w:rFonts w:ascii="Calibri" w:hAnsi="Calibri" w:cs="Calibri"/>
        </w:rPr>
        <w:t xml:space="preserve">Appendix B: </w:t>
      </w:r>
      <w:r w:rsidR="42ACAC33" w:rsidRPr="005B1B09">
        <w:rPr>
          <w:rFonts w:ascii="Calibri" w:hAnsi="Calibri" w:cs="Calibri"/>
        </w:rPr>
        <w:t xml:space="preserve">table 3 </w:t>
      </w:r>
      <w:r w:rsidR="000738A7" w:rsidRPr="005B1B09">
        <w:rPr>
          <w:rFonts w:ascii="Calibri" w:hAnsi="Calibri" w:cs="Calibri"/>
        </w:rPr>
        <w:t>and figure 1</w:t>
      </w:r>
      <w:r w:rsidR="42ACAC33" w:rsidRPr="005B1B09">
        <w:rPr>
          <w:rFonts w:ascii="Calibri" w:hAnsi="Calibri" w:cs="Calibri"/>
        </w:rPr>
        <w:t>).</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4D70ADAF"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w:t>
      </w:r>
      <w:r w:rsidR="00146376">
        <w:rPr>
          <w:rFonts w:ascii="Calibri" w:hAnsi="Calibri" w:cs="Calibri"/>
        </w:rPr>
        <w:t xml:space="preserve"> of surgery</w:t>
      </w:r>
      <w:r w:rsidR="001D4731" w:rsidRPr="004323E1">
        <w:rPr>
          <w:rFonts w:ascii="Calibri" w:hAnsi="Calibri" w:cs="Calibri"/>
        </w:rPr>
        <w:t xml:space="preserve">, i.e. in a scenario without delay, </w:t>
      </w:r>
      <w:r w:rsidRPr="004323E1">
        <w:rPr>
          <w:rFonts w:ascii="Calibri" w:hAnsi="Calibri" w:cs="Calibri"/>
        </w:rPr>
        <w:t xml:space="preserve">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146376">
        <w:rPr>
          <w:rFonts w:ascii="Calibri" w:hAnsi="Calibri" w:cs="Calibri"/>
        </w:rPr>
        <w:t>LYs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Heading2"/>
      </w:pPr>
      <w:r w:rsidRPr="00845D99">
        <w:t>Urgency</w:t>
      </w:r>
    </w:p>
    <w:p w14:paraId="642F6C64" w14:textId="1259DE33" w:rsidR="002C67AE" w:rsidRPr="00845D99" w:rsidRDefault="002C67AE" w:rsidP="002C67AE">
      <w:pPr>
        <w:rPr>
          <w:rFonts w:ascii="Calibri" w:hAnsi="Calibri" w:cs="Calibri"/>
        </w:rPr>
      </w:pPr>
      <w:r w:rsidRPr="00845D99">
        <w:rPr>
          <w:rFonts w:ascii="Calibri" w:hAnsi="Calibri" w:cs="Calibri"/>
        </w:rPr>
        <w:t xml:space="preserve">Most surgeries had a clear linear descend in terms of QALYs per delay, except surgeries where a time until no effect of treatment on survival was </w:t>
      </w:r>
      <w:r w:rsidR="00DA741D">
        <w:rPr>
          <w:rFonts w:ascii="Calibri" w:hAnsi="Calibri" w:cs="Calibri"/>
        </w:rPr>
        <w:t>used</w:t>
      </w:r>
      <w:r w:rsidR="00DA741D" w:rsidRPr="00845D99">
        <w:rPr>
          <w:rFonts w:ascii="Calibri" w:hAnsi="Calibri" w:cs="Calibri"/>
        </w:rPr>
        <w:t xml:space="preserve"> </w:t>
      </w:r>
      <w:r w:rsidRPr="00845D99">
        <w:rPr>
          <w:rFonts w:ascii="Calibri" w:hAnsi="Calibri" w:cs="Calibri"/>
        </w:rPr>
        <w:t>(figure 1, appendix B).</w:t>
      </w:r>
    </w:p>
    <w:p w14:paraId="6DE533AE" w14:textId="77777777" w:rsidR="002C67AE" w:rsidRPr="002C67AE" w:rsidRDefault="002C67AE" w:rsidP="002C67AE">
      <w:pPr>
        <w:rPr>
          <w:highlight w:val="yellow"/>
          <w:lang w:val="en-GB"/>
        </w:rPr>
      </w:pPr>
    </w:p>
    <w:p w14:paraId="18C8DC79" w14:textId="3B600919"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0.00</w:t>
      </w:r>
      <w:r w:rsidR="00A820E7">
        <w:rPr>
          <w:rFonts w:ascii="Calibri" w:hAnsi="Calibri" w:cs="Calibri"/>
        </w:rPr>
        <w:t>-</w:t>
      </w:r>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846801">
        <w:rPr>
          <w:rFonts w:ascii="Calibri" w:hAnsi="Calibri" w:cs="Calibri"/>
        </w:rPr>
        <w:t>Appendix B: f</w:t>
      </w:r>
      <w:r w:rsidR="45556DFE" w:rsidRPr="004323E1">
        <w:rPr>
          <w:rFonts w:ascii="Calibri" w:hAnsi="Calibri" w:cs="Calibri"/>
        </w:rPr>
        <w:t>igure 4</w:t>
      </w:r>
      <w:r w:rsidR="7C789924" w:rsidRPr="004323E1">
        <w:rPr>
          <w:rFonts w:ascii="Calibri" w:hAnsi="Calibri" w:cs="Calibri"/>
        </w:rPr>
        <w:t xml:space="preserve"> and table 1</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846801">
        <w:rPr>
          <w:rFonts w:ascii="Calibri" w:eastAsia="Calibri" w:hAnsi="Calibri" w:cs="Calibri"/>
        </w:rPr>
        <w:t xml:space="preserve">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07737E0F" w14:textId="481B83D0" w:rsidR="00CD6C5E" w:rsidRDefault="7386EC48" w:rsidP="00153762">
      <w:pPr>
        <w:spacing w:line="276" w:lineRule="auto"/>
        <w:rPr>
          <w:rFonts w:ascii="Calibri" w:hAnsi="Calibri" w:cs="Calibri"/>
        </w:rPr>
      </w:pPr>
      <w:r w:rsidRPr="004323E1">
        <w:rPr>
          <w:rFonts w:ascii="Calibri" w:hAnsi="Calibri" w:cs="Calibri"/>
        </w:rPr>
        <w:t xml:space="preserve">The most urgent </w:t>
      </w:r>
      <w:r w:rsidR="00F727B4" w:rsidRPr="004323E1">
        <w:rPr>
          <w:rFonts w:ascii="Calibri" w:hAnsi="Calibri" w:cs="Calibri"/>
        </w:rPr>
        <w:t>surgeries</w:t>
      </w:r>
      <w:r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 xml:space="preserve">for Fontaine III/IV peripheral arterial disease, </w:t>
      </w:r>
      <w:r w:rsidR="00295C28">
        <w:rPr>
          <w:rFonts w:ascii="Calibri" w:hAnsi="Calibri" w:cs="Calibri"/>
        </w:rPr>
        <w:t>was</w:t>
      </w:r>
      <w:r w:rsidR="00295C28" w:rsidRPr="004323E1">
        <w:rPr>
          <w:rFonts w:ascii="Calibri" w:hAnsi="Calibri" w:cs="Calibri"/>
        </w:rPr>
        <w:t xml:space="preserve"> </w:t>
      </w:r>
      <w:r w:rsidR="004323E1" w:rsidRPr="004323E1">
        <w:rPr>
          <w:rFonts w:ascii="Calibri" w:hAnsi="Calibri" w:cs="Calibri"/>
        </w:rPr>
        <w:t>transaortic valve implantation</w:t>
      </w:r>
      <w:r w:rsidR="3E40346D" w:rsidRPr="004323E1">
        <w:rPr>
          <w:rFonts w:ascii="Calibri" w:hAnsi="Calibri" w:cs="Calibri"/>
        </w:rPr>
        <w:t xml:space="preserve"> </w:t>
      </w:r>
      <w:r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r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00F727B4" w:rsidRPr="004323E1">
        <w:rPr>
          <w:rFonts w:ascii="Calibri" w:hAnsi="Calibri" w:cs="Calibri"/>
        </w:rPr>
        <w:t>surger</w:t>
      </w:r>
      <w:r w:rsidR="00CB6B9E">
        <w:rPr>
          <w:rFonts w:ascii="Calibri" w:hAnsi="Calibri" w:cs="Calibri"/>
        </w:rPr>
        <w:t>y</w:t>
      </w:r>
      <w:r w:rsidR="485380E9" w:rsidRPr="004323E1">
        <w:rPr>
          <w:rFonts w:ascii="Calibri" w:hAnsi="Calibri" w:cs="Calibri"/>
        </w:rPr>
        <w:t xml:space="preserve"> </w:t>
      </w:r>
      <w:r w:rsidR="00295C28">
        <w:rPr>
          <w:rFonts w:ascii="Calibri" w:hAnsi="Calibri" w:cs="Calibri"/>
        </w:rPr>
        <w:t>was</w:t>
      </w:r>
      <w:r w:rsidR="00295C28" w:rsidRPr="004323E1">
        <w:rPr>
          <w:rFonts w:ascii="Calibri" w:hAnsi="Calibri" w:cs="Calibri"/>
        </w:rPr>
        <w:t xml:space="preserve"> </w:t>
      </w:r>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F415D" w:rsidRPr="004323E1">
        <w:rPr>
          <w:rFonts w:ascii="Calibri" w:hAnsi="Calibri" w:cs="Calibri"/>
        </w:rPr>
        <w:t>0.01</w:t>
      </w:r>
      <w:r w:rsidR="00A820E7">
        <w:rPr>
          <w:rFonts w:ascii="Calibri" w:hAnsi="Calibri" w:cs="Calibri"/>
        </w:rPr>
        <w:t>-</w:t>
      </w:r>
      <w:r w:rsidR="57DF9280" w:rsidRPr="004323E1">
        <w:rPr>
          <w:rFonts w:ascii="Calibri" w:hAnsi="Calibri" w:cs="Calibri"/>
        </w:rPr>
        <w:t>0.02</w:t>
      </w:r>
      <w:r w:rsidR="15A7A9FE" w:rsidRPr="004323E1">
        <w:rPr>
          <w:rFonts w:ascii="Calibri" w:hAnsi="Calibri" w:cs="Calibri"/>
        </w:rPr>
        <w:t xml:space="preserve">) </w:t>
      </w:r>
      <w:r w:rsidR="441DC169" w:rsidRPr="004323E1">
        <w:rPr>
          <w:rFonts w:ascii="Calibri" w:hAnsi="Calibri" w:cs="Calibri"/>
        </w:rPr>
        <w:t>(Appendix B)</w:t>
      </w:r>
      <w:r w:rsidR="535E1583" w:rsidRPr="004323E1">
        <w:rPr>
          <w:rFonts w:ascii="Calibri" w:hAnsi="Calibri" w:cs="Calibri"/>
        </w:rPr>
        <w:t>.</w:t>
      </w:r>
      <w:r w:rsidR="35295F88" w:rsidRPr="004323E1">
        <w:rPr>
          <w:rFonts w:ascii="Calibri" w:hAnsi="Calibri" w:cs="Calibri"/>
        </w:rPr>
        <w:t xml:space="preserve"> </w:t>
      </w:r>
      <w:r w:rsidR="00CD6C5E" w:rsidRPr="004323E1">
        <w:rPr>
          <w:rFonts w:ascii="Calibri" w:hAnsi="Calibri" w:cs="Calibri"/>
        </w:rPr>
        <w:t>Surgeries that were associated with a higher expected QALY benefit, often lost more QALYs per month</w:t>
      </w:r>
      <w:r w:rsidR="00CD6C5E">
        <w:rPr>
          <w:rFonts w:ascii="Calibri" w:hAnsi="Calibri" w:cs="Calibri"/>
        </w:rPr>
        <w:t xml:space="preserve"> delay</w:t>
      </w:r>
      <w:r w:rsidR="00CD6C5E" w:rsidRPr="004323E1">
        <w:rPr>
          <w:rFonts w:ascii="Calibri" w:hAnsi="Calibri" w:cs="Calibri"/>
        </w:rPr>
        <w:t>: The Spearman correlation coefficient between the ranking of health benefit, in terms of QALYs, and urgency, in terms of QALY loss</w:t>
      </w:r>
      <w:r w:rsidR="00CD6C5E">
        <w:rPr>
          <w:rFonts w:ascii="Calibri" w:hAnsi="Calibri" w:cs="Calibri"/>
        </w:rPr>
        <w:t>/</w:t>
      </w:r>
      <w:r w:rsidR="00CD6C5E" w:rsidRPr="004323E1">
        <w:rPr>
          <w:rFonts w:ascii="Calibri" w:hAnsi="Calibri" w:cs="Calibri"/>
        </w:rPr>
        <w:t>month, was 0.32 (p=0.04).</w:t>
      </w:r>
    </w:p>
    <w:p w14:paraId="40533A72" w14:textId="77777777" w:rsidR="00B50002" w:rsidRDefault="00B50002" w:rsidP="00153762">
      <w:pPr>
        <w:spacing w:line="276" w:lineRule="auto"/>
        <w:rPr>
          <w:rFonts w:ascii="Calibri" w:hAnsi="Calibri" w:cs="Calibri"/>
        </w:rPr>
      </w:pPr>
    </w:p>
    <w:p w14:paraId="47E809C4" w14:textId="0E80D47E" w:rsidR="2FB1C186" w:rsidRPr="001C38EF" w:rsidRDefault="00B50002" w:rsidP="00153762">
      <w:pPr>
        <w:spacing w:line="276" w:lineRule="auto"/>
        <w:rPr>
          <w:rFonts w:ascii="Calibri" w:hAnsi="Calibri" w:cs="Calibri"/>
          <w:highlight w:val="yellow"/>
        </w:rPr>
      </w:pPr>
      <w:r>
        <w:rPr>
          <w:rFonts w:ascii="Calibri" w:hAnsi="Calibri" w:cs="Calibri"/>
        </w:rPr>
        <w:t xml:space="preserve">Urgency was </w:t>
      </w:r>
      <w:r w:rsidR="00CD6C5E">
        <w:rPr>
          <w:rFonts w:ascii="Calibri" w:hAnsi="Calibri" w:cs="Calibri"/>
        </w:rPr>
        <w:t xml:space="preserve">strongly </w:t>
      </w:r>
      <w:r>
        <w:rPr>
          <w:rFonts w:ascii="Calibri" w:hAnsi="Calibri" w:cs="Calibri"/>
        </w:rPr>
        <w:t>correlated with the L</w:t>
      </w:r>
      <w:r w:rsidR="00DA5A38">
        <w:rPr>
          <w:rFonts w:ascii="Calibri" w:hAnsi="Calibri" w:cs="Calibri"/>
        </w:rPr>
        <w:t>Y</w:t>
      </w:r>
      <w:r>
        <w:rPr>
          <w:rFonts w:ascii="Calibri" w:hAnsi="Calibri" w:cs="Calibri"/>
        </w:rPr>
        <w:t>s gained per surgery:</w:t>
      </w:r>
      <w:r w:rsidRPr="004323E1">
        <w:rPr>
          <w:rFonts w:ascii="Calibri" w:hAnsi="Calibri" w:cs="Calibri"/>
          <w:i/>
          <w:iCs/>
        </w:rPr>
        <w:t xml:space="preserve"> </w:t>
      </w:r>
      <w:r w:rsidRPr="004323E1">
        <w:rPr>
          <w:rFonts w:ascii="Calibri" w:hAnsi="Calibri" w:cs="Calibri"/>
        </w:rPr>
        <w:t>The Spearman rank correlation coefficient between the ranking of surgeries</w:t>
      </w:r>
      <w:r>
        <w:rPr>
          <w:rFonts w:ascii="Calibri" w:hAnsi="Calibri" w:cs="Calibri"/>
        </w:rPr>
        <w:t xml:space="preserve"> based on LYs and QALY loss/month </w:t>
      </w:r>
      <w:r w:rsidRPr="004323E1">
        <w:rPr>
          <w:rFonts w:ascii="Calibri" w:hAnsi="Calibri" w:cs="Calibri"/>
        </w:rPr>
        <w:t>was</w:t>
      </w:r>
      <w:r w:rsidR="00E179F3">
        <w:rPr>
          <w:rFonts w:ascii="Calibri" w:hAnsi="Calibri" w:cs="Calibri"/>
        </w:rPr>
        <w:t xml:space="preserve"> 0.79</w:t>
      </w:r>
      <w:r w:rsidR="00C27C5F">
        <w:rPr>
          <w:rFonts w:ascii="Calibri" w:hAnsi="Calibri" w:cs="Calibri"/>
        </w:rPr>
        <w:t xml:space="preserve"> </w:t>
      </w:r>
      <w:r w:rsidRPr="004323E1">
        <w:rPr>
          <w:rFonts w:ascii="Calibri" w:hAnsi="Calibri" w:cs="Calibri"/>
        </w:rPr>
        <w:t>(p</w:t>
      </w:r>
      <w:r w:rsidR="00C27C5F">
        <w:rPr>
          <w:rFonts w:ascii="Calibri" w:hAnsi="Calibri" w:cs="Calibri"/>
        </w:rPr>
        <w:t>&lt; 0.001</w:t>
      </w:r>
      <w:r w:rsidRPr="004323E1">
        <w:rPr>
          <w:rFonts w:ascii="Calibri" w:hAnsi="Calibri" w:cs="Calibri"/>
        </w:rPr>
        <w:t xml:space="preserve">). </w:t>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Heading2"/>
      </w:pPr>
      <w:r w:rsidRPr="004275E2">
        <w:lastRenderedPageBreak/>
        <w:t xml:space="preserve">Capacity </w:t>
      </w:r>
    </w:p>
    <w:p w14:paraId="60EAD743" w14:textId="1F606450" w:rsidR="003D21E0" w:rsidRPr="0092480E" w:rsidRDefault="00F727B4" w:rsidP="00153762">
      <w:pPr>
        <w:spacing w:line="276" w:lineRule="auto"/>
        <w:rPr>
          <w:rFonts w:ascii="Calibri" w:hAnsi="Calibri" w:cs="Calibri"/>
        </w:rPr>
      </w:pPr>
      <w:r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w:t>
      </w:r>
      <w:r w:rsidR="00395E37">
        <w:rPr>
          <w:rFonts w:ascii="Calibri" w:hAnsi="Calibri" w:cs="Calibri"/>
        </w:rPr>
        <w:t>-</w:t>
      </w:r>
      <w:r w:rsidR="008F415D" w:rsidRPr="004275E2">
        <w:rPr>
          <w:rFonts w:ascii="Calibri" w:hAnsi="Calibri" w:cs="Calibri"/>
        </w:rPr>
        <w:t>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0.04-</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[38</w:t>
      </w:r>
      <w:r w:rsidR="00395E37">
        <w:rPr>
          <w:rFonts w:ascii="Calibri" w:hAnsi="Calibri" w:cs="Calibri"/>
        </w:rPr>
        <w:t>-</w:t>
      </w:r>
      <w:r w:rsidR="002C51AB" w:rsidRPr="004275E2">
        <w:rPr>
          <w:rFonts w:ascii="Calibri" w:hAnsi="Calibri" w:cs="Calibri"/>
        </w:rPr>
        <w:t xml:space="preserve">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w:t>
      </w:r>
      <w:r w:rsidR="00395E37">
        <w:rPr>
          <w:rFonts w:ascii="Calibri" w:hAnsi="Calibri" w:cs="Calibri"/>
        </w:rPr>
        <w:t>-</w:t>
      </w:r>
      <w:r w:rsidR="004275E2" w:rsidRPr="004275E2">
        <w:rPr>
          <w:rFonts w:ascii="Calibri" w:hAnsi="Calibri" w:cs="Calibri"/>
        </w:rPr>
        <w:t>125]; mitral valve replacement: 0.09 QALY loss/month [0.04</w:t>
      </w:r>
      <w:r w:rsidR="00A820E7">
        <w:rPr>
          <w:rFonts w:ascii="Calibri" w:hAnsi="Calibri" w:cs="Calibri"/>
        </w:rPr>
        <w:t>-</w:t>
      </w:r>
      <w:r w:rsidR="004275E2" w:rsidRPr="004275E2">
        <w:rPr>
          <w:rFonts w:ascii="Calibri" w:hAnsi="Calibri" w:cs="Calibri"/>
        </w:rPr>
        <w:t>0.15]; aortic valve replacement: 0.09 QALY loss/month [0.06-0.17])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0.07-</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Heading1"/>
        <w:spacing w:line="276" w:lineRule="auto"/>
      </w:pPr>
      <w:r>
        <w:br w:type="column"/>
      </w:r>
      <w:r w:rsidR="00FA70F1" w:rsidRPr="00787ED8">
        <w:lastRenderedPageBreak/>
        <w:t xml:space="preserve">Discussion </w:t>
      </w:r>
    </w:p>
    <w:p w14:paraId="74C02245" w14:textId="77777777" w:rsidR="00251ED2" w:rsidRDefault="00251ED2" w:rsidP="00153762">
      <w:pPr>
        <w:spacing w:line="276" w:lineRule="auto"/>
        <w:rPr>
          <w:rFonts w:ascii="Calibri" w:eastAsia="Calibri" w:hAnsi="Calibri" w:cs="Calibri"/>
        </w:rPr>
      </w:pPr>
      <w:r>
        <w:rPr>
          <w:rFonts w:ascii="Calibri" w:hAnsi="Calibri" w:cs="Calibri"/>
        </w:rPr>
        <w:t>Our proposed</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672927">
        <w:rPr>
          <w:rFonts w:ascii="Calibri" w:hAnsi="Calibri" w:cs="Calibri"/>
        </w:rPr>
        <w:t xml:space="preserve">Our approach </w:t>
      </w:r>
      <w:r w:rsidR="00672927">
        <w:rPr>
          <w:rFonts w:ascii="Calibri" w:eastAsiaTheme="minorEastAsia" w:hAnsi="Calibri" w:cs="Calibri"/>
          <w:sz w:val="23"/>
          <w:szCs w:val="23"/>
        </w:rPr>
        <w:t>operationalizes ethical values that are the most appropriate in times of scarcity.</w:t>
      </w:r>
      <w:r w:rsidR="00672927">
        <w:rPr>
          <w:rFonts w:ascii="Calibri" w:eastAsiaTheme="minorEastAsia" w:hAnsi="Calibri" w:cs="Calibri"/>
          <w:sz w:val="23"/>
          <w:szCs w:val="23"/>
        </w:rPr>
        <w:fldChar w:fldCharType="begin" w:fldLock="1"/>
      </w:r>
      <w:r w:rsidR="00672927">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672927">
        <w:rPr>
          <w:rFonts w:ascii="Calibri" w:eastAsiaTheme="minorEastAsia" w:hAnsi="Calibri" w:cs="Calibri"/>
          <w:sz w:val="23"/>
          <w:szCs w:val="23"/>
        </w:rPr>
        <w:fldChar w:fldCharType="separate"/>
      </w:r>
      <w:r w:rsidR="00672927" w:rsidRPr="00383134">
        <w:rPr>
          <w:rFonts w:ascii="Calibri" w:eastAsiaTheme="minorEastAsia" w:hAnsi="Calibri" w:cs="Calibri"/>
          <w:noProof/>
          <w:sz w:val="23"/>
          <w:szCs w:val="23"/>
          <w:vertAlign w:val="superscript"/>
        </w:rPr>
        <w:t>2</w:t>
      </w:r>
      <w:r w:rsidR="00672927">
        <w:rPr>
          <w:rFonts w:ascii="Calibri" w:eastAsiaTheme="minorEastAsia" w:hAnsi="Calibri" w:cs="Calibri"/>
          <w:sz w:val="23"/>
          <w:szCs w:val="23"/>
        </w:rPr>
        <w:fldChar w:fldCharType="end"/>
      </w:r>
      <w:r w:rsidR="00672927">
        <w:rPr>
          <w:rFonts w:ascii="Calibri" w:eastAsiaTheme="minorEastAsia" w:hAnsi="Calibri" w:cs="Calibri"/>
          <w:sz w:val="23"/>
          <w:szCs w:val="23"/>
        </w:rPr>
        <w:t xml:space="preserve">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w:t>
      </w:r>
      <w:r>
        <w:rPr>
          <w:rFonts w:ascii="Calibri" w:eastAsia="Calibri" w:hAnsi="Calibri" w:cs="Calibri"/>
        </w:rPr>
        <w:t>decision</w:t>
      </w:r>
      <w:r w:rsidR="00E56F28">
        <w:rPr>
          <w:rFonts w:ascii="Calibri" w:eastAsia="Calibri" w:hAnsi="Calibri" w:cs="Calibri"/>
        </w:rPr>
        <w:t xml:space="preserve"> model</w:t>
      </w:r>
      <w:r w:rsidR="391B16D9" w:rsidRPr="0092480E">
        <w:rPr>
          <w:rFonts w:ascii="Calibri" w:eastAsia="Calibri" w:hAnsi="Calibri" w:cs="Calibri"/>
        </w:rPr>
        <w:t>.</w:t>
      </w:r>
      <w:r w:rsidR="00C00721">
        <w:rPr>
          <w:rFonts w:ascii="Calibri" w:eastAsia="Calibri" w:hAnsi="Calibri" w:cs="Calibri"/>
        </w:rPr>
        <w:t xml:space="preserve"> For survival </w:t>
      </w:r>
      <w:r>
        <w:rPr>
          <w:rFonts w:ascii="Calibri" w:eastAsia="Calibri" w:hAnsi="Calibri" w:cs="Calibri"/>
        </w:rPr>
        <w:t>after surgery</w:t>
      </w:r>
      <w:r w:rsidR="00C00721">
        <w:rPr>
          <w:rFonts w:ascii="Calibri" w:eastAsia="Calibri" w:hAnsi="Calibri" w:cs="Calibri"/>
        </w:rPr>
        <w:t xml:space="preserve">, most evidence was based on national registries, while treatment effects were mostly derived from </w:t>
      </w:r>
      <w:r>
        <w:rPr>
          <w:rFonts w:ascii="Calibri" w:eastAsia="Calibri" w:hAnsi="Calibri" w:cs="Calibri"/>
        </w:rPr>
        <w:t>RCTs</w:t>
      </w:r>
      <w:r w:rsidR="00C00721">
        <w:rPr>
          <w:rFonts w:ascii="Calibri" w:eastAsia="Calibri" w:hAnsi="Calibri" w:cs="Calibri"/>
        </w:rPr>
        <w:t xml:space="preserve">. The time until no effect of treatment on survival or </w:t>
      </w:r>
      <w:r>
        <w:rPr>
          <w:rFonts w:ascii="Calibri" w:eastAsia="Calibri" w:hAnsi="Calibri" w:cs="Calibri"/>
        </w:rPr>
        <w:t>QoL</w:t>
      </w:r>
      <w:r w:rsidR="00C00721">
        <w:rPr>
          <w:rFonts w:ascii="Calibri" w:eastAsia="Calibri" w:hAnsi="Calibri" w:cs="Calibri"/>
        </w:rPr>
        <w:t>, however, was most often class IIb/III evidence.</w:t>
      </w:r>
      <w:r w:rsidR="391B16D9" w:rsidRPr="0092480E">
        <w:rPr>
          <w:rFonts w:ascii="Calibri" w:eastAsia="Calibri" w:hAnsi="Calibri" w:cs="Calibri"/>
        </w:rPr>
        <w:t xml:space="preserve"> </w:t>
      </w:r>
    </w:p>
    <w:p w14:paraId="4A09260E" w14:textId="77777777" w:rsidR="00251ED2" w:rsidRDefault="00251ED2" w:rsidP="00153762">
      <w:pPr>
        <w:spacing w:line="276" w:lineRule="auto"/>
        <w:rPr>
          <w:rFonts w:ascii="Calibri" w:eastAsia="Calibri" w:hAnsi="Calibri" w:cs="Calibri"/>
        </w:rPr>
      </w:pPr>
    </w:p>
    <w:p w14:paraId="7D9C96BF" w14:textId="09EFA7E8" w:rsidR="00384F89" w:rsidRDefault="00251ED2" w:rsidP="00153762">
      <w:pPr>
        <w:spacing w:line="276" w:lineRule="auto"/>
        <w:rPr>
          <w:rFonts w:ascii="Calibri" w:eastAsia="Calibri" w:hAnsi="Calibri" w:cs="Calibri"/>
        </w:rPr>
      </w:pPr>
      <w:r>
        <w:rPr>
          <w:rFonts w:ascii="Calibri" w:eastAsia="Calibri" w:hAnsi="Calibri" w:cs="Calibri"/>
        </w:rPr>
        <w:t>W</w:t>
      </w:r>
      <w:r w:rsidR="7092D093" w:rsidRPr="0092480E">
        <w:rPr>
          <w:rFonts w:ascii="Calibri" w:eastAsia="Calibri" w:hAnsi="Calibri" w:cs="Calibri"/>
        </w:rPr>
        <w:t xml:space="preserve">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analyzed, </w:t>
      </w:r>
      <w:r w:rsidR="00905441">
        <w:rPr>
          <w:rFonts w:ascii="Calibri" w:eastAsia="Calibri" w:hAnsi="Calibri" w:cs="Calibri"/>
        </w:rPr>
        <w:t>bypass surgery for Fontaine III/IV peripheral arterial disease</w:t>
      </w:r>
      <w:r w:rsidR="00840378">
        <w:rPr>
          <w:rFonts w:ascii="Calibri" w:eastAsia="Calibri" w:hAnsi="Calibri" w:cs="Calibri"/>
        </w:rPr>
        <w:t xml:space="preserve"> and </w:t>
      </w:r>
      <w:r w:rsidR="00905441">
        <w:rPr>
          <w:rFonts w:ascii="Calibri" w:eastAsia="Calibri" w:hAnsi="Calibri" w:cs="Calibri"/>
        </w:rPr>
        <w:t>transaortic valve implantation</w:t>
      </w:r>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F33358">
        <w:rPr>
          <w:rFonts w:ascii="Calibri" w:eastAsia="Calibri" w:hAnsi="Calibri" w:cs="Calibri"/>
        </w:rPr>
        <w:t xml:space="preserve">installment </w:t>
      </w:r>
      <w:r w:rsidR="002208A9" w:rsidRPr="0092480E">
        <w:rPr>
          <w:rFonts w:ascii="Calibri" w:hAnsi="Calibri" w:cs="Calibri"/>
        </w:rPr>
        <w:t>of a shunt for dialysis</w:t>
      </w:r>
      <w:r w:rsidR="00840378">
        <w:rPr>
          <w:rFonts w:ascii="Calibri" w:hAnsi="Calibri" w:cs="Calibri"/>
        </w:rPr>
        <w:t xml:space="preserve"> and</w:t>
      </w:r>
      <w:r w:rsidR="00840378" w:rsidRPr="0092480E">
        <w:rPr>
          <w:rFonts w:ascii="Calibri" w:hAnsi="Calibri" w:cs="Calibri"/>
        </w:rPr>
        <w:t xml:space="preserve"> </w:t>
      </w:r>
      <w:r w:rsidR="002208A9" w:rsidRPr="0092480E">
        <w:rPr>
          <w:rFonts w:ascii="Calibri" w:hAnsi="Calibri" w:cs="Calibri"/>
        </w:rPr>
        <w:t>resection of thyroid cancer</w:t>
      </w:r>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72858D41" w14:textId="77777777" w:rsidR="00952B7B" w:rsidRDefault="00952B7B" w:rsidP="00153762">
      <w:pPr>
        <w:spacing w:line="276" w:lineRule="auto"/>
        <w:rPr>
          <w:rFonts w:ascii="Calibri" w:eastAsia="Calibri" w:hAnsi="Calibri" w:cs="Calibri"/>
        </w:rPr>
      </w:pPr>
    </w:p>
    <w:p w14:paraId="26B38486" w14:textId="732CA448" w:rsidR="0015520D" w:rsidRPr="00B50002" w:rsidRDefault="00793D96" w:rsidP="00153762">
      <w:pPr>
        <w:spacing w:line="276" w:lineRule="auto"/>
        <w:rPr>
          <w:rFonts w:ascii="Calibri" w:hAnsi="Calibri" w:cs="Calibri"/>
          <w:highlight w:val="yellow"/>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w:t>
      </w:r>
      <w:r w:rsidR="00146376">
        <w:rPr>
          <w:rFonts w:ascii="Calibri" w:eastAsia="Calibri" w:hAnsi="Calibri" w:cs="Calibri"/>
          <w:lang w:val="en-GB"/>
        </w:rPr>
        <w:t>LY</w:t>
      </w:r>
      <w:r w:rsidR="004A5E8C" w:rsidRPr="0059528B">
        <w:rPr>
          <w:rFonts w:ascii="Calibri" w:eastAsia="Calibri" w:hAnsi="Calibri" w:cs="Calibri"/>
          <w:lang w:val="en-GB"/>
        </w:rPr>
        <w:t xml:space="preserve"> associated with </w:t>
      </w:r>
      <w:r w:rsidR="004A5E8C">
        <w:rPr>
          <w:rFonts w:ascii="Calibri" w:eastAsia="Calibri" w:hAnsi="Calibri" w:cs="Calibri"/>
          <w:lang w:val="en-GB"/>
        </w:rPr>
        <w:t>surgery</w:t>
      </w:r>
      <w:r w:rsidR="000925C2">
        <w:rPr>
          <w:rFonts w:ascii="Calibri" w:eastAsia="Calibri" w:hAnsi="Calibri" w:cs="Calibri"/>
          <w:lang w:val="en-GB"/>
        </w:rPr>
        <w:t>:</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 xml:space="preserve">associated with substantial gain in </w:t>
      </w:r>
      <w:r w:rsidR="00146376">
        <w:rPr>
          <w:rFonts w:ascii="Calibri" w:eastAsia="Calibri" w:hAnsi="Calibri" w:cs="Calibri"/>
          <w:lang w:val="en-GB"/>
        </w:rPr>
        <w:t>LY</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w:t>
      </w:r>
      <w:r w:rsidR="00146376">
        <w:rPr>
          <w:rFonts w:ascii="Calibri" w:eastAsia="Calibri" w:hAnsi="Calibri" w:cs="Calibri"/>
          <w:lang w:val="en-GB"/>
        </w:rPr>
        <w:t>LY</w:t>
      </w:r>
      <w:r w:rsidR="00687555">
        <w:rPr>
          <w:rFonts w:ascii="Calibri" w:eastAsia="Calibri" w:hAnsi="Calibri" w:cs="Calibri"/>
          <w:lang w:val="en-GB"/>
        </w:rPr>
        <w:t xml:space="preserve"> (e.g. creation of a shunt for </w:t>
      </w:r>
      <w:proofErr w:type="spellStart"/>
      <w:r w:rsidR="00687555">
        <w:rPr>
          <w:rFonts w:ascii="Calibri" w:eastAsia="Calibri" w:hAnsi="Calibri" w:cs="Calibri"/>
          <w:lang w:val="en-GB"/>
        </w:rPr>
        <w:t>hemodialysis</w:t>
      </w:r>
      <w:proofErr w:type="spellEnd"/>
      <w:r w:rsidR="00687555">
        <w:rPr>
          <w:rFonts w:ascii="Calibri" w:eastAsia="Calibri" w:hAnsi="Calibri" w:cs="Calibri"/>
          <w:lang w:val="en-GB"/>
        </w:rPr>
        <w:t>)</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surgery</w:t>
      </w:r>
      <w:r w:rsidR="000B3CED">
        <w:rPr>
          <w:rFonts w:ascii="Calibri" w:eastAsia="Calibri" w:hAnsi="Calibri" w:cs="Calibri"/>
          <w:lang w:val="en-GB"/>
        </w:rPr>
        <w:t>.</w:t>
      </w:r>
    </w:p>
    <w:p w14:paraId="56A03D60" w14:textId="77777777" w:rsidR="00B44D15" w:rsidRPr="00C12402" w:rsidRDefault="00B44D15" w:rsidP="00153762">
      <w:pPr>
        <w:spacing w:line="276" w:lineRule="auto"/>
        <w:rPr>
          <w:rFonts w:ascii="Calibri" w:eastAsia="Calibri" w:hAnsi="Calibri" w:cs="Calibri"/>
        </w:rPr>
      </w:pPr>
    </w:p>
    <w:p w14:paraId="4B9B240C" w14:textId="3DDC33AA" w:rsidR="001D4731" w:rsidRPr="001968CB" w:rsidRDefault="00782CE0" w:rsidP="00153762">
      <w:pPr>
        <w:spacing w:line="276" w:lineRule="auto"/>
        <w:rPr>
          <w:rFonts w:ascii="Calibri" w:eastAsia="Calibri" w:hAnsi="Calibri" w:cs="Calibri"/>
          <w:strike/>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capacity</w:t>
      </w:r>
      <w:r w:rsidR="000925C2">
        <w:rPr>
          <w:rFonts w:ascii="Calibri" w:eastAsia="Calibri" w:hAnsi="Calibri" w:cs="Calibri"/>
          <w:lang w:val="en-GB"/>
        </w:rPr>
        <w:t xml:space="preserve"> indicators</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w:t>
      </w:r>
      <w:r w:rsidR="000925C2">
        <w:rPr>
          <w:rFonts w:ascii="Calibri" w:eastAsia="Calibri" w:hAnsi="Calibri" w:cs="Calibri"/>
          <w:lang w:val="en-GB"/>
        </w:rPr>
        <w:t xml:space="preserve">repairing </w:t>
      </w:r>
      <w:r w:rsidR="000925C2" w:rsidRPr="004275E2">
        <w:rPr>
          <w:rFonts w:ascii="Calibri" w:hAnsi="Calibri" w:cs="Calibri"/>
        </w:rPr>
        <w:t>atrial septum defects, pacemaker implantations, resection of mild larynx carcinoma, and valve replacements</w:t>
      </w:r>
      <w:r w:rsidR="00685EEA">
        <w:rPr>
          <w:rFonts w:ascii="Calibri" w:eastAsia="Calibri" w:hAnsi="Calibri" w:cs="Calibri"/>
          <w:lang w:val="en-GB"/>
        </w:rPr>
        <w:t xml:space="preserve">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of capacity (e.g</w:t>
      </w:r>
      <w:r w:rsidR="00170E2B">
        <w:rPr>
          <w:rFonts w:ascii="Calibri" w:eastAsia="Calibri" w:hAnsi="Calibri" w:cs="Calibri"/>
          <w:lang w:val="en-GB"/>
        </w:rPr>
        <w:t>.</w:t>
      </w:r>
      <w:r w:rsidR="00685EEA">
        <w:rPr>
          <w:rFonts w:ascii="Calibri" w:eastAsia="Calibri" w:hAnsi="Calibri" w:cs="Calibri"/>
          <w:lang w:val="en-GB"/>
        </w:rPr>
        <w:t xml:space="preserve"> beds</w:t>
      </w:r>
      <w:r w:rsidR="00170E2B">
        <w:rPr>
          <w:rFonts w:ascii="Calibri" w:eastAsia="Calibri" w:hAnsi="Calibri" w:cs="Calibri"/>
          <w:lang w:val="en-GB"/>
        </w:rPr>
        <w:t xml:space="preserve"> or staff</w:t>
      </w:r>
      <w:r w:rsidR="00685EEA">
        <w:rPr>
          <w:rFonts w:ascii="Calibri" w:eastAsia="Calibri" w:hAnsi="Calibri" w:cs="Calibri"/>
          <w:lang w:val="en-GB"/>
        </w:rPr>
        <w:t xml:space="preserve">)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00EDA2C1"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w:t>
      </w:r>
      <w:r w:rsidR="001D4731">
        <w:rPr>
          <w:rFonts w:ascii="Calibri" w:eastAsia="Calibri" w:hAnsi="Calibri" w:cs="Calibri"/>
        </w:rPr>
        <w:t xml:space="preserve">. </w:t>
      </w:r>
      <w:r w:rsidR="002E69C4">
        <w:rPr>
          <w:rFonts w:ascii="Calibri" w:eastAsia="Calibri" w:hAnsi="Calibri" w:cs="Calibri"/>
        </w:rPr>
        <w:t xml:space="preserve">Second,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w:t>
      </w:r>
      <w:r w:rsidR="00712419">
        <w:rPr>
          <w:rFonts w:ascii="Calibri" w:eastAsia="Calibri" w:hAnsi="Calibri" w:cs="Calibri"/>
        </w:rPr>
        <w:lastRenderedPageBreak/>
        <w:t>of rescue</w:t>
      </w:r>
      <w:r w:rsidR="00712419">
        <w:rPr>
          <w:rFonts w:ascii="Calibri" w:eastAsia="Calibri" w:hAnsi="Calibri" w:cs="Calibri"/>
        </w:rPr>
        <w:fldChar w:fldCharType="begin" w:fldLock="1"/>
      </w:r>
      <w:r w:rsidR="009B688A">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13&lt;/sup&gt;","plainTextFormattedCitation":"13","previouslyFormattedCitation":"&lt;sup&gt;18&lt;/sup&gt;"},"properties":{"noteIndex":0},"schema":"https://github.com/citation-style-language/schema/raw/master/csl-citation.json"}</w:instrText>
      </w:r>
      <w:r w:rsidR="00712419">
        <w:rPr>
          <w:rFonts w:ascii="Calibri" w:eastAsia="Calibri" w:hAnsi="Calibri" w:cs="Calibri"/>
        </w:rPr>
        <w:fldChar w:fldCharType="separate"/>
      </w:r>
      <w:r w:rsidR="009B688A" w:rsidRPr="009B688A">
        <w:rPr>
          <w:rFonts w:ascii="Calibri" w:eastAsia="Calibri" w:hAnsi="Calibri" w:cs="Calibri"/>
          <w:noProof/>
          <w:vertAlign w:val="superscript"/>
        </w:rPr>
        <w:t>13</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0BD75156"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w:t>
      </w:r>
      <w:r w:rsidR="008B514C">
        <w:rPr>
          <w:rFonts w:ascii="Calibri" w:hAnsi="Calibri" w:cs="Calibri"/>
        </w:rPr>
        <w:t>diseases</w:t>
      </w:r>
      <w:r w:rsidR="35FB8816" w:rsidRPr="0092480E">
        <w:rPr>
          <w:rFonts w:ascii="Calibri" w:hAnsi="Calibri" w:cs="Calibri"/>
        </w:rPr>
        <w:t xml:space="preserve">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9B688A">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Control","id":"ITEM-1","issue":"4","issued":{"date-parts":[["2009"]]},"page":"417-435","title":"Impact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83&lt;/sup&gt;","plainTextFormattedCitation":"83","previouslyFormattedCitation":"&lt;sup&gt;85&lt;/sup&gt;"},"properties":{"noteIndex":0},"schema":"https://github.com/citation-style-language/schema/raw/master/csl-citation.json"}</w:instrText>
      </w:r>
      <w:r w:rsidR="0065107A" w:rsidRPr="0092480E">
        <w:rPr>
          <w:rFonts w:ascii="Calibri" w:hAnsi="Calibri" w:cs="Calibri"/>
        </w:rPr>
        <w:fldChar w:fldCharType="separate"/>
      </w:r>
      <w:r w:rsidR="009B688A" w:rsidRPr="009B688A">
        <w:rPr>
          <w:rFonts w:ascii="Calibri" w:hAnsi="Calibri" w:cs="Calibri"/>
          <w:noProof/>
          <w:vertAlign w:val="superscript"/>
        </w:rPr>
        <w:t>83</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w:t>
      </w:r>
      <w:r w:rsidR="00DF0841">
        <w:rPr>
          <w:rFonts w:ascii="Calibri" w:hAnsi="Calibri" w:cs="Calibri"/>
        </w:rPr>
        <w:t>. W</w:t>
      </w:r>
      <w:r w:rsidRPr="0092480E">
        <w:rPr>
          <w:rFonts w:ascii="Calibri" w:hAnsi="Calibri" w:cs="Calibri"/>
        </w:rPr>
        <w:t>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individual 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w:t>
      </w:r>
      <w:proofErr w:type="gramStart"/>
      <w:r w:rsidR="00DA5A38">
        <w:rPr>
          <w:rFonts w:ascii="Calibri" w:hAnsi="Calibri" w:cs="Calibri"/>
        </w:rPr>
        <w:t>decision making</w:t>
      </w:r>
      <w:proofErr w:type="gramEnd"/>
      <w:r w:rsidR="00DF0841">
        <w:rPr>
          <w:rFonts w:ascii="Calibri" w:hAnsi="Calibri" w:cs="Calibri"/>
        </w:rPr>
        <w:t xml:space="preserve"> process</w:t>
      </w:r>
      <w:r w:rsidRPr="0092480E">
        <w:rPr>
          <w:rFonts w:ascii="Calibri" w:hAnsi="Calibri" w:cs="Calibri"/>
        </w:rPr>
        <w:t>.</w:t>
      </w:r>
    </w:p>
    <w:p w14:paraId="54B64060" w14:textId="77777777" w:rsidR="00272DEE" w:rsidRPr="0092480E" w:rsidRDefault="00272DEE" w:rsidP="00153762">
      <w:pPr>
        <w:spacing w:line="276" w:lineRule="auto"/>
        <w:rPr>
          <w:rFonts w:ascii="Calibri" w:hAnsi="Calibri" w:cs="Calibri"/>
        </w:rPr>
      </w:pPr>
    </w:p>
    <w:p w14:paraId="57C6C2A7" w14:textId="38AEA157" w:rsidR="00CB3CBB" w:rsidRDefault="006479D9" w:rsidP="00153762">
      <w:pPr>
        <w:spacing w:line="276" w:lineRule="auto"/>
        <w:rPr>
          <w:rFonts w:ascii="Calibri" w:hAnsi="Calibri" w:cs="Calibri"/>
        </w:rPr>
      </w:pPr>
      <w:r w:rsidRPr="0092480E">
        <w:rPr>
          <w:rFonts w:ascii="Calibri" w:hAnsi="Calibri" w:cs="Calibri"/>
        </w:rPr>
        <w:t>Since all models are</w:t>
      </w:r>
      <w:r w:rsidR="00DD2554">
        <w:rPr>
          <w:rFonts w:ascii="Calibri" w:hAnsi="Calibri" w:cs="Calibri"/>
        </w:rPr>
        <w:t xml:space="preserve"> </w:t>
      </w:r>
      <w:r w:rsidRPr="0092480E">
        <w:rPr>
          <w:rFonts w:ascii="Calibri" w:hAnsi="Calibri" w:cs="Calibri"/>
        </w:rPr>
        <w:t xml:space="preserve">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A62847">
        <w:rPr>
          <w:rFonts w:ascii="Calibri" w:hAnsi="Calibri" w:cs="Calibri"/>
        </w:rPr>
        <w:t>RCTs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used best available evidence, </w:t>
      </w:r>
      <w:r w:rsidR="00AF06CE">
        <w:rPr>
          <w:rFonts w:ascii="Calibri" w:hAnsi="Calibri" w:cs="Calibri"/>
        </w:rPr>
        <w:t xml:space="preserve">which in part included </w:t>
      </w:r>
      <w:r w:rsidR="00615993">
        <w:rPr>
          <w:rFonts w:ascii="Calibri" w:hAnsi="Calibri" w:cs="Calibri"/>
        </w:rPr>
        <w:t xml:space="preserve">evidence from </w:t>
      </w:r>
      <w:r w:rsidR="00CD615D">
        <w:rPr>
          <w:rFonts w:ascii="Calibri" w:hAnsi="Calibri" w:cs="Calibri"/>
        </w:rPr>
        <w:t xml:space="preserve">more historical </w:t>
      </w:r>
      <w:r w:rsidR="00A62847">
        <w:rPr>
          <w:rFonts w:ascii="Calibri" w:hAnsi="Calibri" w:cs="Calibri"/>
        </w:rPr>
        <w:t>RCTs.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w:t>
      </w:r>
      <w:r w:rsidR="00AF06CE">
        <w:rPr>
          <w:rFonts w:ascii="Calibri" w:hAnsi="Calibri" w:cs="Calibri"/>
        </w:rPr>
        <w:t xml:space="preserve">so are </w:t>
      </w:r>
      <w:r w:rsidR="00633198">
        <w:rPr>
          <w:rFonts w:ascii="Calibri" w:hAnsi="Calibri" w:cs="Calibri"/>
        </w:rPr>
        <w:t xml:space="preserve">the </w:t>
      </w:r>
      <w:r w:rsidR="00CB3CBB">
        <w:rPr>
          <w:rFonts w:ascii="Calibri" w:hAnsi="Calibri" w:cs="Calibri"/>
        </w:rPr>
        <w:t xml:space="preserve">estimates from our model.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25907CE"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QoL due to these adverse events or QoL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0C1C35">
        <w:rPr>
          <w:rFonts w:ascii="Calibri" w:hAnsi="Calibri" w:cs="Calibri"/>
        </w:rPr>
        <w:t xml:space="preserve">are </w:t>
      </w:r>
      <w:r w:rsidR="006479D9" w:rsidRPr="0092480E">
        <w:rPr>
          <w:rFonts w:ascii="Calibri" w:hAnsi="Calibri" w:cs="Calibri"/>
        </w:rPr>
        <w:t>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5AA474E3"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t>
      </w:r>
      <w:r w:rsidR="00A624CB">
        <w:rPr>
          <w:rFonts w:ascii="Calibri" w:hAnsi="Calibri" w:cs="Calibri"/>
        </w:rPr>
        <w:t xml:space="preserve">because we simply converted the health loss in 50 weeks to loss per month, </w:t>
      </w:r>
      <w:r w:rsidR="2EC87C9A" w:rsidRPr="0092480E">
        <w:rPr>
          <w:rFonts w:ascii="Calibri" w:hAnsi="Calibri" w:cs="Calibri"/>
        </w:rPr>
        <w:t xml:space="preserve">we </w:t>
      </w:r>
      <w:r w:rsidR="00A624CB">
        <w:rPr>
          <w:rFonts w:ascii="Calibri" w:hAnsi="Calibri" w:cs="Calibri"/>
        </w:rPr>
        <w:t xml:space="preserve">effectively </w:t>
      </w:r>
      <w:r w:rsidR="2EC87C9A" w:rsidRPr="0092480E">
        <w:rPr>
          <w:rFonts w:ascii="Calibri" w:hAnsi="Calibri" w:cs="Calibri"/>
        </w:rPr>
        <w:t xml:space="preserve">used </w:t>
      </w:r>
      <w:r w:rsidR="004A5E8C" w:rsidRPr="0092480E">
        <w:rPr>
          <w:rFonts w:ascii="Calibri" w:hAnsi="Calibri" w:cs="Calibri"/>
        </w:rPr>
        <w:t xml:space="preserve">a </w:t>
      </w:r>
      <w:r w:rsidR="00186C9D" w:rsidRPr="0092480E">
        <w:rPr>
          <w:rFonts w:ascii="Calibri" w:hAnsi="Calibri" w:cs="Calibri"/>
        </w:rPr>
        <w:t xml:space="preserve">linear approximation to quantify urgency by delaying surgery up to a year.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xml:space="preserve">: most of the estimates of time to no effect on survival were based on </w:t>
      </w:r>
      <w:r w:rsidR="00202AC6">
        <w:rPr>
          <w:rFonts w:ascii="Calibri" w:hAnsi="Calibri" w:cs="Calibri"/>
        </w:rPr>
        <w:lastRenderedPageBreak/>
        <w:t>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1833C705"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we relied on QoL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w:t>
      </w:r>
      <w:r w:rsidR="0087458F">
        <w:rPr>
          <w:rFonts w:ascii="Calibri" w:hAnsi="Calibri" w:cs="Calibri"/>
        </w:rPr>
        <w:t>. E</w:t>
      </w:r>
      <w:r w:rsidR="00B07D8C">
        <w:rPr>
          <w:rFonts w:ascii="Calibri" w:hAnsi="Calibri" w:cs="Calibri"/>
        </w:rPr>
        <w:t>xperts interpret the health states and give weights</w:t>
      </w:r>
      <w:r w:rsidR="0087458F">
        <w:rPr>
          <w:rFonts w:ascii="Calibri" w:hAnsi="Calibri" w:cs="Calibri"/>
        </w:rPr>
        <w:t>, thereby our approach takes a societal perspective.</w:t>
      </w:r>
      <w:r w:rsidR="00B07D8C">
        <w:rPr>
          <w:rFonts w:ascii="Calibri" w:hAnsi="Calibri" w:cs="Calibri"/>
        </w:rPr>
        <w:t xml:space="preserve"> </w:t>
      </w:r>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 but it should be noted that most of those discussion are more about utilitarian principles</w:t>
      </w:r>
      <w:r w:rsidR="00186C9D" w:rsidRPr="0092480E">
        <w:rPr>
          <w:rFonts w:ascii="Calibri" w:hAnsi="Calibri" w:cs="Calibri"/>
        </w:rPr>
        <w:t>.</w:t>
      </w:r>
      <w:r w:rsidR="00055008" w:rsidRPr="0092480E">
        <w:rPr>
          <w:rFonts w:ascii="Calibri" w:hAnsi="Calibri" w:cs="Calibri"/>
        </w:rPr>
        <w:fldChar w:fldCharType="begin" w:fldLock="1"/>
      </w:r>
      <w:r w:rsidR="009B688A">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84&lt;/sup&gt;","plainTextFormattedCitation":"84","previouslyFormattedCitation":"&lt;sup&gt;87&lt;/sup&gt;"},"properties":{"noteIndex":0},"schema":"https://github.com/citation-style-language/schema/raw/master/csl-citation.json"}</w:instrText>
      </w:r>
      <w:r w:rsidR="00055008" w:rsidRPr="0092480E">
        <w:rPr>
          <w:rFonts w:ascii="Calibri" w:hAnsi="Calibri" w:cs="Calibri"/>
        </w:rPr>
        <w:fldChar w:fldCharType="separate"/>
      </w:r>
      <w:r w:rsidR="009B688A" w:rsidRPr="009B688A">
        <w:rPr>
          <w:rFonts w:ascii="Calibri" w:hAnsi="Calibri" w:cs="Calibri"/>
          <w:noProof/>
          <w:vertAlign w:val="superscript"/>
        </w:rPr>
        <w:t>84</w:t>
      </w:r>
      <w:r w:rsidR="00055008" w:rsidRPr="0092480E">
        <w:rPr>
          <w:rFonts w:ascii="Calibri" w:hAnsi="Calibri" w:cs="Calibri"/>
        </w:rPr>
        <w:fldChar w:fldCharType="end"/>
      </w:r>
    </w:p>
    <w:p w14:paraId="19D81806" w14:textId="27511CC5" w:rsidR="007671F0" w:rsidRDefault="00186C9D" w:rsidP="000F6099">
      <w:pPr>
        <w:spacing w:line="276" w:lineRule="auto"/>
        <w:ind w:firstLine="720"/>
        <w:rPr>
          <w:rFonts w:ascii="Calibri" w:hAnsi="Calibri" w:cs="Calibri"/>
        </w:rPr>
      </w:pPr>
      <w:r>
        <w:rPr>
          <w:rFonts w:ascii="Calibri" w:hAnsi="Calibri" w:cs="Calibri"/>
        </w:rPr>
        <w:t>Fifth, we did not include the potential impact on QoL of delaying a semi-elective surgery</w:t>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w:t>
      </w:r>
      <w:proofErr w:type="spellStart"/>
      <w:r w:rsidR="000C2C4F">
        <w:rPr>
          <w:rFonts w:ascii="Calibri" w:hAnsi="Calibri" w:cs="Calibri"/>
        </w:rPr>
        <w:t>mammacarcinoma</w:t>
      </w:r>
      <w:proofErr w:type="spellEnd"/>
      <w:r w:rsidR="000C2C4F">
        <w:rPr>
          <w:rFonts w:ascii="Calibri" w:hAnsi="Calibri" w:cs="Calibri"/>
        </w:rPr>
        <w:t xml:space="preserve">). </w:t>
      </w:r>
    </w:p>
    <w:p w14:paraId="6DC97F44" w14:textId="77777777" w:rsidR="000F6099" w:rsidRDefault="000F6099" w:rsidP="000F6099">
      <w:pPr>
        <w:spacing w:line="276" w:lineRule="auto"/>
        <w:ind w:firstLine="720"/>
        <w:rPr>
          <w:rFonts w:ascii="Calibri" w:hAnsi="Calibri" w:cs="Calibri"/>
        </w:rPr>
      </w:pPr>
    </w:p>
    <w:p w14:paraId="4160D292" w14:textId="3676F0E6" w:rsidR="00787ED8" w:rsidRPr="00846768" w:rsidRDefault="007671F0" w:rsidP="00153762">
      <w:pPr>
        <w:spacing w:line="276" w:lineRule="auto"/>
        <w:rPr>
          <w:rFonts w:ascii="Calibri" w:hAnsi="Calibri" w:cs="Calibri"/>
        </w:rPr>
      </w:pPr>
      <w:r>
        <w:rPr>
          <w:rFonts w:ascii="Calibri" w:hAnsi="Calibri" w:cs="Calibri"/>
        </w:rPr>
        <w:t xml:space="preserve">Part of the input parameters were based on </w:t>
      </w:r>
      <w:r w:rsidR="00186C9D">
        <w:rPr>
          <w:rFonts w:ascii="Calibri" w:hAnsi="Calibri" w:cs="Calibri"/>
        </w:rPr>
        <w:t xml:space="preserve">national </w:t>
      </w:r>
      <w:r w:rsidR="00186C9D" w:rsidRPr="0092480E">
        <w:rPr>
          <w:rFonts w:ascii="Calibri" w:hAnsi="Calibri" w:cs="Calibri"/>
        </w:rPr>
        <w:t>registry data</w:t>
      </w:r>
      <w:r w:rsidR="00CB2BA0" w:rsidRPr="0092480E">
        <w:rPr>
          <w:rFonts w:ascii="Calibri" w:hAnsi="Calibri" w:cs="Calibri"/>
        </w:rPr>
        <w:t>,</w:t>
      </w:r>
      <w:r>
        <w:rPr>
          <w:rFonts w:ascii="Calibri" w:hAnsi="Calibri" w:cs="Calibri"/>
        </w:rPr>
        <w:t xml:space="preserve"> but</w:t>
      </w:r>
      <w:r w:rsidR="00CB2BA0" w:rsidRPr="0092480E">
        <w:rPr>
          <w:rFonts w:ascii="Calibri" w:hAnsi="Calibri" w:cs="Calibri"/>
        </w:rPr>
        <w:t xml:space="preserve"> a</w:t>
      </w:r>
      <w:r w:rsidR="49092B44" w:rsidRPr="0092480E">
        <w:rPr>
          <w:rFonts w:ascii="Calibri" w:hAnsi="Calibri" w:cs="Calibri"/>
        </w:rPr>
        <w:t xml:space="preserve"> substantial amount of the </w:t>
      </w:r>
      <w:r w:rsidR="00712419">
        <w:rPr>
          <w:rFonts w:ascii="Calibri" w:hAnsi="Calibri" w:cs="Calibri"/>
        </w:rPr>
        <w:t xml:space="preserve">input </w:t>
      </w:r>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the model can easily be </w:t>
      </w:r>
      <w:r>
        <w:rPr>
          <w:rFonts w:ascii="Calibri" w:hAnsi="Calibri" w:cs="Calibri"/>
        </w:rPr>
        <w:t xml:space="preserve">adapted </w:t>
      </w:r>
      <w:r w:rsidR="00CB2BA0" w:rsidRPr="0092480E">
        <w:rPr>
          <w:rFonts w:ascii="Calibri" w:hAnsi="Calibri" w:cs="Calibri"/>
        </w:rPr>
        <w:t xml:space="preserve">to different contexts.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r w:rsidR="00FB43EF">
        <w:rPr>
          <w:rFonts w:ascii="Calibri" w:hAnsi="Calibri" w:cs="Calibri"/>
        </w:rPr>
        <w:t xml:space="preserve">improve </w:t>
      </w:r>
      <w:r w:rsidR="00186C9D">
        <w:rPr>
          <w:rFonts w:ascii="Calibri" w:hAnsi="Calibri" w:cs="Calibri"/>
        </w:rPr>
        <w:t>validity</w:t>
      </w:r>
      <w:r w:rsidR="000712C3">
        <w:rPr>
          <w:rFonts w:ascii="Calibri" w:hAnsi="Calibri" w:cs="Calibri"/>
        </w:rPr>
        <w:t>, i</w:t>
      </w:r>
      <w:r w:rsidR="00420C01">
        <w:rPr>
          <w:rFonts w:ascii="Calibri" w:hAnsi="Calibri" w:cs="Calibri"/>
        </w:rPr>
        <w:t xml:space="preserve">t is however essential to periodically review the literature </w:t>
      </w:r>
      <w:r w:rsidR="00B05A59">
        <w:rPr>
          <w:rFonts w:ascii="Calibri" w:hAnsi="Calibri" w:cs="Calibri"/>
        </w:rPr>
        <w:t>and</w:t>
      </w:r>
      <w:r w:rsidR="00420C01">
        <w:rPr>
          <w:rFonts w:ascii="Calibri" w:hAnsi="Calibri" w:cs="Calibri"/>
        </w:rPr>
        <w:t xml:space="preserve"> </w:t>
      </w:r>
      <w:r w:rsidR="00B05A59">
        <w:rPr>
          <w:rFonts w:ascii="Calibri" w:hAnsi="Calibri" w:cs="Calibri"/>
        </w:rPr>
        <w:t xml:space="preserve">update </w:t>
      </w:r>
      <w:r w:rsidR="00420C01">
        <w:rPr>
          <w:rFonts w:ascii="Calibri" w:hAnsi="Calibri" w:cs="Calibri"/>
        </w:rPr>
        <w:t xml:space="preserve">the model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fldChar w:fldCharType="begin" w:fldLock="1"/>
      </w:r>
      <w:r w:rsidR="009B688A">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85&lt;/sup&gt;","plainTextFormattedCitation":"85","previouslyFormattedCitation":"&lt;sup&gt;88&lt;/sup&gt;"},"properties":{"noteIndex":0},"schema":"https://github.com/citation-style-language/schema/raw/master/csl-citation.json"}</w:instrText>
      </w:r>
      <w:r w:rsidR="00420C01">
        <w:rPr>
          <w:rFonts w:ascii="Calibri" w:hAnsi="Calibri" w:cs="Calibri"/>
        </w:rPr>
        <w:fldChar w:fldCharType="separate"/>
      </w:r>
      <w:r w:rsidR="009B688A" w:rsidRPr="009B688A">
        <w:rPr>
          <w:rFonts w:ascii="Calibri" w:hAnsi="Calibri" w:cs="Calibri"/>
          <w:noProof/>
          <w:vertAlign w:val="superscript"/>
        </w:rPr>
        <w:t>85</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If</w:t>
      </w:r>
      <w:r w:rsidR="001968CB">
        <w:rPr>
          <w:rFonts w:ascii="Calibri" w:hAnsi="Calibri" w:cs="Calibri"/>
        </w:rPr>
        <w:t xml:space="preserve"> accepted,</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Heading1"/>
        <w:spacing w:line="276" w:lineRule="auto"/>
      </w:pPr>
      <w:r w:rsidRPr="0092480E">
        <w:t>Conclusion</w:t>
      </w:r>
    </w:p>
    <w:p w14:paraId="3D0E4D60" w14:textId="346E0332"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support</w:t>
      </w:r>
      <w:r w:rsidR="00AC6F5A" w:rsidRPr="0092480E">
        <w:rPr>
          <w:rFonts w:ascii="Calibri" w:eastAsia="Calibri" w:hAnsi="Calibri" w:cs="Calibri"/>
        </w:rPr>
        <w:t xml:space="preserve"> prioritization of surgical care in times of scarc</w:t>
      </w:r>
      <w:r w:rsidR="00954B0C">
        <w:rPr>
          <w:rFonts w:ascii="Calibri" w:eastAsia="Calibri" w:hAnsi="Calibri" w:cs="Calibri"/>
        </w:rPr>
        <w:t>e</w:t>
      </w:r>
      <w:r w:rsidR="00AC6F5A" w:rsidRPr="0092480E">
        <w:rPr>
          <w:rFonts w:ascii="Calibri" w:eastAsia="Calibri" w:hAnsi="Calibri" w:cs="Calibri"/>
        </w:rPr>
        <w:t xml:space="preserve">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954B0C">
        <w:rPr>
          <w:rFonts w:ascii="Calibri" w:eastAsia="Calibri" w:hAnsi="Calibri" w:cs="Calibri"/>
        </w:rPr>
        <w:t>during</w:t>
      </w:r>
      <w:r w:rsidR="00173871" w:rsidRPr="0092480E">
        <w:rPr>
          <w:rFonts w:ascii="Calibri" w:eastAsia="Calibri" w:hAnsi="Calibri" w:cs="Calibri"/>
        </w:rPr>
        <w:t xml:space="preserve"> </w:t>
      </w:r>
      <w:r w:rsidR="00954B0C">
        <w:rPr>
          <w:rFonts w:ascii="Calibri" w:eastAsia="Calibri" w:hAnsi="Calibri" w:cs="Calibri"/>
        </w:rPr>
        <w:t>pandemics</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954B0C">
        <w:rPr>
          <w:rFonts w:ascii="Calibri" w:eastAsia="Calibri" w:hAnsi="Calibri" w:cs="Calibri"/>
        </w:rPr>
        <w:t xml:space="preserve">Our approach quantified the </w:t>
      </w:r>
      <w:r w:rsidR="00C678D7" w:rsidRPr="0092480E">
        <w:rPr>
          <w:rFonts w:ascii="Calibri" w:eastAsia="Calibri" w:hAnsi="Calibri" w:cs="Calibri"/>
        </w:rPr>
        <w:t xml:space="preserve">expected health loss due to delay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5E5FCBBC" w:rsidR="006A77DC" w:rsidRDefault="00D25A1B" w:rsidP="00153762">
      <w:pPr>
        <w:spacing w:line="276" w:lineRule="auto"/>
        <w:rPr>
          <w:rFonts w:ascii="Calibri" w:eastAsia="Calibri" w:hAnsi="Calibri" w:cs="Calibri"/>
        </w:rPr>
      </w:pPr>
      <w:r>
        <w:rPr>
          <w:rFonts w:ascii="Calibri" w:eastAsia="Calibri" w:hAnsi="Calibri" w:cs="Calibri"/>
        </w:rPr>
        <w:t>It should be noted</w:t>
      </w:r>
      <w:r w:rsidR="00BD23BB">
        <w:rPr>
          <w:rFonts w:ascii="Calibri" w:eastAsia="Calibri" w:hAnsi="Calibri" w:cs="Calibri"/>
        </w:rPr>
        <w:t xml:space="preserve">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70572FD8" w14:textId="26322333" w:rsidR="00737CE6" w:rsidRDefault="00420C01" w:rsidP="009F0A93">
      <w:pPr>
        <w:spacing w:line="276" w:lineRule="auto"/>
        <w:rPr>
          <w:rFonts w:ascii="Calibri" w:eastAsia="Calibri" w:hAnsi="Calibri" w:cs="Calibri"/>
        </w:rPr>
      </w:pPr>
      <w:r>
        <w:rPr>
          <w:rFonts w:ascii="Calibri" w:eastAsia="Calibri" w:hAnsi="Calibri" w:cs="Calibri"/>
        </w:rPr>
        <w:t xml:space="preserve">Finally, </w:t>
      </w:r>
      <w:r w:rsidR="0042220C">
        <w:rPr>
          <w:rFonts w:ascii="Calibri" w:eastAsia="Calibri" w:hAnsi="Calibri" w:cs="Calibri"/>
        </w:rPr>
        <w:t>our approach</w:t>
      </w:r>
      <w:r w:rsidR="00BD23BB">
        <w:rPr>
          <w:rFonts w:ascii="Calibri" w:eastAsia="Calibri" w:hAnsi="Calibri" w:cs="Calibri"/>
        </w:rPr>
        <w:t xml:space="preserve">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w:t>
      </w:r>
      <w:r w:rsidR="00814AAC">
        <w:rPr>
          <w:rFonts w:ascii="Calibri" w:eastAsia="Calibri" w:hAnsi="Calibri" w:cs="Calibri"/>
        </w:rPr>
        <w:t>accepted</w:t>
      </w:r>
      <w:r w:rsidR="00BD23BB">
        <w:rPr>
          <w:rFonts w:ascii="Calibri" w:eastAsia="Calibri" w:hAnsi="Calibri" w:cs="Calibri"/>
        </w:rPr>
        <w:t xml:space="preserve">, we believe this tool should be </w:t>
      </w:r>
      <w:r w:rsidR="00AC6F5A" w:rsidRPr="0092480E">
        <w:rPr>
          <w:rFonts w:ascii="Calibri" w:eastAsia="Calibri" w:hAnsi="Calibri" w:cs="Calibri"/>
        </w:rPr>
        <w:lastRenderedPageBreak/>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t>
      </w:r>
      <w:r w:rsidR="00954B0C">
        <w:rPr>
          <w:rFonts w:ascii="Calibri" w:eastAsia="Calibri" w:hAnsi="Calibri" w:cs="Calibri"/>
        </w:rPr>
        <w:t>a</w:t>
      </w:r>
      <w:r w:rsidR="00BD23BB">
        <w:rPr>
          <w:rFonts w:ascii="Calibri" w:eastAsia="Calibri" w:hAnsi="Calibri" w:cs="Calibri"/>
        </w:rPr>
        <w:t>waiting surgery</w:t>
      </w:r>
      <w:r w:rsidR="00AC6F5A" w:rsidRPr="0092480E">
        <w:rPr>
          <w:rFonts w:ascii="Calibri" w:eastAsia="Calibri" w:hAnsi="Calibri" w:cs="Calibri"/>
        </w:rPr>
        <w:t>.</w:t>
      </w:r>
    </w:p>
    <w:p w14:paraId="3006A68D" w14:textId="2EC8BFB8" w:rsidR="00B15694" w:rsidRDefault="00B15694">
      <w:pPr>
        <w:spacing w:after="160" w:line="259" w:lineRule="auto"/>
        <w:rPr>
          <w:rFonts w:ascii="Calibri" w:hAnsi="Calibri" w:cs="Calibri"/>
          <w:i/>
          <w:iCs/>
        </w:rPr>
      </w:pPr>
      <w:r>
        <w:rPr>
          <w:rFonts w:ascii="Calibri" w:hAnsi="Calibri" w:cs="Calibri"/>
          <w:i/>
          <w:iCs/>
        </w:rPr>
        <w:br w:type="page"/>
      </w:r>
    </w:p>
    <w:p w14:paraId="4A617593" w14:textId="77777777" w:rsidR="00B15694" w:rsidRDefault="00B15694" w:rsidP="00B15694">
      <w:pPr>
        <w:pStyle w:val="Caption"/>
        <w:keepNext/>
        <w:sectPr w:rsidR="00B15694">
          <w:footerReference w:type="even" r:id="rId11"/>
          <w:footerReference w:type="default" r:id="rId12"/>
          <w:footnotePr>
            <w:numFmt w:val="lowerRoman"/>
          </w:footnotePr>
          <w:pgSz w:w="11906" w:h="16838"/>
          <w:pgMar w:top="1417" w:right="1417" w:bottom="1417" w:left="1417" w:header="708" w:footer="708" w:gutter="0"/>
          <w:cols w:space="708"/>
          <w:docGrid w:linePitch="360"/>
        </w:sectPr>
      </w:pPr>
    </w:p>
    <w:p w14:paraId="670CC5F2" w14:textId="2ADC0043" w:rsidR="00B15694" w:rsidRPr="00853D08" w:rsidRDefault="00B15694" w:rsidP="00B15694">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class and type of evidence underlying the model parameter inputs. </w:t>
      </w:r>
      <w:r w:rsidRPr="00853D08">
        <w:t xml:space="preserve">Class definitions: I = Randomized Controlled Trials (RCT) or systematic reviews of RCTs, </w:t>
      </w:r>
      <w:proofErr w:type="spellStart"/>
      <w:r w:rsidRPr="00853D08">
        <w:t>IIa</w:t>
      </w:r>
      <w:proofErr w:type="spellEnd"/>
      <w:r w:rsidRPr="00853D08">
        <w:t xml:space="preserve"> = Prospective observational studies, before-after studies, IIb = Retrospective observational studies, expert panels for the utilities, national registries, class III = expert opinion.</w:t>
      </w:r>
      <w:r w:rsidR="001E6763">
        <w:t xml:space="preserve"> QoL = Quality of Life, Preop = preoperative, Postop = Postoperative</w:t>
      </w:r>
      <w:r w:rsidR="009B688A">
        <w:t xml:space="preserve">. </w:t>
      </w:r>
    </w:p>
    <w:p w14:paraId="7012D3D7" w14:textId="77777777" w:rsidR="00B15694" w:rsidRPr="008E0AA5" w:rsidRDefault="00B15694" w:rsidP="00B15694">
      <w:pPr>
        <w:pStyle w:val="Caption"/>
        <w:keepNext/>
      </w:pPr>
    </w:p>
    <w:tbl>
      <w:tblPr>
        <w:tblW w:w="0" w:type="auto"/>
        <w:tblLayout w:type="fixed"/>
        <w:tblLook w:val="04A0" w:firstRow="1" w:lastRow="0" w:firstColumn="1" w:lastColumn="0" w:noHBand="0" w:noVBand="1"/>
      </w:tblPr>
      <w:tblGrid>
        <w:gridCol w:w="2268"/>
        <w:gridCol w:w="1134"/>
        <w:gridCol w:w="1588"/>
        <w:gridCol w:w="1820"/>
        <w:gridCol w:w="1341"/>
        <w:gridCol w:w="1413"/>
        <w:gridCol w:w="1638"/>
        <w:gridCol w:w="1363"/>
        <w:gridCol w:w="1437"/>
      </w:tblGrid>
      <w:tr w:rsidR="00B15694" w:rsidRPr="00213F7D" w14:paraId="609A1407" w14:textId="77777777" w:rsidTr="00711947">
        <w:trPr>
          <w:trHeight w:val="288"/>
        </w:trPr>
        <w:tc>
          <w:tcPr>
            <w:tcW w:w="2268" w:type="dxa"/>
            <w:tcBorders>
              <w:top w:val="nil"/>
              <w:left w:val="nil"/>
              <w:right w:val="nil"/>
            </w:tcBorders>
            <w:shd w:val="clear" w:color="auto" w:fill="auto"/>
            <w:noWrap/>
            <w:vAlign w:val="bottom"/>
            <w:hideMark/>
          </w:tcPr>
          <w:p w14:paraId="1D55D3C5" w14:textId="77777777" w:rsidR="00B15694" w:rsidRPr="00213F7D" w:rsidRDefault="00B15694" w:rsidP="00711947">
            <w:pPr>
              <w:rPr>
                <w:sz w:val="20"/>
                <w:szCs w:val="20"/>
                <w:lang w:val="en-GB" w:eastAsia="en-GB"/>
              </w:rPr>
            </w:pPr>
          </w:p>
        </w:tc>
        <w:tc>
          <w:tcPr>
            <w:tcW w:w="1134" w:type="dxa"/>
            <w:tcBorders>
              <w:top w:val="nil"/>
              <w:left w:val="nil"/>
              <w:right w:val="nil"/>
            </w:tcBorders>
            <w:shd w:val="clear" w:color="auto" w:fill="auto"/>
            <w:noWrap/>
            <w:vAlign w:val="bottom"/>
            <w:hideMark/>
          </w:tcPr>
          <w:p w14:paraId="00A9FF5E"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Age</w:t>
            </w:r>
          </w:p>
        </w:tc>
        <w:tc>
          <w:tcPr>
            <w:tcW w:w="1588" w:type="dxa"/>
            <w:tcBorders>
              <w:top w:val="nil"/>
              <w:left w:val="nil"/>
              <w:right w:val="nil"/>
            </w:tcBorders>
            <w:shd w:val="clear" w:color="auto" w:fill="auto"/>
            <w:noWrap/>
            <w:vAlign w:val="bottom"/>
            <w:hideMark/>
          </w:tcPr>
          <w:p w14:paraId="14B6619D"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Quality of life - Preop</w:t>
            </w:r>
          </w:p>
        </w:tc>
        <w:tc>
          <w:tcPr>
            <w:tcW w:w="1820" w:type="dxa"/>
            <w:tcBorders>
              <w:top w:val="nil"/>
              <w:left w:val="nil"/>
              <w:right w:val="nil"/>
            </w:tcBorders>
            <w:shd w:val="clear" w:color="auto" w:fill="auto"/>
            <w:noWrap/>
            <w:vAlign w:val="bottom"/>
            <w:hideMark/>
          </w:tcPr>
          <w:p w14:paraId="33CB7ACF"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Quality of life - Postop</w:t>
            </w:r>
          </w:p>
        </w:tc>
        <w:tc>
          <w:tcPr>
            <w:tcW w:w="1341" w:type="dxa"/>
            <w:tcBorders>
              <w:top w:val="nil"/>
              <w:left w:val="nil"/>
              <w:right w:val="nil"/>
            </w:tcBorders>
            <w:shd w:val="clear" w:color="auto" w:fill="auto"/>
            <w:noWrap/>
            <w:vAlign w:val="bottom"/>
            <w:hideMark/>
          </w:tcPr>
          <w:p w14:paraId="20333413"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Survival - Preop</w:t>
            </w:r>
          </w:p>
        </w:tc>
        <w:tc>
          <w:tcPr>
            <w:tcW w:w="1413" w:type="dxa"/>
            <w:tcBorders>
              <w:top w:val="nil"/>
              <w:left w:val="nil"/>
              <w:right w:val="nil"/>
            </w:tcBorders>
            <w:shd w:val="clear" w:color="auto" w:fill="auto"/>
            <w:noWrap/>
            <w:vAlign w:val="bottom"/>
            <w:hideMark/>
          </w:tcPr>
          <w:p w14:paraId="67618911"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Survival - Postop</w:t>
            </w:r>
          </w:p>
        </w:tc>
        <w:tc>
          <w:tcPr>
            <w:tcW w:w="1638" w:type="dxa"/>
            <w:tcBorders>
              <w:top w:val="nil"/>
              <w:left w:val="nil"/>
              <w:right w:val="nil"/>
            </w:tcBorders>
            <w:shd w:val="clear" w:color="auto" w:fill="auto"/>
            <w:noWrap/>
            <w:vAlign w:val="bottom"/>
            <w:hideMark/>
          </w:tcPr>
          <w:p w14:paraId="23D4304D"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Time no eff Survival</w:t>
            </w:r>
          </w:p>
        </w:tc>
        <w:tc>
          <w:tcPr>
            <w:tcW w:w="1363" w:type="dxa"/>
            <w:tcBorders>
              <w:top w:val="nil"/>
              <w:left w:val="nil"/>
              <w:right w:val="nil"/>
            </w:tcBorders>
            <w:shd w:val="clear" w:color="auto" w:fill="auto"/>
            <w:noWrap/>
            <w:vAlign w:val="bottom"/>
            <w:hideMark/>
          </w:tcPr>
          <w:p w14:paraId="1E4DB0F9" w14:textId="1670877D"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Time no eff Q</w:t>
            </w:r>
            <w:r w:rsidR="001E6763">
              <w:rPr>
                <w:rFonts w:ascii="Calibri" w:hAnsi="Calibri" w:cs="Calibri"/>
                <w:color w:val="000000"/>
                <w:sz w:val="22"/>
                <w:szCs w:val="22"/>
                <w:lang w:val="en-GB" w:eastAsia="en-GB"/>
              </w:rPr>
              <w:t>oL</w:t>
            </w:r>
          </w:p>
        </w:tc>
        <w:tc>
          <w:tcPr>
            <w:tcW w:w="1437" w:type="dxa"/>
            <w:tcBorders>
              <w:top w:val="nil"/>
              <w:left w:val="nil"/>
              <w:right w:val="nil"/>
            </w:tcBorders>
            <w:shd w:val="clear" w:color="auto" w:fill="auto"/>
            <w:noWrap/>
            <w:vAlign w:val="bottom"/>
            <w:hideMark/>
          </w:tcPr>
          <w:p w14:paraId="258B005F"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Treatment effect</w:t>
            </w:r>
          </w:p>
        </w:tc>
      </w:tr>
      <w:tr w:rsidR="00B15694" w:rsidRPr="00213F7D" w14:paraId="1B461C90" w14:textId="77777777" w:rsidTr="00711947">
        <w:trPr>
          <w:trHeight w:val="288"/>
        </w:trPr>
        <w:tc>
          <w:tcPr>
            <w:tcW w:w="2268" w:type="dxa"/>
            <w:tcBorders>
              <w:top w:val="nil"/>
              <w:left w:val="nil"/>
              <w:bottom w:val="single" w:sz="4" w:space="0" w:color="auto"/>
              <w:right w:val="nil"/>
            </w:tcBorders>
            <w:shd w:val="clear" w:color="auto" w:fill="auto"/>
            <w:noWrap/>
            <w:vAlign w:val="bottom"/>
            <w:hideMark/>
          </w:tcPr>
          <w:p w14:paraId="11FF3061"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n</w:t>
            </w:r>
          </w:p>
        </w:tc>
        <w:tc>
          <w:tcPr>
            <w:tcW w:w="1134" w:type="dxa"/>
            <w:tcBorders>
              <w:top w:val="nil"/>
              <w:left w:val="nil"/>
              <w:bottom w:val="single" w:sz="4" w:space="0" w:color="auto"/>
              <w:right w:val="nil"/>
            </w:tcBorders>
            <w:shd w:val="clear" w:color="auto" w:fill="auto"/>
            <w:noWrap/>
            <w:vAlign w:val="bottom"/>
            <w:hideMark/>
          </w:tcPr>
          <w:p w14:paraId="05EFB8EE"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588" w:type="dxa"/>
            <w:tcBorders>
              <w:top w:val="nil"/>
              <w:left w:val="nil"/>
              <w:bottom w:val="single" w:sz="4" w:space="0" w:color="auto"/>
              <w:right w:val="nil"/>
            </w:tcBorders>
            <w:shd w:val="clear" w:color="auto" w:fill="auto"/>
            <w:noWrap/>
            <w:vAlign w:val="bottom"/>
            <w:hideMark/>
          </w:tcPr>
          <w:p w14:paraId="5896451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820" w:type="dxa"/>
            <w:tcBorders>
              <w:top w:val="nil"/>
              <w:left w:val="nil"/>
              <w:bottom w:val="single" w:sz="4" w:space="0" w:color="auto"/>
              <w:right w:val="nil"/>
            </w:tcBorders>
            <w:shd w:val="clear" w:color="auto" w:fill="auto"/>
            <w:noWrap/>
            <w:vAlign w:val="bottom"/>
            <w:hideMark/>
          </w:tcPr>
          <w:p w14:paraId="17E4AFB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341" w:type="dxa"/>
            <w:tcBorders>
              <w:top w:val="nil"/>
              <w:left w:val="nil"/>
              <w:bottom w:val="single" w:sz="4" w:space="0" w:color="auto"/>
              <w:right w:val="nil"/>
            </w:tcBorders>
            <w:shd w:val="clear" w:color="auto" w:fill="auto"/>
            <w:noWrap/>
            <w:vAlign w:val="bottom"/>
            <w:hideMark/>
          </w:tcPr>
          <w:p w14:paraId="3B36A43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413" w:type="dxa"/>
            <w:tcBorders>
              <w:top w:val="nil"/>
              <w:left w:val="nil"/>
              <w:bottom w:val="single" w:sz="4" w:space="0" w:color="auto"/>
              <w:right w:val="nil"/>
            </w:tcBorders>
            <w:shd w:val="clear" w:color="auto" w:fill="auto"/>
            <w:noWrap/>
            <w:vAlign w:val="bottom"/>
            <w:hideMark/>
          </w:tcPr>
          <w:p w14:paraId="3A47123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638" w:type="dxa"/>
            <w:tcBorders>
              <w:top w:val="nil"/>
              <w:left w:val="nil"/>
              <w:bottom w:val="single" w:sz="4" w:space="0" w:color="auto"/>
              <w:right w:val="nil"/>
            </w:tcBorders>
            <w:shd w:val="clear" w:color="auto" w:fill="auto"/>
            <w:noWrap/>
            <w:vAlign w:val="bottom"/>
            <w:hideMark/>
          </w:tcPr>
          <w:p w14:paraId="5393D82C"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363" w:type="dxa"/>
            <w:tcBorders>
              <w:top w:val="nil"/>
              <w:left w:val="nil"/>
              <w:bottom w:val="single" w:sz="4" w:space="0" w:color="auto"/>
              <w:right w:val="nil"/>
            </w:tcBorders>
            <w:shd w:val="clear" w:color="auto" w:fill="auto"/>
            <w:noWrap/>
            <w:vAlign w:val="bottom"/>
            <w:hideMark/>
          </w:tcPr>
          <w:p w14:paraId="69D8EF4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6</w:t>
            </w:r>
          </w:p>
        </w:tc>
        <w:tc>
          <w:tcPr>
            <w:tcW w:w="1437" w:type="dxa"/>
            <w:tcBorders>
              <w:top w:val="nil"/>
              <w:left w:val="nil"/>
              <w:bottom w:val="single" w:sz="4" w:space="0" w:color="auto"/>
              <w:right w:val="nil"/>
            </w:tcBorders>
            <w:shd w:val="clear" w:color="auto" w:fill="auto"/>
            <w:noWrap/>
            <w:vAlign w:val="bottom"/>
            <w:hideMark/>
          </w:tcPr>
          <w:p w14:paraId="4260EBE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23</w:t>
            </w:r>
          </w:p>
        </w:tc>
      </w:tr>
      <w:tr w:rsidR="00B15694" w:rsidRPr="00213F7D" w14:paraId="203C82E6" w14:textId="77777777" w:rsidTr="00711947">
        <w:trPr>
          <w:trHeight w:val="288"/>
        </w:trPr>
        <w:tc>
          <w:tcPr>
            <w:tcW w:w="14002" w:type="dxa"/>
            <w:gridSpan w:val="9"/>
            <w:tcBorders>
              <w:top w:val="single" w:sz="4" w:space="0" w:color="auto"/>
              <w:left w:val="nil"/>
              <w:bottom w:val="nil"/>
              <w:right w:val="nil"/>
            </w:tcBorders>
            <w:shd w:val="clear" w:color="auto" w:fill="auto"/>
            <w:noWrap/>
            <w:vAlign w:val="bottom"/>
            <w:hideMark/>
          </w:tcPr>
          <w:p w14:paraId="6BC28385" w14:textId="15A5DF04"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lang w:val="en-GB" w:eastAsia="en-GB"/>
              </w:rPr>
              <w:t>Type of evidence</w:t>
            </w:r>
            <w:r w:rsidR="001E6763">
              <w:rPr>
                <w:rFonts w:ascii="Calibri" w:hAnsi="Calibri" w:cs="Calibri"/>
                <w:color w:val="000000"/>
                <w:sz w:val="22"/>
                <w:szCs w:val="22"/>
                <w:lang w:val="en-GB" w:eastAsia="en-GB"/>
              </w:rPr>
              <w:t xml:space="preserve"> </w:t>
            </w:r>
            <w:r w:rsidRPr="00213F7D">
              <w:rPr>
                <w:rFonts w:ascii="Calibri" w:hAnsi="Calibri" w:cs="Calibri"/>
                <w:color w:val="000000"/>
                <w:sz w:val="22"/>
                <w:szCs w:val="22"/>
                <w:lang w:val="en-GB" w:eastAsia="en-GB"/>
              </w:rPr>
              <w:t>(%)</w:t>
            </w:r>
          </w:p>
        </w:tc>
      </w:tr>
      <w:tr w:rsidR="00B15694" w:rsidRPr="00213F7D" w14:paraId="5DCA960D" w14:textId="77777777" w:rsidTr="00711947">
        <w:trPr>
          <w:trHeight w:val="288"/>
        </w:trPr>
        <w:tc>
          <w:tcPr>
            <w:tcW w:w="2268" w:type="dxa"/>
            <w:tcBorders>
              <w:top w:val="nil"/>
              <w:left w:val="nil"/>
              <w:bottom w:val="nil"/>
              <w:right w:val="nil"/>
            </w:tcBorders>
            <w:shd w:val="clear" w:color="auto" w:fill="auto"/>
            <w:noWrap/>
            <w:vAlign w:val="bottom"/>
            <w:hideMark/>
          </w:tcPr>
          <w:p w14:paraId="4C767584"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Before-after study</w:t>
            </w:r>
          </w:p>
        </w:tc>
        <w:tc>
          <w:tcPr>
            <w:tcW w:w="1134" w:type="dxa"/>
            <w:tcBorders>
              <w:top w:val="nil"/>
              <w:left w:val="nil"/>
              <w:bottom w:val="nil"/>
              <w:right w:val="nil"/>
            </w:tcBorders>
            <w:shd w:val="clear" w:color="auto" w:fill="auto"/>
            <w:noWrap/>
            <w:vAlign w:val="bottom"/>
            <w:hideMark/>
          </w:tcPr>
          <w:p w14:paraId="7787192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588" w:type="dxa"/>
            <w:tcBorders>
              <w:top w:val="nil"/>
              <w:left w:val="nil"/>
              <w:bottom w:val="nil"/>
              <w:right w:val="nil"/>
            </w:tcBorders>
            <w:shd w:val="clear" w:color="auto" w:fill="auto"/>
            <w:noWrap/>
            <w:vAlign w:val="bottom"/>
            <w:hideMark/>
          </w:tcPr>
          <w:p w14:paraId="14DBC81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820" w:type="dxa"/>
            <w:tcBorders>
              <w:top w:val="nil"/>
              <w:left w:val="nil"/>
              <w:bottom w:val="nil"/>
              <w:right w:val="nil"/>
            </w:tcBorders>
            <w:shd w:val="clear" w:color="auto" w:fill="auto"/>
            <w:noWrap/>
            <w:vAlign w:val="bottom"/>
            <w:hideMark/>
          </w:tcPr>
          <w:p w14:paraId="4E98617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46DEF74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72C146B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638" w:type="dxa"/>
            <w:tcBorders>
              <w:top w:val="nil"/>
              <w:left w:val="nil"/>
              <w:bottom w:val="nil"/>
              <w:right w:val="nil"/>
            </w:tcBorders>
            <w:shd w:val="clear" w:color="auto" w:fill="auto"/>
            <w:noWrap/>
            <w:vAlign w:val="bottom"/>
            <w:hideMark/>
          </w:tcPr>
          <w:p w14:paraId="7BC2D83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7CED61A9"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39C88CB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r>
      <w:tr w:rsidR="00B15694" w:rsidRPr="00213F7D" w14:paraId="7DBD58F8" w14:textId="77777777" w:rsidTr="00711947">
        <w:trPr>
          <w:trHeight w:val="288"/>
        </w:trPr>
        <w:tc>
          <w:tcPr>
            <w:tcW w:w="2268" w:type="dxa"/>
            <w:tcBorders>
              <w:top w:val="nil"/>
              <w:left w:val="nil"/>
              <w:bottom w:val="nil"/>
              <w:right w:val="nil"/>
            </w:tcBorders>
            <w:shd w:val="clear" w:color="auto" w:fill="auto"/>
            <w:noWrap/>
            <w:vAlign w:val="bottom"/>
            <w:hideMark/>
          </w:tcPr>
          <w:p w14:paraId="3FEB678F"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opinion</w:t>
            </w:r>
          </w:p>
        </w:tc>
        <w:tc>
          <w:tcPr>
            <w:tcW w:w="1134" w:type="dxa"/>
            <w:tcBorders>
              <w:top w:val="nil"/>
              <w:left w:val="nil"/>
              <w:bottom w:val="nil"/>
              <w:right w:val="nil"/>
            </w:tcBorders>
            <w:shd w:val="clear" w:color="auto" w:fill="auto"/>
            <w:noWrap/>
            <w:vAlign w:val="bottom"/>
            <w:hideMark/>
          </w:tcPr>
          <w:p w14:paraId="44F0B5E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w:t>
            </w:r>
            <w:proofErr w:type="gramStart"/>
            <w:r>
              <w:rPr>
                <w:rFonts w:ascii="Calibri" w:hAnsi="Calibri" w:cs="Calibri"/>
                <w:color w:val="000000"/>
                <w:sz w:val="22"/>
                <w:szCs w:val="22"/>
              </w:rPr>
              <w:t>( 6.8</w:t>
            </w:r>
            <w:proofErr w:type="gramEnd"/>
            <w:r>
              <w:rPr>
                <w:rFonts w:ascii="Calibri" w:hAnsi="Calibri" w:cs="Calibri"/>
                <w:color w:val="000000"/>
                <w:sz w:val="22"/>
                <w:szCs w:val="22"/>
              </w:rPr>
              <w:t xml:space="preserve">) </w:t>
            </w:r>
          </w:p>
        </w:tc>
        <w:tc>
          <w:tcPr>
            <w:tcW w:w="1588" w:type="dxa"/>
            <w:tcBorders>
              <w:top w:val="nil"/>
              <w:left w:val="nil"/>
              <w:bottom w:val="nil"/>
              <w:right w:val="nil"/>
            </w:tcBorders>
            <w:shd w:val="clear" w:color="auto" w:fill="auto"/>
            <w:noWrap/>
            <w:vAlign w:val="bottom"/>
            <w:hideMark/>
          </w:tcPr>
          <w:p w14:paraId="61807B9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2 </w:t>
            </w:r>
            <w:proofErr w:type="gramStart"/>
            <w:r>
              <w:rPr>
                <w:rFonts w:ascii="Calibri" w:hAnsi="Calibri" w:cs="Calibri"/>
                <w:color w:val="000000"/>
                <w:sz w:val="22"/>
                <w:szCs w:val="22"/>
              </w:rPr>
              <w:t>( 4.7</w:t>
            </w:r>
            <w:proofErr w:type="gramEnd"/>
            <w:r>
              <w:rPr>
                <w:rFonts w:ascii="Calibri" w:hAnsi="Calibri" w:cs="Calibri"/>
                <w:color w:val="000000"/>
                <w:sz w:val="22"/>
                <w:szCs w:val="22"/>
              </w:rPr>
              <w:t xml:space="preserve">) </w:t>
            </w:r>
          </w:p>
        </w:tc>
        <w:tc>
          <w:tcPr>
            <w:tcW w:w="1820" w:type="dxa"/>
            <w:tcBorders>
              <w:top w:val="nil"/>
              <w:left w:val="nil"/>
              <w:bottom w:val="nil"/>
              <w:right w:val="nil"/>
            </w:tcBorders>
            <w:shd w:val="clear" w:color="auto" w:fill="auto"/>
            <w:noWrap/>
            <w:vAlign w:val="bottom"/>
            <w:hideMark/>
          </w:tcPr>
          <w:p w14:paraId="19136EE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1991B21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0568E11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8 (18.6) </w:t>
            </w:r>
          </w:p>
        </w:tc>
        <w:tc>
          <w:tcPr>
            <w:tcW w:w="1638" w:type="dxa"/>
            <w:tcBorders>
              <w:top w:val="nil"/>
              <w:left w:val="nil"/>
              <w:bottom w:val="nil"/>
              <w:right w:val="nil"/>
            </w:tcBorders>
            <w:shd w:val="clear" w:color="auto" w:fill="auto"/>
            <w:noWrap/>
            <w:vAlign w:val="bottom"/>
            <w:hideMark/>
          </w:tcPr>
          <w:p w14:paraId="2390CC1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2 </w:t>
            </w:r>
            <w:proofErr w:type="gramStart"/>
            <w:r>
              <w:rPr>
                <w:rFonts w:ascii="Calibri" w:hAnsi="Calibri" w:cs="Calibri"/>
                <w:color w:val="000000"/>
                <w:sz w:val="22"/>
                <w:szCs w:val="22"/>
              </w:rPr>
              <w:t>( 4.7</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04F2247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5 (83.3) </w:t>
            </w:r>
          </w:p>
        </w:tc>
        <w:tc>
          <w:tcPr>
            <w:tcW w:w="1437" w:type="dxa"/>
            <w:tcBorders>
              <w:top w:val="nil"/>
              <w:left w:val="nil"/>
              <w:bottom w:val="nil"/>
              <w:right w:val="nil"/>
            </w:tcBorders>
            <w:shd w:val="clear" w:color="auto" w:fill="auto"/>
            <w:noWrap/>
            <w:vAlign w:val="bottom"/>
            <w:hideMark/>
          </w:tcPr>
          <w:p w14:paraId="586D8CB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(17.4) </w:t>
            </w:r>
          </w:p>
        </w:tc>
      </w:tr>
      <w:tr w:rsidR="00B15694" w:rsidRPr="00213F7D" w14:paraId="5FA8AFEE" w14:textId="77777777" w:rsidTr="00711947">
        <w:trPr>
          <w:trHeight w:val="288"/>
        </w:trPr>
        <w:tc>
          <w:tcPr>
            <w:tcW w:w="2268" w:type="dxa"/>
            <w:tcBorders>
              <w:top w:val="nil"/>
              <w:left w:val="nil"/>
              <w:bottom w:val="nil"/>
              <w:right w:val="nil"/>
            </w:tcBorders>
            <w:shd w:val="clear" w:color="auto" w:fill="auto"/>
            <w:noWrap/>
            <w:vAlign w:val="bottom"/>
            <w:hideMark/>
          </w:tcPr>
          <w:p w14:paraId="640B1D46"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panel</w:t>
            </w:r>
          </w:p>
        </w:tc>
        <w:tc>
          <w:tcPr>
            <w:tcW w:w="1134" w:type="dxa"/>
            <w:tcBorders>
              <w:top w:val="nil"/>
              <w:left w:val="nil"/>
              <w:bottom w:val="nil"/>
              <w:right w:val="nil"/>
            </w:tcBorders>
            <w:shd w:val="clear" w:color="auto" w:fill="auto"/>
            <w:noWrap/>
            <w:vAlign w:val="bottom"/>
            <w:hideMark/>
          </w:tcPr>
          <w:p w14:paraId="196EF7F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588" w:type="dxa"/>
            <w:tcBorders>
              <w:top w:val="nil"/>
              <w:left w:val="nil"/>
              <w:bottom w:val="nil"/>
              <w:right w:val="nil"/>
            </w:tcBorders>
            <w:shd w:val="clear" w:color="auto" w:fill="auto"/>
            <w:noWrap/>
            <w:vAlign w:val="bottom"/>
            <w:hideMark/>
          </w:tcPr>
          <w:p w14:paraId="512ADFD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820" w:type="dxa"/>
            <w:tcBorders>
              <w:top w:val="nil"/>
              <w:left w:val="nil"/>
              <w:bottom w:val="nil"/>
              <w:right w:val="nil"/>
            </w:tcBorders>
            <w:shd w:val="clear" w:color="auto" w:fill="auto"/>
            <w:noWrap/>
            <w:vAlign w:val="bottom"/>
            <w:hideMark/>
          </w:tcPr>
          <w:p w14:paraId="74DB497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29 </w:t>
            </w:r>
            <w:proofErr w:type="gramStart"/>
            <w:r>
              <w:rPr>
                <w:rFonts w:ascii="Calibri" w:hAnsi="Calibri" w:cs="Calibri"/>
                <w:color w:val="000000"/>
                <w:sz w:val="22"/>
                <w:szCs w:val="22"/>
              </w:rPr>
              <w:t>( 67.4</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1B9F850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29 </w:t>
            </w:r>
            <w:proofErr w:type="gramStart"/>
            <w:r>
              <w:rPr>
                <w:rFonts w:ascii="Calibri" w:hAnsi="Calibri" w:cs="Calibri"/>
                <w:color w:val="000000"/>
                <w:sz w:val="22"/>
                <w:szCs w:val="22"/>
              </w:rPr>
              <w:t>( 67.4</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51BF02A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638" w:type="dxa"/>
            <w:tcBorders>
              <w:top w:val="nil"/>
              <w:left w:val="nil"/>
              <w:bottom w:val="nil"/>
              <w:right w:val="nil"/>
            </w:tcBorders>
            <w:shd w:val="clear" w:color="auto" w:fill="auto"/>
            <w:noWrap/>
            <w:vAlign w:val="bottom"/>
            <w:hideMark/>
          </w:tcPr>
          <w:p w14:paraId="27D4D75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2B552FC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7E1751C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r>
      <w:tr w:rsidR="00B15694" w:rsidRPr="00213F7D" w14:paraId="7C4987A2" w14:textId="77777777" w:rsidTr="00711947">
        <w:trPr>
          <w:trHeight w:val="288"/>
        </w:trPr>
        <w:tc>
          <w:tcPr>
            <w:tcW w:w="2268" w:type="dxa"/>
            <w:tcBorders>
              <w:top w:val="nil"/>
              <w:left w:val="nil"/>
              <w:bottom w:val="nil"/>
              <w:right w:val="nil"/>
            </w:tcBorders>
            <w:shd w:val="clear" w:color="auto" w:fill="auto"/>
            <w:noWrap/>
            <w:vAlign w:val="bottom"/>
            <w:hideMark/>
          </w:tcPr>
          <w:p w14:paraId="657234AB"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panel (WHO)</w:t>
            </w:r>
          </w:p>
        </w:tc>
        <w:tc>
          <w:tcPr>
            <w:tcW w:w="1134" w:type="dxa"/>
            <w:tcBorders>
              <w:top w:val="nil"/>
              <w:left w:val="nil"/>
              <w:bottom w:val="nil"/>
              <w:right w:val="nil"/>
            </w:tcBorders>
            <w:shd w:val="clear" w:color="auto" w:fill="auto"/>
            <w:noWrap/>
            <w:vAlign w:val="bottom"/>
            <w:hideMark/>
          </w:tcPr>
          <w:p w14:paraId="695B83F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588" w:type="dxa"/>
            <w:tcBorders>
              <w:top w:val="nil"/>
              <w:left w:val="nil"/>
              <w:bottom w:val="nil"/>
              <w:right w:val="nil"/>
            </w:tcBorders>
            <w:shd w:val="clear" w:color="auto" w:fill="auto"/>
            <w:noWrap/>
            <w:vAlign w:val="bottom"/>
            <w:hideMark/>
          </w:tcPr>
          <w:p w14:paraId="76E1D678"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820" w:type="dxa"/>
            <w:tcBorders>
              <w:top w:val="nil"/>
              <w:left w:val="nil"/>
              <w:bottom w:val="nil"/>
              <w:right w:val="nil"/>
            </w:tcBorders>
            <w:shd w:val="clear" w:color="auto" w:fill="auto"/>
            <w:noWrap/>
            <w:vAlign w:val="bottom"/>
            <w:hideMark/>
          </w:tcPr>
          <w:p w14:paraId="50EDA79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14 </w:t>
            </w:r>
            <w:proofErr w:type="gramStart"/>
            <w:r>
              <w:rPr>
                <w:rFonts w:ascii="Calibri" w:hAnsi="Calibri" w:cs="Calibri"/>
                <w:color w:val="000000"/>
                <w:sz w:val="22"/>
                <w:szCs w:val="22"/>
              </w:rPr>
              <w:t>( 32.6</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4843183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14 </w:t>
            </w:r>
            <w:proofErr w:type="gramStart"/>
            <w:r>
              <w:rPr>
                <w:rFonts w:ascii="Calibri" w:hAnsi="Calibri" w:cs="Calibri"/>
                <w:color w:val="000000"/>
                <w:sz w:val="22"/>
                <w:szCs w:val="22"/>
              </w:rPr>
              <w:t>( 32.6</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5104869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638" w:type="dxa"/>
            <w:tcBorders>
              <w:top w:val="nil"/>
              <w:left w:val="nil"/>
              <w:bottom w:val="nil"/>
              <w:right w:val="nil"/>
            </w:tcBorders>
            <w:shd w:val="clear" w:color="auto" w:fill="auto"/>
            <w:noWrap/>
            <w:vAlign w:val="bottom"/>
            <w:hideMark/>
          </w:tcPr>
          <w:p w14:paraId="35AD1B5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4CFDA39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3979449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r>
      <w:tr w:rsidR="00B15694" w:rsidRPr="00213F7D" w14:paraId="211CFFEF" w14:textId="77777777" w:rsidTr="00711947">
        <w:trPr>
          <w:trHeight w:val="288"/>
        </w:trPr>
        <w:tc>
          <w:tcPr>
            <w:tcW w:w="2268" w:type="dxa"/>
            <w:tcBorders>
              <w:top w:val="nil"/>
              <w:left w:val="nil"/>
              <w:bottom w:val="nil"/>
              <w:right w:val="nil"/>
            </w:tcBorders>
            <w:shd w:val="clear" w:color="auto" w:fill="auto"/>
            <w:noWrap/>
            <w:vAlign w:val="bottom"/>
            <w:hideMark/>
          </w:tcPr>
          <w:p w14:paraId="2BE53AD4"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National registry</w:t>
            </w:r>
          </w:p>
        </w:tc>
        <w:tc>
          <w:tcPr>
            <w:tcW w:w="1134" w:type="dxa"/>
            <w:tcBorders>
              <w:top w:val="nil"/>
              <w:left w:val="nil"/>
              <w:bottom w:val="nil"/>
              <w:right w:val="nil"/>
            </w:tcBorders>
            <w:shd w:val="clear" w:color="auto" w:fill="auto"/>
            <w:noWrap/>
            <w:vAlign w:val="bottom"/>
            <w:hideMark/>
          </w:tcPr>
          <w:p w14:paraId="140E9CE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21 (47.7) </w:t>
            </w:r>
          </w:p>
        </w:tc>
        <w:tc>
          <w:tcPr>
            <w:tcW w:w="1588" w:type="dxa"/>
            <w:tcBorders>
              <w:top w:val="nil"/>
              <w:left w:val="nil"/>
              <w:bottom w:val="nil"/>
              <w:right w:val="nil"/>
            </w:tcBorders>
            <w:shd w:val="clear" w:color="auto" w:fill="auto"/>
            <w:noWrap/>
            <w:vAlign w:val="bottom"/>
            <w:hideMark/>
          </w:tcPr>
          <w:p w14:paraId="0FA6F5A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21 (48.8) </w:t>
            </w:r>
          </w:p>
        </w:tc>
        <w:tc>
          <w:tcPr>
            <w:tcW w:w="1820" w:type="dxa"/>
            <w:tcBorders>
              <w:top w:val="nil"/>
              <w:left w:val="nil"/>
              <w:bottom w:val="nil"/>
              <w:right w:val="nil"/>
            </w:tcBorders>
            <w:shd w:val="clear" w:color="auto" w:fill="auto"/>
            <w:noWrap/>
            <w:vAlign w:val="bottom"/>
            <w:hideMark/>
          </w:tcPr>
          <w:p w14:paraId="132A10E9"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4FD771F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173B065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12 (27.9) </w:t>
            </w:r>
          </w:p>
        </w:tc>
        <w:tc>
          <w:tcPr>
            <w:tcW w:w="1638" w:type="dxa"/>
            <w:tcBorders>
              <w:top w:val="nil"/>
              <w:left w:val="nil"/>
              <w:bottom w:val="nil"/>
              <w:right w:val="nil"/>
            </w:tcBorders>
            <w:shd w:val="clear" w:color="auto" w:fill="auto"/>
            <w:noWrap/>
            <w:vAlign w:val="bottom"/>
            <w:hideMark/>
          </w:tcPr>
          <w:p w14:paraId="4E6EFEA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31 (72.1) </w:t>
            </w:r>
          </w:p>
        </w:tc>
        <w:tc>
          <w:tcPr>
            <w:tcW w:w="1363" w:type="dxa"/>
            <w:tcBorders>
              <w:top w:val="nil"/>
              <w:left w:val="nil"/>
              <w:bottom w:val="nil"/>
              <w:right w:val="nil"/>
            </w:tcBorders>
            <w:shd w:val="clear" w:color="auto" w:fill="auto"/>
            <w:noWrap/>
            <w:vAlign w:val="bottom"/>
            <w:hideMark/>
          </w:tcPr>
          <w:p w14:paraId="132B948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09EE96D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9 (39.1) </w:t>
            </w:r>
          </w:p>
        </w:tc>
      </w:tr>
      <w:tr w:rsidR="00B15694" w:rsidRPr="00213F7D" w14:paraId="79445194" w14:textId="77777777" w:rsidTr="00711947">
        <w:trPr>
          <w:trHeight w:val="288"/>
        </w:trPr>
        <w:tc>
          <w:tcPr>
            <w:tcW w:w="2268" w:type="dxa"/>
            <w:tcBorders>
              <w:top w:val="nil"/>
              <w:left w:val="nil"/>
              <w:bottom w:val="nil"/>
              <w:right w:val="nil"/>
            </w:tcBorders>
            <w:shd w:val="clear" w:color="auto" w:fill="auto"/>
            <w:noWrap/>
            <w:vAlign w:val="bottom"/>
            <w:hideMark/>
          </w:tcPr>
          <w:p w14:paraId="70934126" w14:textId="4259903A"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Observational, </w:t>
            </w:r>
            <w:r w:rsidR="009B688A">
              <w:rPr>
                <w:rFonts w:ascii="Calibri" w:hAnsi="Calibri" w:cs="Calibri"/>
                <w:color w:val="000000"/>
                <w:sz w:val="22"/>
                <w:szCs w:val="22"/>
                <w:lang w:val="en-GB" w:eastAsia="en-GB"/>
              </w:rPr>
              <w:t>P</w:t>
            </w:r>
            <w:r w:rsidRPr="00213F7D">
              <w:rPr>
                <w:rFonts w:ascii="Calibri" w:hAnsi="Calibri" w:cs="Calibri"/>
                <w:color w:val="000000"/>
                <w:sz w:val="22"/>
                <w:szCs w:val="22"/>
                <w:lang w:val="en-GB" w:eastAsia="en-GB"/>
              </w:rPr>
              <w:t>rospective</w:t>
            </w:r>
          </w:p>
        </w:tc>
        <w:tc>
          <w:tcPr>
            <w:tcW w:w="1134" w:type="dxa"/>
            <w:tcBorders>
              <w:top w:val="nil"/>
              <w:left w:val="nil"/>
              <w:bottom w:val="nil"/>
              <w:right w:val="nil"/>
            </w:tcBorders>
            <w:shd w:val="clear" w:color="auto" w:fill="auto"/>
            <w:noWrap/>
            <w:vAlign w:val="bottom"/>
            <w:hideMark/>
          </w:tcPr>
          <w:p w14:paraId="5C373A0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(11.4) </w:t>
            </w:r>
          </w:p>
        </w:tc>
        <w:tc>
          <w:tcPr>
            <w:tcW w:w="1588" w:type="dxa"/>
            <w:tcBorders>
              <w:top w:val="nil"/>
              <w:left w:val="nil"/>
              <w:bottom w:val="nil"/>
              <w:right w:val="nil"/>
            </w:tcBorders>
            <w:shd w:val="clear" w:color="auto" w:fill="auto"/>
            <w:noWrap/>
            <w:vAlign w:val="bottom"/>
            <w:hideMark/>
          </w:tcPr>
          <w:p w14:paraId="4DB9F5A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820" w:type="dxa"/>
            <w:tcBorders>
              <w:top w:val="nil"/>
              <w:left w:val="nil"/>
              <w:bottom w:val="nil"/>
              <w:right w:val="nil"/>
            </w:tcBorders>
            <w:shd w:val="clear" w:color="auto" w:fill="auto"/>
            <w:noWrap/>
            <w:vAlign w:val="bottom"/>
            <w:hideMark/>
          </w:tcPr>
          <w:p w14:paraId="72131DE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627007C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7EE65E49"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w:t>
            </w:r>
            <w:proofErr w:type="gramStart"/>
            <w:r>
              <w:rPr>
                <w:rFonts w:ascii="Calibri" w:hAnsi="Calibri" w:cs="Calibri"/>
                <w:color w:val="000000"/>
                <w:sz w:val="22"/>
                <w:szCs w:val="22"/>
              </w:rPr>
              <w:t>( 9.3</w:t>
            </w:r>
            <w:proofErr w:type="gramEnd"/>
            <w:r>
              <w:rPr>
                <w:rFonts w:ascii="Calibri" w:hAnsi="Calibri" w:cs="Calibri"/>
                <w:color w:val="000000"/>
                <w:sz w:val="22"/>
                <w:szCs w:val="22"/>
              </w:rPr>
              <w:t xml:space="preserve">) </w:t>
            </w:r>
          </w:p>
        </w:tc>
        <w:tc>
          <w:tcPr>
            <w:tcW w:w="1638" w:type="dxa"/>
            <w:tcBorders>
              <w:top w:val="nil"/>
              <w:left w:val="nil"/>
              <w:bottom w:val="nil"/>
              <w:right w:val="nil"/>
            </w:tcBorders>
            <w:shd w:val="clear" w:color="auto" w:fill="auto"/>
            <w:noWrap/>
            <w:vAlign w:val="bottom"/>
            <w:hideMark/>
          </w:tcPr>
          <w:p w14:paraId="66BC1B4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w:t>
            </w:r>
            <w:proofErr w:type="gramStart"/>
            <w:r>
              <w:rPr>
                <w:rFonts w:ascii="Calibri" w:hAnsi="Calibri" w:cs="Calibri"/>
                <w:color w:val="000000"/>
                <w:sz w:val="22"/>
                <w:szCs w:val="22"/>
              </w:rPr>
              <w:t>( 7.0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596FE0F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3417347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(13.0) </w:t>
            </w:r>
          </w:p>
        </w:tc>
      </w:tr>
      <w:tr w:rsidR="00B15694" w:rsidRPr="00213F7D" w14:paraId="0CBFD3DB" w14:textId="77777777" w:rsidTr="00711947">
        <w:trPr>
          <w:trHeight w:val="288"/>
        </w:trPr>
        <w:tc>
          <w:tcPr>
            <w:tcW w:w="2268" w:type="dxa"/>
            <w:tcBorders>
              <w:top w:val="nil"/>
              <w:left w:val="nil"/>
              <w:bottom w:val="nil"/>
              <w:right w:val="nil"/>
            </w:tcBorders>
            <w:shd w:val="clear" w:color="auto" w:fill="auto"/>
            <w:noWrap/>
            <w:vAlign w:val="bottom"/>
            <w:hideMark/>
          </w:tcPr>
          <w:p w14:paraId="4CFA9C3E" w14:textId="4B5A973D"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Observational, </w:t>
            </w:r>
            <w:r w:rsidR="009B688A">
              <w:rPr>
                <w:rFonts w:ascii="Calibri" w:hAnsi="Calibri" w:cs="Calibri"/>
                <w:color w:val="000000"/>
                <w:sz w:val="22"/>
                <w:szCs w:val="22"/>
                <w:lang w:val="en-GB" w:eastAsia="en-GB"/>
              </w:rPr>
              <w:t>R</w:t>
            </w:r>
            <w:r w:rsidRPr="00213F7D">
              <w:rPr>
                <w:rFonts w:ascii="Calibri" w:hAnsi="Calibri" w:cs="Calibri"/>
                <w:color w:val="000000"/>
                <w:sz w:val="22"/>
                <w:szCs w:val="22"/>
                <w:lang w:val="en-GB" w:eastAsia="en-GB"/>
              </w:rPr>
              <w:t>etrospective</w:t>
            </w:r>
          </w:p>
        </w:tc>
        <w:tc>
          <w:tcPr>
            <w:tcW w:w="1134" w:type="dxa"/>
            <w:tcBorders>
              <w:top w:val="nil"/>
              <w:left w:val="nil"/>
              <w:bottom w:val="nil"/>
              <w:right w:val="nil"/>
            </w:tcBorders>
            <w:shd w:val="clear" w:color="auto" w:fill="auto"/>
            <w:noWrap/>
            <w:vAlign w:val="bottom"/>
            <w:hideMark/>
          </w:tcPr>
          <w:p w14:paraId="4548CB9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10 (22.7) </w:t>
            </w:r>
          </w:p>
        </w:tc>
        <w:tc>
          <w:tcPr>
            <w:tcW w:w="1588" w:type="dxa"/>
            <w:tcBorders>
              <w:top w:val="nil"/>
              <w:left w:val="nil"/>
              <w:bottom w:val="nil"/>
              <w:right w:val="nil"/>
            </w:tcBorders>
            <w:shd w:val="clear" w:color="auto" w:fill="auto"/>
            <w:noWrap/>
            <w:vAlign w:val="bottom"/>
            <w:hideMark/>
          </w:tcPr>
          <w:p w14:paraId="14B659B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820" w:type="dxa"/>
            <w:tcBorders>
              <w:top w:val="nil"/>
              <w:left w:val="nil"/>
              <w:bottom w:val="nil"/>
              <w:right w:val="nil"/>
            </w:tcBorders>
            <w:shd w:val="clear" w:color="auto" w:fill="auto"/>
            <w:noWrap/>
            <w:vAlign w:val="bottom"/>
            <w:hideMark/>
          </w:tcPr>
          <w:p w14:paraId="329D55E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58F4E87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4685FE0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9 (20.9) </w:t>
            </w:r>
          </w:p>
        </w:tc>
        <w:tc>
          <w:tcPr>
            <w:tcW w:w="1638" w:type="dxa"/>
            <w:tcBorders>
              <w:top w:val="nil"/>
              <w:left w:val="nil"/>
              <w:bottom w:val="nil"/>
              <w:right w:val="nil"/>
            </w:tcBorders>
            <w:shd w:val="clear" w:color="auto" w:fill="auto"/>
            <w:noWrap/>
            <w:vAlign w:val="bottom"/>
            <w:hideMark/>
          </w:tcPr>
          <w:p w14:paraId="1D6E6D18"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w:t>
            </w:r>
            <w:proofErr w:type="gramStart"/>
            <w:r>
              <w:rPr>
                <w:rFonts w:ascii="Calibri" w:hAnsi="Calibri" w:cs="Calibri"/>
                <w:color w:val="000000"/>
                <w:sz w:val="22"/>
                <w:szCs w:val="22"/>
              </w:rPr>
              <w:t>( 9.3</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305BE77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50CABCF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7 (30.4) </w:t>
            </w:r>
          </w:p>
        </w:tc>
      </w:tr>
      <w:tr w:rsidR="00B15694" w:rsidRPr="00213F7D" w14:paraId="5E270E90" w14:textId="77777777" w:rsidTr="00711947">
        <w:trPr>
          <w:trHeight w:val="288"/>
        </w:trPr>
        <w:tc>
          <w:tcPr>
            <w:tcW w:w="2268" w:type="dxa"/>
            <w:tcBorders>
              <w:top w:val="nil"/>
              <w:left w:val="nil"/>
              <w:bottom w:val="nil"/>
              <w:right w:val="nil"/>
            </w:tcBorders>
            <w:shd w:val="clear" w:color="auto" w:fill="auto"/>
            <w:noWrap/>
            <w:vAlign w:val="bottom"/>
            <w:hideMark/>
          </w:tcPr>
          <w:p w14:paraId="362F2BA9"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RCT</w:t>
            </w:r>
          </w:p>
        </w:tc>
        <w:tc>
          <w:tcPr>
            <w:tcW w:w="1134" w:type="dxa"/>
            <w:tcBorders>
              <w:top w:val="nil"/>
              <w:left w:val="nil"/>
              <w:bottom w:val="nil"/>
              <w:right w:val="nil"/>
            </w:tcBorders>
            <w:shd w:val="clear" w:color="auto" w:fill="auto"/>
            <w:noWrap/>
            <w:vAlign w:val="bottom"/>
            <w:hideMark/>
          </w:tcPr>
          <w:p w14:paraId="4AAAC79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(11.4) </w:t>
            </w:r>
          </w:p>
        </w:tc>
        <w:tc>
          <w:tcPr>
            <w:tcW w:w="1588" w:type="dxa"/>
            <w:tcBorders>
              <w:top w:val="nil"/>
              <w:left w:val="nil"/>
              <w:bottom w:val="nil"/>
              <w:right w:val="nil"/>
            </w:tcBorders>
            <w:shd w:val="clear" w:color="auto" w:fill="auto"/>
            <w:noWrap/>
            <w:vAlign w:val="bottom"/>
            <w:hideMark/>
          </w:tcPr>
          <w:p w14:paraId="14B7B37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820" w:type="dxa"/>
            <w:tcBorders>
              <w:top w:val="nil"/>
              <w:left w:val="nil"/>
              <w:bottom w:val="nil"/>
              <w:right w:val="nil"/>
            </w:tcBorders>
            <w:shd w:val="clear" w:color="auto" w:fill="auto"/>
            <w:noWrap/>
            <w:vAlign w:val="bottom"/>
            <w:hideMark/>
          </w:tcPr>
          <w:p w14:paraId="666D8EC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140AAC3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787D06C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638" w:type="dxa"/>
            <w:tcBorders>
              <w:top w:val="nil"/>
              <w:left w:val="nil"/>
              <w:bottom w:val="nil"/>
              <w:right w:val="nil"/>
            </w:tcBorders>
            <w:shd w:val="clear" w:color="auto" w:fill="auto"/>
            <w:noWrap/>
            <w:vAlign w:val="bottom"/>
            <w:hideMark/>
          </w:tcPr>
          <w:p w14:paraId="6F7AE45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w:t>
            </w:r>
            <w:proofErr w:type="gramStart"/>
            <w:r>
              <w:rPr>
                <w:rFonts w:ascii="Calibri" w:hAnsi="Calibri" w:cs="Calibri"/>
                <w:color w:val="000000"/>
                <w:sz w:val="22"/>
                <w:szCs w:val="22"/>
              </w:rPr>
              <w:t>( 7.0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5897308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 (16.7) </w:t>
            </w:r>
          </w:p>
        </w:tc>
        <w:tc>
          <w:tcPr>
            <w:tcW w:w="1437" w:type="dxa"/>
            <w:tcBorders>
              <w:top w:val="nil"/>
              <w:left w:val="nil"/>
              <w:bottom w:val="nil"/>
              <w:right w:val="nil"/>
            </w:tcBorders>
            <w:shd w:val="clear" w:color="auto" w:fill="auto"/>
            <w:noWrap/>
            <w:vAlign w:val="bottom"/>
            <w:hideMark/>
          </w:tcPr>
          <w:p w14:paraId="3B2D912C"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r>
      <w:tr w:rsidR="00B15694" w:rsidRPr="00213F7D" w14:paraId="490AC545" w14:textId="77777777" w:rsidTr="00711947">
        <w:trPr>
          <w:trHeight w:val="288"/>
        </w:trPr>
        <w:tc>
          <w:tcPr>
            <w:tcW w:w="14002" w:type="dxa"/>
            <w:gridSpan w:val="9"/>
            <w:tcBorders>
              <w:top w:val="nil"/>
              <w:left w:val="nil"/>
              <w:bottom w:val="nil"/>
              <w:right w:val="nil"/>
            </w:tcBorders>
            <w:shd w:val="clear" w:color="auto" w:fill="auto"/>
            <w:noWrap/>
            <w:vAlign w:val="bottom"/>
            <w:hideMark/>
          </w:tcPr>
          <w:p w14:paraId="1B66926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Class of evidence </w:t>
            </w:r>
            <w:r w:rsidRPr="00213F7D">
              <w:rPr>
                <w:rFonts w:ascii="Calibri" w:hAnsi="Calibri" w:cs="Calibri"/>
                <w:color w:val="000000"/>
                <w:sz w:val="22"/>
                <w:szCs w:val="22"/>
                <w:lang w:val="en-GB" w:eastAsia="en-GB"/>
              </w:rPr>
              <w:t>(%)</w:t>
            </w:r>
          </w:p>
        </w:tc>
      </w:tr>
      <w:tr w:rsidR="00B15694" w:rsidRPr="00213F7D" w14:paraId="090913A4" w14:textId="77777777" w:rsidTr="00711947">
        <w:trPr>
          <w:trHeight w:val="288"/>
        </w:trPr>
        <w:tc>
          <w:tcPr>
            <w:tcW w:w="2268" w:type="dxa"/>
            <w:tcBorders>
              <w:top w:val="nil"/>
              <w:left w:val="nil"/>
              <w:bottom w:val="nil"/>
              <w:right w:val="nil"/>
            </w:tcBorders>
            <w:shd w:val="clear" w:color="auto" w:fill="auto"/>
            <w:noWrap/>
            <w:vAlign w:val="bottom"/>
            <w:hideMark/>
          </w:tcPr>
          <w:p w14:paraId="3D3EB1B9"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w:t>
            </w:r>
          </w:p>
        </w:tc>
        <w:tc>
          <w:tcPr>
            <w:tcW w:w="1134" w:type="dxa"/>
            <w:tcBorders>
              <w:top w:val="nil"/>
              <w:left w:val="nil"/>
              <w:bottom w:val="nil"/>
              <w:right w:val="nil"/>
            </w:tcBorders>
            <w:shd w:val="clear" w:color="auto" w:fill="auto"/>
            <w:noWrap/>
            <w:vAlign w:val="bottom"/>
            <w:hideMark/>
          </w:tcPr>
          <w:p w14:paraId="2934CEE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(11.4) </w:t>
            </w:r>
          </w:p>
        </w:tc>
        <w:tc>
          <w:tcPr>
            <w:tcW w:w="1588" w:type="dxa"/>
            <w:tcBorders>
              <w:top w:val="nil"/>
              <w:left w:val="nil"/>
              <w:bottom w:val="nil"/>
              <w:right w:val="nil"/>
            </w:tcBorders>
            <w:shd w:val="clear" w:color="auto" w:fill="auto"/>
            <w:noWrap/>
            <w:vAlign w:val="bottom"/>
            <w:hideMark/>
          </w:tcPr>
          <w:p w14:paraId="69F1BBA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820" w:type="dxa"/>
            <w:tcBorders>
              <w:top w:val="nil"/>
              <w:left w:val="nil"/>
              <w:bottom w:val="nil"/>
              <w:right w:val="nil"/>
            </w:tcBorders>
            <w:shd w:val="clear" w:color="auto" w:fill="auto"/>
            <w:noWrap/>
            <w:vAlign w:val="bottom"/>
            <w:hideMark/>
          </w:tcPr>
          <w:p w14:paraId="79B8995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39DF3D6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4443651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638" w:type="dxa"/>
            <w:tcBorders>
              <w:top w:val="nil"/>
              <w:left w:val="nil"/>
              <w:bottom w:val="nil"/>
              <w:right w:val="nil"/>
            </w:tcBorders>
            <w:shd w:val="clear" w:color="auto" w:fill="auto"/>
            <w:noWrap/>
            <w:vAlign w:val="bottom"/>
            <w:hideMark/>
          </w:tcPr>
          <w:p w14:paraId="68893668"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w:t>
            </w:r>
            <w:proofErr w:type="gramStart"/>
            <w:r>
              <w:rPr>
                <w:rFonts w:ascii="Calibri" w:hAnsi="Calibri" w:cs="Calibri"/>
                <w:color w:val="000000"/>
                <w:sz w:val="22"/>
                <w:szCs w:val="22"/>
              </w:rPr>
              <w:t>( 7.0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72F92FE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 (16.7) </w:t>
            </w:r>
          </w:p>
        </w:tc>
        <w:tc>
          <w:tcPr>
            <w:tcW w:w="1437" w:type="dxa"/>
            <w:tcBorders>
              <w:top w:val="nil"/>
              <w:left w:val="nil"/>
              <w:bottom w:val="nil"/>
              <w:right w:val="nil"/>
            </w:tcBorders>
            <w:shd w:val="clear" w:color="auto" w:fill="auto"/>
            <w:noWrap/>
            <w:vAlign w:val="bottom"/>
            <w:hideMark/>
          </w:tcPr>
          <w:p w14:paraId="5CB0E33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r>
      <w:tr w:rsidR="00B15694" w:rsidRPr="00213F7D" w14:paraId="51109EDF" w14:textId="77777777" w:rsidTr="00711947">
        <w:trPr>
          <w:trHeight w:val="288"/>
        </w:trPr>
        <w:tc>
          <w:tcPr>
            <w:tcW w:w="2268" w:type="dxa"/>
            <w:tcBorders>
              <w:top w:val="nil"/>
              <w:left w:val="nil"/>
              <w:bottom w:val="nil"/>
              <w:right w:val="nil"/>
            </w:tcBorders>
            <w:shd w:val="clear" w:color="auto" w:fill="auto"/>
            <w:noWrap/>
            <w:vAlign w:val="bottom"/>
            <w:hideMark/>
          </w:tcPr>
          <w:p w14:paraId="3C433493"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w:t>
            </w:r>
            <w:proofErr w:type="spellStart"/>
            <w:r w:rsidRPr="00213F7D">
              <w:rPr>
                <w:rFonts w:ascii="Calibri" w:hAnsi="Calibri" w:cs="Calibri"/>
                <w:color w:val="000000"/>
                <w:sz w:val="22"/>
                <w:szCs w:val="22"/>
                <w:lang w:val="en-GB" w:eastAsia="en-GB"/>
              </w:rPr>
              <w:t>IIa</w:t>
            </w:r>
            <w:proofErr w:type="spellEnd"/>
          </w:p>
        </w:tc>
        <w:tc>
          <w:tcPr>
            <w:tcW w:w="1134" w:type="dxa"/>
            <w:tcBorders>
              <w:top w:val="nil"/>
              <w:left w:val="nil"/>
              <w:bottom w:val="nil"/>
              <w:right w:val="nil"/>
            </w:tcBorders>
            <w:shd w:val="clear" w:color="auto" w:fill="auto"/>
            <w:noWrap/>
            <w:vAlign w:val="bottom"/>
            <w:hideMark/>
          </w:tcPr>
          <w:p w14:paraId="7944B58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(11.4) </w:t>
            </w:r>
          </w:p>
        </w:tc>
        <w:tc>
          <w:tcPr>
            <w:tcW w:w="1588" w:type="dxa"/>
            <w:tcBorders>
              <w:top w:val="nil"/>
              <w:left w:val="nil"/>
              <w:bottom w:val="nil"/>
              <w:right w:val="nil"/>
            </w:tcBorders>
            <w:shd w:val="clear" w:color="auto" w:fill="auto"/>
            <w:noWrap/>
            <w:vAlign w:val="bottom"/>
            <w:hideMark/>
          </w:tcPr>
          <w:p w14:paraId="5BF4085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820" w:type="dxa"/>
            <w:tcBorders>
              <w:top w:val="nil"/>
              <w:left w:val="nil"/>
              <w:bottom w:val="nil"/>
              <w:right w:val="nil"/>
            </w:tcBorders>
            <w:shd w:val="clear" w:color="auto" w:fill="auto"/>
            <w:noWrap/>
            <w:vAlign w:val="bottom"/>
            <w:hideMark/>
          </w:tcPr>
          <w:p w14:paraId="3BF1538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341DBB3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73A49CD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w:t>
            </w:r>
            <w:proofErr w:type="gramStart"/>
            <w:r>
              <w:rPr>
                <w:rFonts w:ascii="Calibri" w:hAnsi="Calibri" w:cs="Calibri"/>
                <w:color w:val="000000"/>
                <w:sz w:val="22"/>
                <w:szCs w:val="22"/>
              </w:rPr>
              <w:t>( 9.3</w:t>
            </w:r>
            <w:proofErr w:type="gramEnd"/>
            <w:r>
              <w:rPr>
                <w:rFonts w:ascii="Calibri" w:hAnsi="Calibri" w:cs="Calibri"/>
                <w:color w:val="000000"/>
                <w:sz w:val="22"/>
                <w:szCs w:val="22"/>
              </w:rPr>
              <w:t xml:space="preserve">) </w:t>
            </w:r>
          </w:p>
        </w:tc>
        <w:tc>
          <w:tcPr>
            <w:tcW w:w="1638" w:type="dxa"/>
            <w:tcBorders>
              <w:top w:val="nil"/>
              <w:left w:val="nil"/>
              <w:bottom w:val="nil"/>
              <w:right w:val="nil"/>
            </w:tcBorders>
            <w:shd w:val="clear" w:color="auto" w:fill="auto"/>
            <w:noWrap/>
            <w:vAlign w:val="bottom"/>
            <w:hideMark/>
          </w:tcPr>
          <w:p w14:paraId="0D21350E"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w:t>
            </w:r>
            <w:proofErr w:type="gramStart"/>
            <w:r>
              <w:rPr>
                <w:rFonts w:ascii="Calibri" w:hAnsi="Calibri" w:cs="Calibri"/>
                <w:color w:val="000000"/>
                <w:sz w:val="22"/>
                <w:szCs w:val="22"/>
              </w:rPr>
              <w:t>( 7.0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4DFD0AD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7F96A3A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(13.0) </w:t>
            </w:r>
          </w:p>
        </w:tc>
      </w:tr>
      <w:tr w:rsidR="00B15694" w:rsidRPr="00213F7D" w14:paraId="66EC0C05" w14:textId="77777777" w:rsidTr="00711947">
        <w:trPr>
          <w:trHeight w:val="288"/>
        </w:trPr>
        <w:tc>
          <w:tcPr>
            <w:tcW w:w="2268" w:type="dxa"/>
            <w:tcBorders>
              <w:top w:val="nil"/>
              <w:left w:val="nil"/>
              <w:bottom w:val="nil"/>
              <w:right w:val="nil"/>
            </w:tcBorders>
            <w:shd w:val="clear" w:color="auto" w:fill="auto"/>
            <w:noWrap/>
            <w:vAlign w:val="bottom"/>
            <w:hideMark/>
          </w:tcPr>
          <w:p w14:paraId="05ABB831"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IIb</w:t>
            </w:r>
          </w:p>
        </w:tc>
        <w:tc>
          <w:tcPr>
            <w:tcW w:w="1134" w:type="dxa"/>
            <w:tcBorders>
              <w:top w:val="nil"/>
              <w:left w:val="nil"/>
              <w:bottom w:val="nil"/>
              <w:right w:val="nil"/>
            </w:tcBorders>
            <w:shd w:val="clear" w:color="auto" w:fill="auto"/>
            <w:noWrap/>
            <w:vAlign w:val="bottom"/>
            <w:hideMark/>
          </w:tcPr>
          <w:p w14:paraId="27C5E7D9"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31 (70.5) </w:t>
            </w:r>
          </w:p>
        </w:tc>
        <w:tc>
          <w:tcPr>
            <w:tcW w:w="1588" w:type="dxa"/>
            <w:tcBorders>
              <w:top w:val="nil"/>
              <w:left w:val="nil"/>
              <w:bottom w:val="nil"/>
              <w:right w:val="nil"/>
            </w:tcBorders>
            <w:shd w:val="clear" w:color="auto" w:fill="auto"/>
            <w:noWrap/>
            <w:vAlign w:val="bottom"/>
            <w:hideMark/>
          </w:tcPr>
          <w:p w14:paraId="6E5C449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31 (72.1) </w:t>
            </w:r>
          </w:p>
        </w:tc>
        <w:tc>
          <w:tcPr>
            <w:tcW w:w="1820" w:type="dxa"/>
            <w:tcBorders>
              <w:top w:val="nil"/>
              <w:left w:val="nil"/>
              <w:bottom w:val="nil"/>
              <w:right w:val="nil"/>
            </w:tcBorders>
            <w:shd w:val="clear" w:color="auto" w:fill="auto"/>
            <w:noWrap/>
            <w:vAlign w:val="bottom"/>
            <w:hideMark/>
          </w:tcPr>
          <w:p w14:paraId="64BFA5F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43 (100.0) </w:t>
            </w:r>
          </w:p>
        </w:tc>
        <w:tc>
          <w:tcPr>
            <w:tcW w:w="1341" w:type="dxa"/>
            <w:tcBorders>
              <w:top w:val="nil"/>
              <w:left w:val="nil"/>
              <w:bottom w:val="nil"/>
              <w:right w:val="nil"/>
            </w:tcBorders>
            <w:shd w:val="clear" w:color="auto" w:fill="auto"/>
            <w:noWrap/>
            <w:vAlign w:val="bottom"/>
            <w:hideMark/>
          </w:tcPr>
          <w:p w14:paraId="274E408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43 (100.0) </w:t>
            </w:r>
          </w:p>
        </w:tc>
        <w:tc>
          <w:tcPr>
            <w:tcW w:w="1413" w:type="dxa"/>
            <w:tcBorders>
              <w:top w:val="nil"/>
              <w:left w:val="nil"/>
              <w:bottom w:val="nil"/>
              <w:right w:val="nil"/>
            </w:tcBorders>
            <w:shd w:val="clear" w:color="auto" w:fill="auto"/>
            <w:noWrap/>
            <w:vAlign w:val="bottom"/>
            <w:hideMark/>
          </w:tcPr>
          <w:p w14:paraId="000D7DE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21 (48.8) </w:t>
            </w:r>
          </w:p>
        </w:tc>
        <w:tc>
          <w:tcPr>
            <w:tcW w:w="1638" w:type="dxa"/>
            <w:tcBorders>
              <w:top w:val="nil"/>
              <w:left w:val="nil"/>
              <w:bottom w:val="nil"/>
              <w:right w:val="nil"/>
            </w:tcBorders>
            <w:shd w:val="clear" w:color="auto" w:fill="auto"/>
            <w:noWrap/>
            <w:vAlign w:val="bottom"/>
            <w:hideMark/>
          </w:tcPr>
          <w:p w14:paraId="20A446D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35 (81.4) </w:t>
            </w:r>
          </w:p>
        </w:tc>
        <w:tc>
          <w:tcPr>
            <w:tcW w:w="1363" w:type="dxa"/>
            <w:tcBorders>
              <w:top w:val="nil"/>
              <w:left w:val="nil"/>
              <w:bottom w:val="nil"/>
              <w:right w:val="nil"/>
            </w:tcBorders>
            <w:shd w:val="clear" w:color="auto" w:fill="auto"/>
            <w:noWrap/>
            <w:vAlign w:val="bottom"/>
            <w:hideMark/>
          </w:tcPr>
          <w:p w14:paraId="593D540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20CCABE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16 (69.6) </w:t>
            </w:r>
          </w:p>
        </w:tc>
      </w:tr>
      <w:tr w:rsidR="00B15694" w:rsidRPr="00213F7D" w14:paraId="07D67561" w14:textId="77777777" w:rsidTr="00711947">
        <w:trPr>
          <w:trHeight w:val="288"/>
        </w:trPr>
        <w:tc>
          <w:tcPr>
            <w:tcW w:w="2268" w:type="dxa"/>
            <w:tcBorders>
              <w:top w:val="nil"/>
              <w:left w:val="nil"/>
              <w:bottom w:val="nil"/>
              <w:right w:val="nil"/>
            </w:tcBorders>
            <w:shd w:val="clear" w:color="auto" w:fill="auto"/>
            <w:noWrap/>
            <w:vAlign w:val="bottom"/>
            <w:hideMark/>
          </w:tcPr>
          <w:p w14:paraId="0895F7C2"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III</w:t>
            </w:r>
          </w:p>
        </w:tc>
        <w:tc>
          <w:tcPr>
            <w:tcW w:w="1134" w:type="dxa"/>
            <w:tcBorders>
              <w:top w:val="nil"/>
              <w:left w:val="nil"/>
              <w:bottom w:val="nil"/>
              <w:right w:val="nil"/>
            </w:tcBorders>
            <w:shd w:val="clear" w:color="auto" w:fill="auto"/>
            <w:noWrap/>
            <w:vAlign w:val="bottom"/>
            <w:hideMark/>
          </w:tcPr>
          <w:p w14:paraId="7C4E7C1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w:t>
            </w:r>
            <w:proofErr w:type="gramStart"/>
            <w:r>
              <w:rPr>
                <w:rFonts w:ascii="Calibri" w:hAnsi="Calibri" w:cs="Calibri"/>
                <w:color w:val="000000"/>
                <w:sz w:val="22"/>
                <w:szCs w:val="22"/>
              </w:rPr>
              <w:t>( 6.8</w:t>
            </w:r>
            <w:proofErr w:type="gramEnd"/>
            <w:r>
              <w:rPr>
                <w:rFonts w:ascii="Calibri" w:hAnsi="Calibri" w:cs="Calibri"/>
                <w:color w:val="000000"/>
                <w:sz w:val="22"/>
                <w:szCs w:val="22"/>
              </w:rPr>
              <w:t xml:space="preserve">) </w:t>
            </w:r>
          </w:p>
        </w:tc>
        <w:tc>
          <w:tcPr>
            <w:tcW w:w="1588" w:type="dxa"/>
            <w:tcBorders>
              <w:top w:val="nil"/>
              <w:left w:val="nil"/>
              <w:bottom w:val="nil"/>
              <w:right w:val="nil"/>
            </w:tcBorders>
            <w:shd w:val="clear" w:color="auto" w:fill="auto"/>
            <w:noWrap/>
            <w:vAlign w:val="bottom"/>
            <w:hideMark/>
          </w:tcPr>
          <w:p w14:paraId="69FB0AB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2 </w:t>
            </w:r>
            <w:proofErr w:type="gramStart"/>
            <w:r>
              <w:rPr>
                <w:rFonts w:ascii="Calibri" w:hAnsi="Calibri" w:cs="Calibri"/>
                <w:color w:val="000000"/>
                <w:sz w:val="22"/>
                <w:szCs w:val="22"/>
              </w:rPr>
              <w:t>( 4.7</w:t>
            </w:r>
            <w:proofErr w:type="gramEnd"/>
            <w:r>
              <w:rPr>
                <w:rFonts w:ascii="Calibri" w:hAnsi="Calibri" w:cs="Calibri"/>
                <w:color w:val="000000"/>
                <w:sz w:val="22"/>
                <w:szCs w:val="22"/>
              </w:rPr>
              <w:t xml:space="preserve">) </w:t>
            </w:r>
          </w:p>
        </w:tc>
        <w:tc>
          <w:tcPr>
            <w:tcW w:w="1820" w:type="dxa"/>
            <w:tcBorders>
              <w:top w:val="nil"/>
              <w:left w:val="nil"/>
              <w:bottom w:val="nil"/>
              <w:right w:val="nil"/>
            </w:tcBorders>
            <w:shd w:val="clear" w:color="auto" w:fill="auto"/>
            <w:noWrap/>
            <w:vAlign w:val="bottom"/>
            <w:hideMark/>
          </w:tcPr>
          <w:p w14:paraId="5ED70DA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7B32E30E"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6A3D7CCE"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8 (18.6) </w:t>
            </w:r>
          </w:p>
        </w:tc>
        <w:tc>
          <w:tcPr>
            <w:tcW w:w="1638" w:type="dxa"/>
            <w:tcBorders>
              <w:top w:val="nil"/>
              <w:left w:val="nil"/>
              <w:bottom w:val="nil"/>
              <w:right w:val="nil"/>
            </w:tcBorders>
            <w:shd w:val="clear" w:color="auto" w:fill="auto"/>
            <w:noWrap/>
            <w:vAlign w:val="bottom"/>
            <w:hideMark/>
          </w:tcPr>
          <w:p w14:paraId="53E9DA4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2 </w:t>
            </w:r>
            <w:proofErr w:type="gramStart"/>
            <w:r>
              <w:rPr>
                <w:rFonts w:ascii="Calibri" w:hAnsi="Calibri" w:cs="Calibri"/>
                <w:color w:val="000000"/>
                <w:sz w:val="22"/>
                <w:szCs w:val="22"/>
              </w:rPr>
              <w:t>( 4.7</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4D66CD4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5 (83.3) </w:t>
            </w:r>
          </w:p>
        </w:tc>
        <w:tc>
          <w:tcPr>
            <w:tcW w:w="1437" w:type="dxa"/>
            <w:tcBorders>
              <w:top w:val="nil"/>
              <w:left w:val="nil"/>
              <w:bottom w:val="nil"/>
              <w:right w:val="nil"/>
            </w:tcBorders>
            <w:shd w:val="clear" w:color="auto" w:fill="auto"/>
            <w:noWrap/>
            <w:vAlign w:val="bottom"/>
            <w:hideMark/>
          </w:tcPr>
          <w:p w14:paraId="7BDDD23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(17.4) </w:t>
            </w:r>
          </w:p>
        </w:tc>
      </w:tr>
    </w:tbl>
    <w:p w14:paraId="4961C535" w14:textId="77777777" w:rsidR="00B15694" w:rsidRDefault="00B15694" w:rsidP="00B15694"/>
    <w:p w14:paraId="4B160D2C" w14:textId="77777777" w:rsidR="00B15694" w:rsidRDefault="00B15694" w:rsidP="00B15694">
      <w:pPr>
        <w:sectPr w:rsidR="00B15694" w:rsidSect="00B15694">
          <w:footnotePr>
            <w:numFmt w:val="lowerRoman"/>
          </w:footnotePr>
          <w:pgSz w:w="16838" w:h="11906" w:orient="landscape"/>
          <w:pgMar w:top="1418" w:right="1418" w:bottom="1418" w:left="1418" w:header="709" w:footer="709" w:gutter="0"/>
          <w:cols w:space="708"/>
          <w:docGrid w:linePitch="360"/>
        </w:sectPr>
      </w:pPr>
    </w:p>
    <w:p w14:paraId="46D75A38" w14:textId="17E86FCF" w:rsidR="00B15694" w:rsidRPr="00B34B28" w:rsidRDefault="00B15694" w:rsidP="00B15694"/>
    <w:p w14:paraId="4EACF9A0" w14:textId="77777777" w:rsidR="00B15694" w:rsidRPr="00A1060D" w:rsidRDefault="00B15694" w:rsidP="00B15694">
      <w:pPr>
        <w:rPr>
          <w:lang w:val="en-GB"/>
        </w:rPr>
      </w:pPr>
    </w:p>
    <w:p w14:paraId="666FB8AE" w14:textId="77777777" w:rsidR="00B15694" w:rsidRPr="009F0A93" w:rsidRDefault="00B15694" w:rsidP="009F0A93">
      <w:pPr>
        <w:spacing w:line="276" w:lineRule="auto"/>
        <w:rPr>
          <w:rFonts w:ascii="Calibri" w:hAnsi="Calibri" w:cs="Calibri"/>
          <w:i/>
          <w:iCs/>
        </w:rPr>
      </w:pP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proofErr w:type="spellStart"/>
      <w:r w:rsidRPr="00EC16D2">
        <w:rPr>
          <w:rFonts w:ascii="Calibri" w:eastAsia="Calibri" w:hAnsi="Calibri" w:cs="Calibri"/>
        </w:rPr>
        <w:t>Retel</w:t>
      </w:r>
      <w:proofErr w:type="spellEnd"/>
      <w:r w:rsidRPr="00EC16D2">
        <w:rPr>
          <w:rFonts w:ascii="Calibri" w:eastAsia="Calibri" w:hAnsi="Calibri" w:cs="Calibri"/>
        </w:rPr>
        <w:t xml:space="preserve"> </w:t>
      </w:r>
      <w:proofErr w:type="spellStart"/>
      <w:r w:rsidRPr="00EC16D2">
        <w:rPr>
          <w:rFonts w:ascii="Calibri" w:eastAsia="Calibri" w:hAnsi="Calibri" w:cs="Calibri"/>
        </w:rPr>
        <w:t>Helmrich</w:t>
      </w:r>
      <w:proofErr w:type="spellEnd"/>
      <w:r w:rsidRPr="00EC16D2">
        <w:rPr>
          <w:rFonts w:ascii="Calibri" w:eastAsia="Calibri" w:hAnsi="Calibri" w:cs="Calibri"/>
        </w:rPr>
        <w:t xml:space="preserve"> and Ernest van Veen are </w:t>
      </w:r>
      <w:r w:rsidRPr="00EC16D2">
        <w:rPr>
          <w:rFonts w:ascii="Calibri" w:hAnsi="Calibri" w:cs="Calibri"/>
        </w:rPr>
        <w:t>supported by the European Union 7th Framework program (Center-TBI, EC grant 602150). Eline Krijkamp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18EE40D2" w:rsidR="004A2A67" w:rsidRPr="00890CC8" w:rsidRDefault="00C35271" w:rsidP="00890CC8">
      <w:r>
        <w:rPr>
          <w:rFonts w:ascii="Calibri" w:hAnsi="Calibri" w:cs="Calibri"/>
        </w:rPr>
        <w:t xml:space="preserve">We are grateful for Lisa </w:t>
      </w:r>
      <w:proofErr w:type="spellStart"/>
      <w:r>
        <w:rPr>
          <w:rFonts w:ascii="Calibri" w:hAnsi="Calibri" w:cs="Calibri"/>
        </w:rPr>
        <w:t>Caulley</w:t>
      </w:r>
      <w:proofErr w:type="spellEnd"/>
      <w:r>
        <w:rPr>
          <w:rFonts w:ascii="Calibri" w:hAnsi="Calibri" w:cs="Calibri"/>
        </w:rPr>
        <w:t xml:space="preserve"> for her </w:t>
      </w:r>
      <w:r w:rsidR="00890CC8">
        <w:rPr>
          <w:rFonts w:ascii="Calibri" w:hAnsi="Calibri" w:cs="Calibri"/>
        </w:rPr>
        <w:t>suggestions to revise</w:t>
      </w:r>
      <w:r>
        <w:rPr>
          <w:rFonts w:ascii="Calibri" w:hAnsi="Calibri" w:cs="Calibri"/>
        </w:rPr>
        <w:t xml:space="preserve"> the final manuscript. </w:t>
      </w:r>
      <w:r w:rsidR="004A2A67" w:rsidRPr="00EC16D2">
        <w:rPr>
          <w:rFonts w:ascii="Calibri" w:hAnsi="Calibri" w:cs="Calibri"/>
        </w:rPr>
        <w:t xml:space="preserve">We are grateful for H. </w:t>
      </w:r>
      <w:proofErr w:type="spellStart"/>
      <w:r w:rsidR="004A2A67" w:rsidRPr="00EC16D2">
        <w:rPr>
          <w:rFonts w:ascii="Calibri" w:hAnsi="Calibri" w:cs="Calibri"/>
        </w:rPr>
        <w:t>Karreman</w:t>
      </w:r>
      <w:proofErr w:type="spellEnd"/>
      <w:r w:rsidR="004A2A67" w:rsidRPr="00EC16D2">
        <w:rPr>
          <w:rFonts w:ascii="Calibri" w:hAnsi="Calibri" w:cs="Calibri"/>
        </w:rPr>
        <w:t xml:space="preserve"> and C. Van der Velden</w:t>
      </w:r>
      <w:r w:rsidR="00A820E7">
        <w:rPr>
          <w:rFonts w:ascii="Calibri" w:hAnsi="Calibri" w:cs="Calibri"/>
        </w:rPr>
        <w:t>-</w:t>
      </w:r>
      <w:r w:rsidR="004A2A67" w:rsidRPr="00EC16D2">
        <w:rPr>
          <w:rFonts w:ascii="Calibri" w:hAnsi="Calibri" w:cs="Calibri"/>
        </w:rPr>
        <w:t xml:space="preserve">van der Graaf for the work they have done for the quality of life data collection. Moreover, we want to thank Ruben </w:t>
      </w:r>
      <w:proofErr w:type="spellStart"/>
      <w:r w:rsidR="004A2A67" w:rsidRPr="00EC16D2">
        <w:rPr>
          <w:rFonts w:ascii="Calibri" w:hAnsi="Calibri" w:cs="Calibri"/>
        </w:rPr>
        <w:t>Goedhar</w:t>
      </w:r>
      <w:r w:rsidR="00114F8D" w:rsidRPr="00EC16D2">
        <w:rPr>
          <w:rFonts w:ascii="Calibri" w:hAnsi="Calibri" w:cs="Calibri"/>
        </w:rPr>
        <w:t>t</w:t>
      </w:r>
      <w:proofErr w:type="spellEnd"/>
      <w:r w:rsidR="00114F8D" w:rsidRPr="00EC16D2">
        <w:rPr>
          <w:rFonts w:ascii="Calibri" w:hAnsi="Calibri" w:cs="Calibri"/>
        </w:rPr>
        <w:t xml:space="preserve">, Esther van </w:t>
      </w:r>
      <w:proofErr w:type="spellStart"/>
      <w:r w:rsidR="00114F8D" w:rsidRPr="00EC16D2">
        <w:rPr>
          <w:rFonts w:ascii="Calibri" w:hAnsi="Calibri" w:cs="Calibri"/>
        </w:rPr>
        <w:t>Spronsen</w:t>
      </w:r>
      <w:proofErr w:type="spellEnd"/>
      <w:r w:rsidR="00114F8D" w:rsidRPr="00EC16D2">
        <w:rPr>
          <w:rFonts w:ascii="Calibri" w:hAnsi="Calibri" w:cs="Calibri"/>
        </w:rPr>
        <w:t xml:space="preserve"> and Linda van der </w:t>
      </w:r>
      <w:proofErr w:type="spellStart"/>
      <w:r w:rsidR="00114F8D" w:rsidRPr="00EC16D2">
        <w:rPr>
          <w:rFonts w:ascii="Calibri" w:hAnsi="Calibri" w:cs="Calibri"/>
        </w:rPr>
        <w:t>Sluijs</w:t>
      </w:r>
      <w:proofErr w:type="spellEnd"/>
      <w:r w:rsidR="00114F8D" w:rsidRPr="00EC16D2">
        <w:rPr>
          <w:rFonts w:ascii="Calibri" w:hAnsi="Calibri" w:cs="Calibri"/>
        </w:rPr>
        <w:t xml:space="preserve"> – van der </w:t>
      </w:r>
      <w:proofErr w:type="spellStart"/>
      <w:r w:rsidR="00114F8D" w:rsidRPr="00EC16D2">
        <w:rPr>
          <w:rFonts w:ascii="Calibri" w:hAnsi="Calibri" w:cs="Calibri"/>
        </w:rPr>
        <w:t>Beek</w:t>
      </w:r>
      <w:proofErr w:type="spellEnd"/>
      <w:r w:rsidR="00114F8D" w:rsidRPr="00EC16D2">
        <w:rPr>
          <w:rFonts w:ascii="Calibri" w:hAnsi="Calibri" w:cs="Calibri"/>
        </w:rPr>
        <w:t xml:space="preserve">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Heading2"/>
        <w:spacing w:line="276" w:lineRule="auto"/>
        <w:rPr>
          <w:rFonts w:ascii="Calibri" w:hAnsi="Calibri" w:cs="Calibri"/>
          <w:lang w:val="en-US"/>
        </w:rPr>
      </w:pPr>
      <w:r w:rsidRPr="00B736D9">
        <w:rPr>
          <w:rFonts w:ascii="Calibri" w:hAnsi="Calibri" w:cs="Calibri"/>
          <w:lang w:val="en-US"/>
        </w:rPr>
        <w:t>Appendix C</w:t>
      </w:r>
    </w:p>
    <w:p w14:paraId="74072081" w14:textId="7308FD60" w:rsidR="00FE78B2" w:rsidRPr="0092480E" w:rsidRDefault="00B537D2" w:rsidP="00FE78B2">
      <w:pPr>
        <w:spacing w:line="276" w:lineRule="auto"/>
        <w:rPr>
          <w:rFonts w:ascii="Calibri" w:eastAsia="Calibri" w:hAnsi="Calibri" w:cs="Calibri"/>
        </w:rPr>
      </w:pPr>
      <w:r>
        <w:rPr>
          <w:rFonts w:ascii="Calibri" w:eastAsia="Calibri" w:hAnsi="Calibri" w:cs="Calibri"/>
        </w:rPr>
        <w:t>In-dept methods</w:t>
      </w:r>
      <w:r w:rsidR="00FE78B2">
        <w:rPr>
          <w:rFonts w:ascii="Calibri" w:eastAsia="Calibri" w:hAnsi="Calibri" w:cs="Calibri"/>
        </w:rPr>
        <w:t xml:space="preserve"> description</w:t>
      </w:r>
      <w:r w:rsidR="00285839">
        <w:rPr>
          <w:rFonts w:ascii="Calibri" w:eastAsia="Calibri" w:hAnsi="Calibri" w:cs="Calibri"/>
        </w:rPr>
        <w:t>.</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076F171B" w14:textId="24F443B4" w:rsidR="009B688A" w:rsidRPr="009B688A" w:rsidRDefault="0065107A" w:rsidP="009B688A">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9B688A" w:rsidRPr="009B688A">
        <w:rPr>
          <w:rFonts w:ascii="Calibri" w:hAnsi="Calibri" w:cs="Calibri"/>
          <w:noProof/>
          <w:sz w:val="20"/>
        </w:rPr>
        <w:t xml:space="preserve">1. </w:t>
      </w:r>
      <w:r w:rsidR="009B688A" w:rsidRPr="009B688A">
        <w:rPr>
          <w:rFonts w:ascii="Calibri" w:hAnsi="Calibri" w:cs="Calibri"/>
          <w:noProof/>
          <w:sz w:val="20"/>
        </w:rPr>
        <w:tab/>
        <w:t xml:space="preserve">Office of the Assistant Secretary for Preparedness H. Pandemic Influenza Plan - Update IV (December 2017). 2017. </w:t>
      </w:r>
    </w:p>
    <w:p w14:paraId="4BD6144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 </w:t>
      </w:r>
      <w:r w:rsidRPr="009B688A">
        <w:rPr>
          <w:rFonts w:ascii="Calibri" w:hAnsi="Calibri" w:cs="Calibri"/>
          <w:noProof/>
          <w:sz w:val="20"/>
        </w:rPr>
        <w:tab/>
        <w:t xml:space="preserve">Emanuel EJ, Persad G, Upshur R, et al. Fair Allocation of Scarce Medical Resources in the Time of Covid-19. N Engl J Med 2020;1–7. </w:t>
      </w:r>
    </w:p>
    <w:p w14:paraId="6ED53E8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 </w:t>
      </w:r>
      <w:r w:rsidRPr="009B688A">
        <w:rPr>
          <w:rFonts w:ascii="Calibri" w:hAnsi="Calibri" w:cs="Calibri"/>
          <w:noProof/>
          <w:sz w:val="20"/>
        </w:rPr>
        <w:tab/>
        <w:t xml:space="preserve">D’Agostino A, Demartini B, Cavallotti S, Gambini O. Mental health services in Italy during the COVID-19 outbreak. The Lancet Psychiatry. 2020;7(5):385–7. </w:t>
      </w:r>
    </w:p>
    <w:p w14:paraId="05CCFDF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 </w:t>
      </w:r>
      <w:r w:rsidRPr="009B688A">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2436B6E2" w14:textId="43732D5F"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 </w:t>
      </w:r>
      <w:r w:rsidRPr="009B688A">
        <w:rPr>
          <w:rFonts w:ascii="Calibri" w:hAnsi="Calibri" w:cs="Calibri"/>
          <w:noProof/>
          <w:sz w:val="20"/>
        </w:rPr>
        <w:tab/>
        <w:t xml:space="preserve">Harahsheh AS, Dahdah N, Newburger JW, et al. Missed or Delayed Diagnosis of Kawasaki Disease During the 2019 Novel Coronavirus Disease (COVID-19) Pandemic. J Pediatr Pandemic J Pediatr  2020 [cited 2020 May 15];Available from: </w:t>
      </w:r>
      <w:bookmarkStart w:id="0" w:name="_GoBack"/>
      <w:r w:rsidRPr="009B688A">
        <w:rPr>
          <w:rFonts w:ascii="Calibri" w:hAnsi="Calibri" w:cs="Calibri"/>
          <w:noProof/>
          <w:sz w:val="20"/>
        </w:rPr>
        <w:t>https://doi.org/10.1016/j.jpeds.2020.04.052</w:t>
      </w:r>
      <w:bookmarkEnd w:id="0"/>
      <w:r w:rsidRPr="009B688A">
        <w:rPr>
          <w:rFonts w:ascii="Calibri" w:hAnsi="Calibri" w:cs="Calibri"/>
          <w:noProof/>
          <w:sz w:val="20"/>
        </w:rPr>
        <w:t>.</w:t>
      </w:r>
    </w:p>
    <w:p w14:paraId="6212B5A5" w14:textId="71AAE07E"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 </w:t>
      </w:r>
      <w:r w:rsidRPr="009B688A">
        <w:rPr>
          <w:rFonts w:ascii="Calibri" w:hAnsi="Calibri" w:cs="Calibri"/>
          <w:noProof/>
          <w:sz w:val="20"/>
        </w:rPr>
        <w:tab/>
        <w:t xml:space="preserve">Chang H-J, Huang N, Lee C-H, Hsu Y-J, Hsieh C-J, Chou Y-J. The Impact of the SARS Epidemic on the Utilization of Medical Services: SARS and the Fear of SARS. Am J Public Health 2004;94(4):562–4. </w:t>
      </w:r>
    </w:p>
    <w:p w14:paraId="02CF67F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 </w:t>
      </w:r>
      <w:r w:rsidRPr="009B688A">
        <w:rPr>
          <w:rFonts w:ascii="Calibri" w:hAnsi="Calibri" w:cs="Calibri"/>
          <w:noProof/>
          <w:sz w:val="20"/>
        </w:rPr>
        <w:tab/>
        <w:t>NZA. Analyse van de gevolgen van de coronacrisis voor de reguliere zorg [Internet]. 2020 [cited 2020 May 17]. Available from: https://zorgdomein.com/media/documents/NZa-analyse_van_de_gevolgen_van_de_coronacrisis_voor_de_reguliere_zorg_-....pdf</w:t>
      </w:r>
    </w:p>
    <w:p w14:paraId="69D42D3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 </w:t>
      </w:r>
      <w:r w:rsidRPr="009B688A">
        <w:rPr>
          <w:rFonts w:ascii="Calibri" w:hAnsi="Calibri" w:cs="Calibri"/>
          <w:noProof/>
          <w:sz w:val="20"/>
        </w:rPr>
        <w:tab/>
        <w:t xml:space="preserve">Sud A, Jones M, Broggio J, et al. Collateral damage: the impact on outcomes from cancer surgery of the COVID-19 pandemic. Ann Oncol 2020;13:19. </w:t>
      </w:r>
    </w:p>
    <w:p w14:paraId="0BD7A9E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lastRenderedPageBreak/>
        <w:t xml:space="preserve">9. </w:t>
      </w:r>
      <w:r w:rsidRPr="009B688A">
        <w:rPr>
          <w:rFonts w:ascii="Calibri" w:hAnsi="Calibri" w:cs="Calibri"/>
          <w:noProof/>
          <w:sz w:val="20"/>
        </w:rPr>
        <w:tab/>
        <w:t>Powell SN, Mullen T, Young L, Heald D, Iv ETP. SARS-CoV-2 Impact on Elective Orthopaedic Surgery: Implications for Post-Pandemic Recovery. J Bone Jt Surg  2020;</w:t>
      </w:r>
    </w:p>
    <w:p w14:paraId="6B9E6E6A" w14:textId="14143271"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10. </w:t>
      </w:r>
      <w:r w:rsidRPr="009B688A">
        <w:rPr>
          <w:rFonts w:ascii="Calibri" w:hAnsi="Calibri" w:cs="Calibri"/>
          <w:noProof/>
          <w:sz w:val="20"/>
        </w:rPr>
        <w:tab/>
        <w:t>Salenger R, Etchill EW, Ad N, et al. The Surge after the Surge: Cardiac Surgery post-COVID-19. Ann Thorac Surg 2020 [cited 2020 Jun 15];Available from: https://linkinghub.elsevier.com/retrieve/pii/S0003497520306937</w:t>
      </w:r>
    </w:p>
    <w:p w14:paraId="37FED4BD"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11. </w:t>
      </w:r>
      <w:r w:rsidRPr="009B688A">
        <w:rPr>
          <w:rFonts w:ascii="Calibri" w:hAnsi="Calibri" w:cs="Calibri"/>
          <w:noProof/>
          <w:sz w:val="20"/>
        </w:rPr>
        <w:tab/>
        <w:t xml:space="preserve">Qadan M, Hong TS, Tanabe KK, Ryan DP, Lillemoe KD. A Multidisciplinary Team Approach for Triage of Elective Cancer Surgery at the Massachusetts General Hospital During the Novel Coronavirus COVID-19 Outbreak. Ann Surg 2020;1. </w:t>
      </w:r>
    </w:p>
    <w:p w14:paraId="463436CB" w14:textId="03D1EF36"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12. </w:t>
      </w:r>
      <w:r w:rsidRPr="009B688A">
        <w:rPr>
          <w:rFonts w:ascii="Calibri" w:hAnsi="Calibri" w:cs="Calibri"/>
          <w:noProof/>
          <w:sz w:val="20"/>
        </w:rPr>
        <w:tab/>
        <w:t xml:space="preserve">MacCormick AD, Parry BR. Judgment analysis of surgeons’ prioritization of patients for elective general surgery. Med Decis Making 2006;26(3):255–64. </w:t>
      </w:r>
    </w:p>
    <w:p w14:paraId="5C26E54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13. </w:t>
      </w:r>
      <w:r w:rsidRPr="009B688A">
        <w:rPr>
          <w:rFonts w:ascii="Calibri" w:hAnsi="Calibri" w:cs="Calibri"/>
          <w:noProof/>
          <w:sz w:val="20"/>
        </w:rPr>
        <w:tab/>
        <w:t xml:space="preserve">Garner RT, Rosen B. Moral Philosophy: A Systematic Introduction to Normative Ethics and Meta-Ethics. New York: Macmillan; 1967. </w:t>
      </w:r>
    </w:p>
    <w:p w14:paraId="5B37E03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14. </w:t>
      </w:r>
      <w:r w:rsidRPr="009B688A">
        <w:rPr>
          <w:rFonts w:ascii="Calibri" w:hAnsi="Calibri" w:cs="Calibri"/>
          <w:noProof/>
          <w:sz w:val="20"/>
        </w:rPr>
        <w:tab/>
        <w:t>Vergano M, Bertolini G, Giannini A, et al. 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09A07F2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15. </w:t>
      </w:r>
      <w:r w:rsidRPr="009B688A">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6D3A123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16. </w:t>
      </w:r>
      <w:r w:rsidRPr="009B688A">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67D8CFA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17. </w:t>
      </w:r>
      <w:r w:rsidRPr="009B688A">
        <w:rPr>
          <w:rFonts w:ascii="Calibri" w:hAnsi="Calibri" w:cs="Calibri"/>
          <w:noProof/>
          <w:sz w:val="20"/>
        </w:rPr>
        <w:tab/>
        <w:t xml:space="preserve">York State Department of Health N. VENTILATOR ALLOCATION GUIDELINES New York State Task Force on Life and the Law New York State Department of Health. 2015. </w:t>
      </w:r>
    </w:p>
    <w:p w14:paraId="03A2D1E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18. </w:t>
      </w:r>
      <w:r w:rsidRPr="009B688A">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185A2531" w14:textId="1FE887AA"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19. </w:t>
      </w:r>
      <w:r w:rsidRPr="009B688A">
        <w:rPr>
          <w:rFonts w:ascii="Calibri" w:hAnsi="Calibri" w:cs="Calibri"/>
          <w:noProof/>
          <w:sz w:val="20"/>
        </w:rPr>
        <w:tab/>
        <w:t>Siebert U, Alagoz O, Bayoumi AM, et al. State-Transition Modeling: A Report of the ISPOR-SMDM Modeling Good Research Practices Task Force-3. Value Heal</w:t>
      </w:r>
      <w:r w:rsidR="00493E2A">
        <w:rPr>
          <w:rFonts w:ascii="Calibri" w:hAnsi="Calibri" w:cs="Calibri"/>
          <w:noProof/>
          <w:sz w:val="20"/>
        </w:rPr>
        <w:t xml:space="preserve"> </w:t>
      </w:r>
      <w:r w:rsidRPr="009B688A">
        <w:rPr>
          <w:rFonts w:ascii="Calibri" w:hAnsi="Calibri" w:cs="Calibri"/>
          <w:noProof/>
          <w:sz w:val="20"/>
        </w:rPr>
        <w:t xml:space="preserve">2012;15(6):812–20. </w:t>
      </w:r>
    </w:p>
    <w:p w14:paraId="55517FB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20. </w:t>
      </w:r>
      <w:r w:rsidRPr="009B688A">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329DBB84" w14:textId="630653A5"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21. </w:t>
      </w:r>
      <w:r w:rsidRPr="009B688A">
        <w:rPr>
          <w:rFonts w:ascii="Calibri" w:hAnsi="Calibri" w:cs="Calibri"/>
          <w:noProof/>
          <w:sz w:val="20"/>
        </w:rPr>
        <w:tab/>
        <w:t xml:space="preserve">Klarman H, Rosenthal GD. Cost Effectiveness Analysis Applied to the Treatment of Chronic Renal Disease. Med Care 1968;6.1:48–54. </w:t>
      </w:r>
    </w:p>
    <w:p w14:paraId="682F929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22. </w:t>
      </w:r>
      <w:r w:rsidRPr="009B688A">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04178A5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23. </w:t>
      </w:r>
      <w:r w:rsidRPr="009B688A">
        <w:rPr>
          <w:rFonts w:ascii="Calibri" w:hAnsi="Calibri" w:cs="Calibri"/>
          <w:noProof/>
          <w:sz w:val="20"/>
        </w:rPr>
        <w:tab/>
        <w:t>R Core Team. R: A language and Environment for Statistical Computing [Internet]. 2013;Available from: https://www.r-project.org</w:t>
      </w:r>
    </w:p>
    <w:p w14:paraId="162208A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24. </w:t>
      </w:r>
      <w:r w:rsidRPr="009B688A">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32B22C6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25. </w:t>
      </w:r>
      <w:r w:rsidRPr="009B688A">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785F624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26. </w:t>
      </w:r>
      <w:r w:rsidRPr="009B688A">
        <w:rPr>
          <w:rFonts w:ascii="Calibri" w:hAnsi="Calibri" w:cs="Calibri"/>
          <w:noProof/>
          <w:sz w:val="20"/>
        </w:rPr>
        <w:tab/>
        <w:t>Salomon JA, Haagsma JA, Davis A, et al. Disability weights for the Global Burden of Disease 2013 study [Internet]. 2015 [cited 2020 May 14]. Available from: www.thelancet.com/lancetgh</w:t>
      </w:r>
    </w:p>
    <w:p w14:paraId="7E4A5AB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27. </w:t>
      </w:r>
      <w:r w:rsidRPr="009B688A">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2019;98(44):e17552. </w:t>
      </w:r>
    </w:p>
    <w:p w14:paraId="05861FEE"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28. </w:t>
      </w:r>
      <w:r w:rsidRPr="009B688A">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0583A90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29. </w:t>
      </w:r>
      <w:r w:rsidRPr="009B688A">
        <w:rPr>
          <w:rFonts w:ascii="Calibri" w:hAnsi="Calibri" w:cs="Calibri"/>
          <w:noProof/>
          <w:sz w:val="20"/>
        </w:rPr>
        <w:tab/>
        <w:t xml:space="preserve">Yusuf S, Zucker D, Passamani E, et al. Effect of coronary artery bypass graft surgery on survival: </w:t>
      </w:r>
      <w:r w:rsidRPr="009B688A">
        <w:rPr>
          <w:rFonts w:ascii="Calibri" w:hAnsi="Calibri" w:cs="Calibri"/>
          <w:noProof/>
          <w:sz w:val="20"/>
        </w:rPr>
        <w:lastRenderedPageBreak/>
        <w:t xml:space="preserve">overview of 10-year results from randomised trials by the Coronary Artery Bypass Graft Surgery Trialists Collaboration. Lancet 1994;344(8922):563–70. </w:t>
      </w:r>
    </w:p>
    <w:p w14:paraId="26F85AE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30. </w:t>
      </w:r>
      <w:r w:rsidRPr="009B688A">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20C3C58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31. </w:t>
      </w:r>
      <w:r w:rsidRPr="009B688A">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117CB63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32. </w:t>
      </w:r>
      <w:r w:rsidRPr="009B688A">
        <w:rPr>
          <w:rFonts w:ascii="Calibri" w:hAnsi="Calibri" w:cs="Calibri"/>
          <w:noProof/>
          <w:sz w:val="20"/>
        </w:rPr>
        <w:tab/>
        <w:t xml:space="preserve">Lee JN, Kwon SY, Choi GS, et al. Impact of surgical wait time on oncologic outcomes in upper urinary tract urothelial carcinoma. J Surg Oncol 2014;110(4):468–75. </w:t>
      </w:r>
    </w:p>
    <w:p w14:paraId="78661E7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33. </w:t>
      </w:r>
      <w:r w:rsidRPr="009B688A">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00AC6D1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34. </w:t>
      </w:r>
      <w:r w:rsidRPr="009B688A">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71E1D08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35. </w:t>
      </w:r>
      <w:r w:rsidRPr="009B688A">
        <w:rPr>
          <w:rFonts w:ascii="Calibri" w:hAnsi="Calibri" w:cs="Calibri"/>
          <w:noProof/>
          <w:sz w:val="20"/>
        </w:rPr>
        <w:tab/>
        <w:t>Kankersoorten - IKNL [Internet]. [cited 2020 May 19];Available from: https://iknl.nl/kankersoorten</w:t>
      </w:r>
    </w:p>
    <w:p w14:paraId="7F09248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36. </w:t>
      </w:r>
      <w:r w:rsidRPr="009B688A">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1CCB4CD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37. </w:t>
      </w:r>
      <w:r w:rsidRPr="009B688A">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3E4FF9C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38. </w:t>
      </w:r>
      <w:r w:rsidRPr="009B688A">
        <w:rPr>
          <w:rFonts w:ascii="Calibri" w:hAnsi="Calibri" w:cs="Calibri"/>
          <w:noProof/>
          <w:sz w:val="20"/>
        </w:rPr>
        <w:tab/>
        <w:t xml:space="preserve">Brewster DC, Jones JE, Chung TK, et al. Long-term outcomes after endovascular abdominal aortic aneurysm repair: The First Decade. Ann. Surg. 2006;244(3):426–36. </w:t>
      </w:r>
    </w:p>
    <w:p w14:paraId="1D2DEBB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39. </w:t>
      </w:r>
      <w:r w:rsidRPr="009B688A">
        <w:rPr>
          <w:rFonts w:ascii="Calibri" w:hAnsi="Calibri" w:cs="Calibri"/>
          <w:noProof/>
          <w:sz w:val="20"/>
        </w:rPr>
        <w:tab/>
        <w:t xml:space="preserve">Konstantinides S, Geibel A, Olschewski M, et al. A comparison of surgical and medical therapy for atrial septal defect in adults. N Engl J Med 1995;333(8):469–73. </w:t>
      </w:r>
    </w:p>
    <w:p w14:paraId="05B8633D"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40. </w:t>
      </w:r>
      <w:r w:rsidRPr="009B688A">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0DC3BE8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41. </w:t>
      </w:r>
      <w:r w:rsidRPr="009B688A">
        <w:rPr>
          <w:rFonts w:ascii="Calibri" w:hAnsi="Calibri" w:cs="Calibri"/>
          <w:noProof/>
          <w:sz w:val="20"/>
        </w:rPr>
        <w:tab/>
        <w:t xml:space="preserve">Rose EA, Gelijns AC, Moskowitz AJ, et al. Long-term use of a left ventricular assist device for end-stage heart failure. N Engl J Med 2001;345(20):1435–43. </w:t>
      </w:r>
    </w:p>
    <w:p w14:paraId="297110B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42. </w:t>
      </w:r>
      <w:r w:rsidRPr="009B688A">
        <w:rPr>
          <w:rFonts w:ascii="Calibri" w:hAnsi="Calibri" w:cs="Calibri"/>
          <w:noProof/>
          <w:sz w:val="20"/>
        </w:rPr>
        <w:tab/>
        <w:t xml:space="preserve">Mazzone E, Preisser F, Nazzani S, et al. More Extensive Lymph Node Dissection Improves Survival Benefit of Radical Cystectomy in Metastatic Urothelial Carcinoma of the Bladder. Clin Genitourin Cancer 2019;17(2):105-113.e2. </w:t>
      </w:r>
    </w:p>
    <w:p w14:paraId="719A335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43. </w:t>
      </w:r>
      <w:r w:rsidRPr="009B688A">
        <w:rPr>
          <w:rFonts w:ascii="Calibri" w:hAnsi="Calibri" w:cs="Calibri"/>
          <w:noProof/>
          <w:sz w:val="20"/>
        </w:rPr>
        <w:tab/>
        <w:t xml:space="preserve">Kann BH, Verma V, Stahl JM, et al. Multi-institutional analysis of stereotactic body radiation therapy for operable early-stage non-small cell lung carcinoma. Radiother Oncol 2019;134:44–9. </w:t>
      </w:r>
    </w:p>
    <w:p w14:paraId="43B1413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44. </w:t>
      </w:r>
      <w:r w:rsidRPr="009B688A">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021EB68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45. </w:t>
      </w:r>
      <w:r w:rsidRPr="009B688A">
        <w:rPr>
          <w:rFonts w:ascii="Calibri" w:hAnsi="Calibri" w:cs="Calibri"/>
          <w:noProof/>
          <w:sz w:val="20"/>
        </w:rPr>
        <w:tab/>
        <w:t>NHR [Internet]. [cited 2020 May 19];Available from: https://nederlandsehartregistratie.nl/</w:t>
      </w:r>
    </w:p>
    <w:p w14:paraId="6F4CA4E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46. </w:t>
      </w:r>
      <w:r w:rsidRPr="009B688A">
        <w:rPr>
          <w:rFonts w:ascii="Calibri" w:hAnsi="Calibri" w:cs="Calibri"/>
          <w:noProof/>
          <w:sz w:val="20"/>
        </w:rPr>
        <w:tab/>
        <w:t xml:space="preserve">Shalowitz DI, Epstein AJ, Ko EM, Giuntoli RL. Non-surgical management of ovarian cancer: Prevalence and implications. Gynecol Oncol 2016;142(1):30–7. </w:t>
      </w:r>
    </w:p>
    <w:p w14:paraId="6A5EAED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47. </w:t>
      </w:r>
      <w:r w:rsidRPr="009B688A">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4D669A8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48. </w:t>
      </w:r>
      <w:r w:rsidRPr="009B688A">
        <w:rPr>
          <w:rFonts w:ascii="Calibri" w:hAnsi="Calibri" w:cs="Calibri"/>
          <w:noProof/>
          <w:sz w:val="20"/>
        </w:rPr>
        <w:tab/>
        <w:t xml:space="preserve">Kim WR, Lake JR, Smith JM, et al. OPTN/SRTR 2016 Annual Data Report: Liver. Am J Transplant 2018;18:172–253. </w:t>
      </w:r>
    </w:p>
    <w:p w14:paraId="7442921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49. </w:t>
      </w:r>
      <w:r w:rsidRPr="009B688A">
        <w:rPr>
          <w:rFonts w:ascii="Calibri" w:hAnsi="Calibri" w:cs="Calibri"/>
          <w:noProof/>
          <w:sz w:val="20"/>
        </w:rPr>
        <w:tab/>
        <w:t xml:space="preserve">Muluk SC, Muluk VS, Kelley ME, et al. Outcome events in patients with claudication: A 15-year study in 2777 patients. J Vasc Surg 2001;33(2):251–8. </w:t>
      </w:r>
    </w:p>
    <w:p w14:paraId="38EA876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50. </w:t>
      </w:r>
      <w:r w:rsidRPr="009B688A">
        <w:rPr>
          <w:rFonts w:ascii="Calibri" w:hAnsi="Calibri" w:cs="Calibri"/>
          <w:noProof/>
          <w:sz w:val="20"/>
        </w:rPr>
        <w:tab/>
        <w:t xml:space="preserve">Fein DA, Mendenhall WM, Parsons JT, et al. Carcinoma of the oral tongue: A comparison of results and complications of treatment with radiotherapy and/or surgery. Head Neck 1994;16(4):358–65. </w:t>
      </w:r>
    </w:p>
    <w:p w14:paraId="1858F2D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51. </w:t>
      </w:r>
      <w:r w:rsidRPr="009B688A">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276961C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52. </w:t>
      </w:r>
      <w:r w:rsidRPr="009B688A">
        <w:rPr>
          <w:rFonts w:ascii="Calibri" w:hAnsi="Calibri" w:cs="Calibri"/>
          <w:noProof/>
          <w:sz w:val="20"/>
        </w:rPr>
        <w:tab/>
        <w:t xml:space="preserve">Murphy MM, Simons JP, Hill JS, et al. Pancreatic resection: A key component to reducing racial disparities in pancreatic adenocarcinoma. Cancer 2009;115(17):3979–90. </w:t>
      </w:r>
    </w:p>
    <w:p w14:paraId="10D8B4D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53. </w:t>
      </w:r>
      <w:r w:rsidRPr="009B688A">
        <w:rPr>
          <w:rFonts w:ascii="Calibri" w:hAnsi="Calibri" w:cs="Calibri"/>
          <w:noProof/>
          <w:sz w:val="20"/>
        </w:rPr>
        <w:tab/>
        <w:t xml:space="preserve">Mikkola R, Kelahaara J, Heikkinen J, Lahtinen J, Biancari F. Poor late survival after surgical treatment of pleural empyema. World J Surg 2010;34(2):266–71. </w:t>
      </w:r>
    </w:p>
    <w:p w14:paraId="649E294A" w14:textId="0F5CEE76"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lastRenderedPageBreak/>
        <w:t xml:space="preserve">54. </w:t>
      </w:r>
      <w:r w:rsidRPr="009B688A">
        <w:rPr>
          <w:rFonts w:ascii="Calibri" w:hAnsi="Calibri" w:cs="Calibri"/>
          <w:noProof/>
          <w:sz w:val="20"/>
        </w:rPr>
        <w:tab/>
        <w:t xml:space="preserve">Keeley EC, Boura JA, Grines CL. Primary angioplasty versus intravenous thrombolytic therapy for acute myocardial infarction: a quantitative review of 23 randomised trials. Lancet 2003;361(9351):13–20. </w:t>
      </w:r>
    </w:p>
    <w:p w14:paraId="22A2FAE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55. </w:t>
      </w:r>
      <w:r w:rsidRPr="009B688A">
        <w:rPr>
          <w:rFonts w:ascii="Calibri" w:hAnsi="Calibri" w:cs="Calibri"/>
          <w:noProof/>
          <w:sz w:val="20"/>
        </w:rPr>
        <w:tab/>
        <w:t xml:space="preserve">Piehler JM, Crichlow RW. Primary Carcinoma of the Gallbladder. Arch Surg 1977;112(1):26–30. </w:t>
      </w:r>
    </w:p>
    <w:p w14:paraId="617FABBB"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56. </w:t>
      </w:r>
      <w:r w:rsidRPr="009B688A">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2014;2(CD002027). </w:t>
      </w:r>
    </w:p>
    <w:p w14:paraId="79EC19E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57. </w:t>
      </w:r>
      <w:r w:rsidRPr="009B688A">
        <w:rPr>
          <w:rFonts w:ascii="Calibri" w:hAnsi="Calibri" w:cs="Calibri"/>
          <w:noProof/>
          <w:sz w:val="20"/>
        </w:rPr>
        <w:tab/>
        <w:t xml:space="preserve">European Carotid Surgery Trialists’ Collaborative Group. Randomised trial of endarterectomy for recently symptomatic carotid stenosis: Final results of the MRC European Carotid Surgery Trial (ECST). Lancet 1998;351(9113):1379–87. </w:t>
      </w:r>
    </w:p>
    <w:p w14:paraId="71AA54C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58. </w:t>
      </w:r>
      <w:r w:rsidRPr="009B688A">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2E8380C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59. </w:t>
      </w:r>
      <w:r w:rsidRPr="009B688A">
        <w:rPr>
          <w:rFonts w:ascii="Calibri" w:hAnsi="Calibri" w:cs="Calibri"/>
          <w:noProof/>
          <w:sz w:val="20"/>
        </w:rPr>
        <w:tab/>
        <w:t xml:space="preserve">Ginsberg RJ, Rubinstein L V. Randomized trial of lobectomy versus limited resection for T1 N0 non-small cell lung cancer. Ann Thorac Surg 1995;60(3):615–23. </w:t>
      </w:r>
    </w:p>
    <w:p w14:paraId="05EF4EF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60. </w:t>
      </w:r>
      <w:r w:rsidRPr="009B688A">
        <w:rPr>
          <w:rFonts w:ascii="Calibri" w:hAnsi="Calibri" w:cs="Calibri"/>
          <w:noProof/>
          <w:sz w:val="20"/>
        </w:rPr>
        <w:tab/>
        <w:t xml:space="preserve">Redden MD, Chin TY, van Driel ML. Surgical versus non-surgical management for pleural empyema. Cochrane Database Syst. Rev. 2017;2017(3). </w:t>
      </w:r>
    </w:p>
    <w:p w14:paraId="48B463CB"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61. </w:t>
      </w:r>
      <w:r w:rsidRPr="009B688A">
        <w:rPr>
          <w:rFonts w:ascii="Calibri" w:hAnsi="Calibri" w:cs="Calibri"/>
          <w:noProof/>
          <w:sz w:val="20"/>
        </w:rPr>
        <w:tab/>
        <w:t xml:space="preserve">Jakola AS, Myrmel KS, Kloster R, et al. Comparison of a strategy favoring early surgical resection vs a strategy favoring watchful waiting in low-grade gliomas. JAMA - J Am Med Assoc 2012;308(18):1881–8. </w:t>
      </w:r>
    </w:p>
    <w:p w14:paraId="4B65405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62. </w:t>
      </w:r>
      <w:r w:rsidRPr="009B688A">
        <w:rPr>
          <w:rFonts w:ascii="Calibri" w:hAnsi="Calibri" w:cs="Calibri"/>
          <w:noProof/>
          <w:sz w:val="20"/>
        </w:rPr>
        <w:tab/>
        <w:t xml:space="preserve">Sørensen VR, Heaf J, Wehberg S, Sørensen SS. Survival Benefit in Renal Transplantation Despite High Comorbidity. Transplantation 2016;100(10):2160–7. </w:t>
      </w:r>
    </w:p>
    <w:p w14:paraId="0661D1B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63. </w:t>
      </w:r>
      <w:r w:rsidRPr="009B688A">
        <w:rPr>
          <w:rFonts w:ascii="Calibri" w:hAnsi="Calibri" w:cs="Calibri"/>
          <w:noProof/>
          <w:sz w:val="20"/>
        </w:rPr>
        <w:tab/>
        <w:t xml:space="preserve">Shalowitz DI, Epstein AJ, Buckingham L, Ko EM, Giuntoli RL. Survival implications of time to surgical treatment of endometrial cancers. Am J Obstet Gynecol 2017;216(3):268.e1-268.e18. </w:t>
      </w:r>
    </w:p>
    <w:p w14:paraId="71B68B2D" w14:textId="3ABDAB8A"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64. </w:t>
      </w:r>
      <w:r w:rsidRPr="009B688A">
        <w:rPr>
          <w:rFonts w:ascii="Calibri" w:hAnsi="Calibri" w:cs="Calibri"/>
          <w:noProof/>
          <w:sz w:val="20"/>
        </w:rPr>
        <w:tab/>
        <w:t xml:space="preserve">van Harten M, de Ridder M, Hamming-Vrieze O, Smeele L, Balm A, van den Brekel M. The association of treatment delay and prognosis in head and neck squamous cell carcinoma (HNSCC) patients in a Dutch comprehensive cancer center. Oral Oncol 2014;50(4):282–90. </w:t>
      </w:r>
    </w:p>
    <w:p w14:paraId="030644A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65. </w:t>
      </w:r>
      <w:r w:rsidRPr="009B688A">
        <w:rPr>
          <w:rFonts w:ascii="Calibri" w:hAnsi="Calibri" w:cs="Calibri"/>
          <w:noProof/>
          <w:sz w:val="20"/>
        </w:rPr>
        <w:tab/>
        <w:t xml:space="preserve">Stewart JM, Tone AA, Jiang H, et al. The optimal time for surgery in women with serous ovarian cancer. Can J Surg 2016;59(4):223–32. </w:t>
      </w:r>
    </w:p>
    <w:p w14:paraId="22852FC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66. </w:t>
      </w:r>
      <w:r w:rsidRPr="009B688A">
        <w:rPr>
          <w:rFonts w:ascii="Calibri" w:hAnsi="Calibri" w:cs="Calibri"/>
          <w:noProof/>
          <w:sz w:val="20"/>
        </w:rPr>
        <w:tab/>
        <w:t xml:space="preserve">Davies L, Welch G. Thyroid cancer survival in the United States: Observational data from 1973 to 2005. Arch Otolaryngol - Head Neck Surg 2010;136(5):440–4. </w:t>
      </w:r>
    </w:p>
    <w:p w14:paraId="6A8604E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67. </w:t>
      </w:r>
      <w:r w:rsidRPr="009B688A">
        <w:rPr>
          <w:rFonts w:ascii="Calibri" w:hAnsi="Calibri" w:cs="Calibri"/>
          <w:noProof/>
          <w:sz w:val="20"/>
        </w:rPr>
        <w:tab/>
        <w:t xml:space="preserve">Bleicher RJ, Ruth K, Sigurdson ER, et al. Time to surgery and breast cancer survival in the United States. JAMA Oncol 2016;2(3):330–9. </w:t>
      </w:r>
    </w:p>
    <w:p w14:paraId="3278456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68. </w:t>
      </w:r>
      <w:r w:rsidRPr="009B688A">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4B0B4E9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69. </w:t>
      </w:r>
      <w:r w:rsidRPr="009B688A">
        <w:rPr>
          <w:rFonts w:ascii="Calibri" w:hAnsi="Calibri" w:cs="Calibri"/>
          <w:noProof/>
          <w:sz w:val="20"/>
        </w:rPr>
        <w:tab/>
        <w:t>USRDS [Internet]. [cited 2020 May 19];Available from: https://www.usrds.org/2015/view/</w:t>
      </w:r>
    </w:p>
    <w:p w14:paraId="0BD1FBD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70. </w:t>
      </w:r>
      <w:r w:rsidRPr="009B688A">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11B69DC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71. </w:t>
      </w:r>
      <w:r w:rsidRPr="009B688A">
        <w:rPr>
          <w:rFonts w:ascii="Calibri" w:hAnsi="Calibri" w:cs="Calibri"/>
          <w:noProof/>
          <w:sz w:val="20"/>
        </w:rPr>
        <w:tab/>
        <w:t xml:space="preserve">Chung JH, Lee SH, Kim KT, Jung JS, Son HS, Sun K. Optimal Timing of Thoracoscopic Drainage and Decortication for Empyema. Ann Thorac Surg 2014;97(1):224–9. </w:t>
      </w:r>
    </w:p>
    <w:p w14:paraId="25CEAF4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72. </w:t>
      </w:r>
      <w:r w:rsidRPr="009B688A">
        <w:rPr>
          <w:rFonts w:ascii="Calibri" w:hAnsi="Calibri" w:cs="Calibri"/>
          <w:noProof/>
          <w:sz w:val="20"/>
        </w:rPr>
        <w:tab/>
        <w:t xml:space="preserve">Haruna A, Muro S, Nakano Y, et al. CT scan findings of emphysema predict mortality in COPD. Chest 2010;138(3):635–40. </w:t>
      </w:r>
    </w:p>
    <w:p w14:paraId="05264F0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73. </w:t>
      </w:r>
      <w:r w:rsidRPr="009B688A">
        <w:rPr>
          <w:rFonts w:ascii="Calibri" w:hAnsi="Calibri" w:cs="Calibri"/>
          <w:noProof/>
          <w:sz w:val="20"/>
        </w:rPr>
        <w:tab/>
        <w:t>Organ Procurement and Transplantation Network [Internet]. [cited 2020 May 19];Available from: https://optn.transplant.hrsa.gov/data/view-data-reports/national-data/</w:t>
      </w:r>
    </w:p>
    <w:p w14:paraId="29B236B4" w14:textId="49D615D9"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74. </w:t>
      </w:r>
      <w:r w:rsidRPr="009B688A">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w:t>
      </w:r>
    </w:p>
    <w:p w14:paraId="34E9609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75. </w:t>
      </w:r>
      <w:r w:rsidRPr="009B688A">
        <w:rPr>
          <w:rFonts w:ascii="Calibri" w:hAnsi="Calibri" w:cs="Calibri"/>
          <w:noProof/>
          <w:sz w:val="20"/>
        </w:rPr>
        <w:tab/>
        <w:t xml:space="preserve">Bonow RO, Greenland P. Population-wide trends in aortic stenosis incidence and outcomes. Circulation. 2015;131(11):969–71. </w:t>
      </w:r>
    </w:p>
    <w:p w14:paraId="782B92D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76. </w:t>
      </w:r>
      <w:r w:rsidRPr="009B688A">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3AAC2F7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77. </w:t>
      </w:r>
      <w:r w:rsidRPr="009B688A">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7AA5FCC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78. </w:t>
      </w:r>
      <w:r w:rsidRPr="009B688A">
        <w:rPr>
          <w:rFonts w:ascii="Calibri" w:hAnsi="Calibri" w:cs="Calibri"/>
          <w:noProof/>
          <w:sz w:val="20"/>
        </w:rPr>
        <w:tab/>
        <w:t xml:space="preserve">Tan WS, Trinh QD, Hayn MH, et al. Delayed nephrectomy has comparable long-term overall survival to </w:t>
      </w:r>
      <w:r w:rsidRPr="009B688A">
        <w:rPr>
          <w:rFonts w:ascii="Calibri" w:hAnsi="Calibri" w:cs="Calibri"/>
          <w:noProof/>
          <w:sz w:val="20"/>
        </w:rPr>
        <w:lastRenderedPageBreak/>
        <w:t xml:space="preserve">immediate nephrectomy for cT1a renal cell carcinoma: A population-based analysis. Urol Oncol Semin Orig Investig 2020;38(3):74.e13-74.e20. </w:t>
      </w:r>
    </w:p>
    <w:p w14:paraId="4CE098D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79. </w:t>
      </w:r>
      <w:r w:rsidRPr="009B688A">
        <w:rPr>
          <w:rFonts w:ascii="Calibri" w:hAnsi="Calibri" w:cs="Calibri"/>
          <w:noProof/>
          <w:sz w:val="20"/>
        </w:rPr>
        <w:tab/>
        <w:t xml:space="preserve">Janssen MWW, Linxweiler J, Terwey S, et al. Survival outcomes in patients with large (7cm) clear cell renal cell carcinomas treated with nephron-sparing surgery versus radical nephrectomy: Results of a multicenter cohort with long-term follow-up. PLoS One 2018;13(5). </w:t>
      </w:r>
    </w:p>
    <w:p w14:paraId="5F53816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80. </w:t>
      </w:r>
      <w:r w:rsidRPr="009B688A">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219974A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81. </w:t>
      </w:r>
      <w:r w:rsidRPr="009B688A">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171D627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82. </w:t>
      </w:r>
      <w:r w:rsidRPr="009B688A">
        <w:rPr>
          <w:rFonts w:ascii="Calibri" w:hAnsi="Calibri" w:cs="Calibri"/>
          <w:noProof/>
          <w:sz w:val="20"/>
        </w:rPr>
        <w:tab/>
        <w:t xml:space="preserve">Chen EY, Mayo SC, Sutton T, et al. Effect of Time to Surgery of Colorectal Liver Metastases on Survival. J Gastrointest Cancer 2020;Epub. </w:t>
      </w:r>
    </w:p>
    <w:p w14:paraId="5D575EB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83. </w:t>
      </w:r>
      <w:r w:rsidRPr="009B688A">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2009;20(4):417–35. </w:t>
      </w:r>
    </w:p>
    <w:p w14:paraId="7BD9C3D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84. </w:t>
      </w:r>
      <w:r w:rsidRPr="009B688A">
        <w:rPr>
          <w:rFonts w:ascii="Calibri" w:hAnsi="Calibri" w:cs="Calibri"/>
          <w:noProof/>
          <w:sz w:val="20"/>
        </w:rPr>
        <w:tab/>
        <w:t xml:space="preserve">Pettitt D, Raza S, Naughton B, et al. The Limitations of QALY: A Literature Review. J Stem Cell Res Ther 2016;6(4). </w:t>
      </w:r>
    </w:p>
    <w:p w14:paraId="6C3AC06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85. </w:t>
      </w:r>
      <w:r w:rsidRPr="009B688A">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0C047E53" w:rsidR="0065107A" w:rsidRPr="0092480E" w:rsidRDefault="0065107A" w:rsidP="009B688A">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notePr>
        <w:numFmt w:val="lowerRoman"/>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D64E4" w14:textId="77777777" w:rsidR="00E92356" w:rsidRDefault="00E92356" w:rsidP="00FE7393">
      <w:r>
        <w:separator/>
      </w:r>
    </w:p>
  </w:endnote>
  <w:endnote w:type="continuationSeparator" w:id="0">
    <w:p w14:paraId="78AE9DB1" w14:textId="77777777" w:rsidR="00E92356" w:rsidRDefault="00E92356"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6109262"/>
      <w:docPartObj>
        <w:docPartGallery w:val="Page Numbers (Bottom of Page)"/>
        <w:docPartUnique/>
      </w:docPartObj>
    </w:sdtPr>
    <w:sdtEndPr>
      <w:rPr>
        <w:rStyle w:val="PageNumber"/>
      </w:rPr>
    </w:sdtEndPr>
    <w:sdtContent>
      <w:p w14:paraId="64752CE8" w14:textId="46F37364" w:rsidR="003B1152" w:rsidRDefault="003B1152"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2D647F" w14:textId="77777777" w:rsidR="003B1152" w:rsidRDefault="003B1152" w:rsidP="00C276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8200398"/>
      <w:docPartObj>
        <w:docPartGallery w:val="Page Numbers (Bottom of Page)"/>
        <w:docPartUnique/>
      </w:docPartObj>
    </w:sdtPr>
    <w:sdtEndPr>
      <w:rPr>
        <w:rStyle w:val="PageNumber"/>
      </w:rPr>
    </w:sdtEndPr>
    <w:sdtContent>
      <w:p w14:paraId="00329293" w14:textId="30F7BF95" w:rsidR="003B1152" w:rsidRDefault="003B1152"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15694">
          <w:rPr>
            <w:rStyle w:val="PageNumber"/>
            <w:noProof/>
          </w:rPr>
          <w:t>14</w:t>
        </w:r>
        <w:r>
          <w:rPr>
            <w:rStyle w:val="PageNumber"/>
          </w:rPr>
          <w:fldChar w:fldCharType="end"/>
        </w:r>
      </w:p>
    </w:sdtContent>
  </w:sdt>
  <w:p w14:paraId="4CEB769F" w14:textId="77777777" w:rsidR="003B1152" w:rsidRDefault="003B1152" w:rsidP="00C276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028CA" w14:textId="77777777" w:rsidR="00E92356" w:rsidRDefault="00E92356" w:rsidP="00FE7393">
      <w:r>
        <w:separator/>
      </w:r>
    </w:p>
  </w:footnote>
  <w:footnote w:type="continuationSeparator" w:id="0">
    <w:p w14:paraId="5FFBDEF9" w14:textId="77777777" w:rsidR="00E92356" w:rsidRDefault="00E92356" w:rsidP="00FE7393">
      <w:r>
        <w:continuationSeparator/>
      </w:r>
    </w:p>
  </w:footnote>
  <w:footnote w:id="1">
    <w:p w14:paraId="7C071D2C" w14:textId="4EEED38E" w:rsidR="003B1152" w:rsidRDefault="003B1152">
      <w:pPr>
        <w:pStyle w:val="FootnoteText"/>
      </w:pPr>
      <w:r>
        <w:rPr>
          <w:rStyle w:val="FootnoteReference"/>
        </w:rPr>
        <w:footnoteRef/>
      </w:r>
      <w:r>
        <w:t xml:space="preserve"> </w:t>
      </w:r>
      <w:r w:rsidRPr="0092480E">
        <w:rPr>
          <w:rFonts w:ascii="Calibri" w:hAnsi="Calibri" w:cs="Calibri"/>
        </w:rPr>
        <w:t xml:space="preserve">A semi-elective </w:t>
      </w:r>
      <w:r>
        <w:rPr>
          <w:rFonts w:ascii="Calibri" w:hAnsi="Calibri" w:cs="Calibri"/>
        </w:rPr>
        <w:t>surgery</w:t>
      </w:r>
      <w:r w:rsidRPr="0092480E">
        <w:rPr>
          <w:rFonts w:ascii="Calibri" w:hAnsi="Calibri" w:cs="Calibri"/>
        </w:rPr>
        <w:t xml:space="preserve"> </w:t>
      </w:r>
      <w:r>
        <w:rPr>
          <w:rFonts w:ascii="Calibri" w:hAnsi="Calibri" w:cs="Calibri"/>
        </w:rPr>
        <w:t>is defined as a surgery that should ideally be performed within three</w:t>
      </w:r>
      <w:r w:rsidRPr="004C45BB">
        <w:rPr>
          <w:rFonts w:ascii="Calibri" w:hAnsi="Calibri" w:cs="Calibri"/>
        </w:rPr>
        <w:t xml:space="preserve"> days</w:t>
      </w:r>
      <w:r>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25C2"/>
    <w:rsid w:val="0009396D"/>
    <w:rsid w:val="000960D9"/>
    <w:rsid w:val="00096F71"/>
    <w:rsid w:val="000A1D9C"/>
    <w:rsid w:val="000A1DDC"/>
    <w:rsid w:val="000A2011"/>
    <w:rsid w:val="000B024F"/>
    <w:rsid w:val="000B1FAF"/>
    <w:rsid w:val="000B3CED"/>
    <w:rsid w:val="000B6FDB"/>
    <w:rsid w:val="000C1C35"/>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6099"/>
    <w:rsid w:val="000F725F"/>
    <w:rsid w:val="00100057"/>
    <w:rsid w:val="001069EC"/>
    <w:rsid w:val="00110D40"/>
    <w:rsid w:val="00111C46"/>
    <w:rsid w:val="00112E26"/>
    <w:rsid w:val="0011402A"/>
    <w:rsid w:val="00114092"/>
    <w:rsid w:val="00114F8D"/>
    <w:rsid w:val="0011909D"/>
    <w:rsid w:val="00121FE0"/>
    <w:rsid w:val="00122272"/>
    <w:rsid w:val="00132981"/>
    <w:rsid w:val="00133FC8"/>
    <w:rsid w:val="00135BA6"/>
    <w:rsid w:val="00141C7D"/>
    <w:rsid w:val="00145258"/>
    <w:rsid w:val="00146376"/>
    <w:rsid w:val="00150F00"/>
    <w:rsid w:val="001533AE"/>
    <w:rsid w:val="00153762"/>
    <w:rsid w:val="001545FF"/>
    <w:rsid w:val="0015520D"/>
    <w:rsid w:val="001559E3"/>
    <w:rsid w:val="00155FFA"/>
    <w:rsid w:val="001613FF"/>
    <w:rsid w:val="00162DFF"/>
    <w:rsid w:val="00163436"/>
    <w:rsid w:val="00163AE5"/>
    <w:rsid w:val="001656AC"/>
    <w:rsid w:val="00166F78"/>
    <w:rsid w:val="00167841"/>
    <w:rsid w:val="00170E2B"/>
    <w:rsid w:val="0017300C"/>
    <w:rsid w:val="00173871"/>
    <w:rsid w:val="0017F927"/>
    <w:rsid w:val="001806CD"/>
    <w:rsid w:val="00182E81"/>
    <w:rsid w:val="0018357F"/>
    <w:rsid w:val="00186C9D"/>
    <w:rsid w:val="00186ECC"/>
    <w:rsid w:val="001878A2"/>
    <w:rsid w:val="00190531"/>
    <w:rsid w:val="00194496"/>
    <w:rsid w:val="001968CB"/>
    <w:rsid w:val="001A765F"/>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5AB7"/>
    <w:rsid w:val="001E60E4"/>
    <w:rsid w:val="001E6763"/>
    <w:rsid w:val="001E69DE"/>
    <w:rsid w:val="001E7D09"/>
    <w:rsid w:val="001F0CCD"/>
    <w:rsid w:val="001F3FAE"/>
    <w:rsid w:val="001F4168"/>
    <w:rsid w:val="001F564F"/>
    <w:rsid w:val="001F69FD"/>
    <w:rsid w:val="00200F83"/>
    <w:rsid w:val="00202AC6"/>
    <w:rsid w:val="0020337C"/>
    <w:rsid w:val="00204514"/>
    <w:rsid w:val="002048D1"/>
    <w:rsid w:val="00204932"/>
    <w:rsid w:val="00204EDB"/>
    <w:rsid w:val="00205D43"/>
    <w:rsid w:val="0020725F"/>
    <w:rsid w:val="00211593"/>
    <w:rsid w:val="00212C81"/>
    <w:rsid w:val="00213F7D"/>
    <w:rsid w:val="0021737E"/>
    <w:rsid w:val="002208A9"/>
    <w:rsid w:val="00226F78"/>
    <w:rsid w:val="002333CC"/>
    <w:rsid w:val="00234D3C"/>
    <w:rsid w:val="002409F6"/>
    <w:rsid w:val="00241B01"/>
    <w:rsid w:val="00242928"/>
    <w:rsid w:val="00245EC2"/>
    <w:rsid w:val="00251ED2"/>
    <w:rsid w:val="002533D5"/>
    <w:rsid w:val="002543A1"/>
    <w:rsid w:val="00257021"/>
    <w:rsid w:val="00260FCA"/>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5C28"/>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B8"/>
    <w:rsid w:val="002E38CB"/>
    <w:rsid w:val="002E445A"/>
    <w:rsid w:val="002E4DA7"/>
    <w:rsid w:val="002E55DA"/>
    <w:rsid w:val="002E69C4"/>
    <w:rsid w:val="002F081D"/>
    <w:rsid w:val="002F129C"/>
    <w:rsid w:val="002F3C82"/>
    <w:rsid w:val="002F706E"/>
    <w:rsid w:val="002FF898"/>
    <w:rsid w:val="003005E0"/>
    <w:rsid w:val="00301FCB"/>
    <w:rsid w:val="00302322"/>
    <w:rsid w:val="00303407"/>
    <w:rsid w:val="00305707"/>
    <w:rsid w:val="00306820"/>
    <w:rsid w:val="00306E66"/>
    <w:rsid w:val="0030D55C"/>
    <w:rsid w:val="0031188D"/>
    <w:rsid w:val="00316C44"/>
    <w:rsid w:val="00320B95"/>
    <w:rsid w:val="00320D1E"/>
    <w:rsid w:val="00323012"/>
    <w:rsid w:val="00323973"/>
    <w:rsid w:val="00325509"/>
    <w:rsid w:val="00330D41"/>
    <w:rsid w:val="00332D64"/>
    <w:rsid w:val="00334A65"/>
    <w:rsid w:val="00336828"/>
    <w:rsid w:val="00349842"/>
    <w:rsid w:val="003522E9"/>
    <w:rsid w:val="0035309D"/>
    <w:rsid w:val="0035409A"/>
    <w:rsid w:val="00354D49"/>
    <w:rsid w:val="00361171"/>
    <w:rsid w:val="003638AE"/>
    <w:rsid w:val="00363A0B"/>
    <w:rsid w:val="003655B2"/>
    <w:rsid w:val="003657B7"/>
    <w:rsid w:val="00367FD8"/>
    <w:rsid w:val="00370C84"/>
    <w:rsid w:val="0037181C"/>
    <w:rsid w:val="00382F62"/>
    <w:rsid w:val="00383134"/>
    <w:rsid w:val="00384F89"/>
    <w:rsid w:val="00387662"/>
    <w:rsid w:val="00395E37"/>
    <w:rsid w:val="00397BA6"/>
    <w:rsid w:val="00397FFE"/>
    <w:rsid w:val="003A3C68"/>
    <w:rsid w:val="003A3F6D"/>
    <w:rsid w:val="003A5099"/>
    <w:rsid w:val="003B0009"/>
    <w:rsid w:val="003B106D"/>
    <w:rsid w:val="003B1152"/>
    <w:rsid w:val="003B2FCA"/>
    <w:rsid w:val="003B3409"/>
    <w:rsid w:val="003B62FE"/>
    <w:rsid w:val="003B69E1"/>
    <w:rsid w:val="003BDB2E"/>
    <w:rsid w:val="003C13BE"/>
    <w:rsid w:val="003C1BAB"/>
    <w:rsid w:val="003C48C1"/>
    <w:rsid w:val="003D1200"/>
    <w:rsid w:val="003D2149"/>
    <w:rsid w:val="003D21E0"/>
    <w:rsid w:val="003D303F"/>
    <w:rsid w:val="003D3138"/>
    <w:rsid w:val="003D378E"/>
    <w:rsid w:val="003D7C36"/>
    <w:rsid w:val="003E2619"/>
    <w:rsid w:val="003E5752"/>
    <w:rsid w:val="003E6411"/>
    <w:rsid w:val="003E7E19"/>
    <w:rsid w:val="003F358C"/>
    <w:rsid w:val="003F3C98"/>
    <w:rsid w:val="003F791B"/>
    <w:rsid w:val="00400DC1"/>
    <w:rsid w:val="004024E3"/>
    <w:rsid w:val="00402BFF"/>
    <w:rsid w:val="0040314D"/>
    <w:rsid w:val="00404623"/>
    <w:rsid w:val="00404879"/>
    <w:rsid w:val="004057AB"/>
    <w:rsid w:val="00407C57"/>
    <w:rsid w:val="00410E26"/>
    <w:rsid w:val="0041156F"/>
    <w:rsid w:val="004163EC"/>
    <w:rsid w:val="00417F4E"/>
    <w:rsid w:val="00420C01"/>
    <w:rsid w:val="0042220C"/>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0C4"/>
    <w:rsid w:val="0046354A"/>
    <w:rsid w:val="0046477A"/>
    <w:rsid w:val="00464ABE"/>
    <w:rsid w:val="00464EB9"/>
    <w:rsid w:val="0046627F"/>
    <w:rsid w:val="00466DB7"/>
    <w:rsid w:val="0047125E"/>
    <w:rsid w:val="00473490"/>
    <w:rsid w:val="00473D88"/>
    <w:rsid w:val="00475A03"/>
    <w:rsid w:val="0047740F"/>
    <w:rsid w:val="00481256"/>
    <w:rsid w:val="00486205"/>
    <w:rsid w:val="00490617"/>
    <w:rsid w:val="004927B3"/>
    <w:rsid w:val="00493E2A"/>
    <w:rsid w:val="004A077A"/>
    <w:rsid w:val="004A2A67"/>
    <w:rsid w:val="004A341F"/>
    <w:rsid w:val="004A503D"/>
    <w:rsid w:val="004A5701"/>
    <w:rsid w:val="004A5E8C"/>
    <w:rsid w:val="004AD833"/>
    <w:rsid w:val="004B008C"/>
    <w:rsid w:val="004B240F"/>
    <w:rsid w:val="004B2511"/>
    <w:rsid w:val="004C245D"/>
    <w:rsid w:val="004C31A4"/>
    <w:rsid w:val="004C45BB"/>
    <w:rsid w:val="004C5675"/>
    <w:rsid w:val="004D1260"/>
    <w:rsid w:val="004D34C6"/>
    <w:rsid w:val="004D6508"/>
    <w:rsid w:val="004D7E65"/>
    <w:rsid w:val="004E1046"/>
    <w:rsid w:val="004E5E4E"/>
    <w:rsid w:val="004E657C"/>
    <w:rsid w:val="004F08A4"/>
    <w:rsid w:val="004F1948"/>
    <w:rsid w:val="004F57A8"/>
    <w:rsid w:val="004F7C3E"/>
    <w:rsid w:val="00502DB6"/>
    <w:rsid w:val="00502ED9"/>
    <w:rsid w:val="0050544C"/>
    <w:rsid w:val="00510FB0"/>
    <w:rsid w:val="005145A4"/>
    <w:rsid w:val="00514AC6"/>
    <w:rsid w:val="00514E05"/>
    <w:rsid w:val="0051545D"/>
    <w:rsid w:val="00516760"/>
    <w:rsid w:val="0052397F"/>
    <w:rsid w:val="00527D71"/>
    <w:rsid w:val="005305F4"/>
    <w:rsid w:val="00532198"/>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726B9"/>
    <w:rsid w:val="00574410"/>
    <w:rsid w:val="00580D90"/>
    <w:rsid w:val="00580DB7"/>
    <w:rsid w:val="00580FD0"/>
    <w:rsid w:val="005847E3"/>
    <w:rsid w:val="00584B7F"/>
    <w:rsid w:val="00584BB1"/>
    <w:rsid w:val="00591667"/>
    <w:rsid w:val="0059217B"/>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1376"/>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27"/>
    <w:rsid w:val="00672979"/>
    <w:rsid w:val="00673F3F"/>
    <w:rsid w:val="00674949"/>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5AC7"/>
    <w:rsid w:val="006F2F1B"/>
    <w:rsid w:val="00700C21"/>
    <w:rsid w:val="00705AAD"/>
    <w:rsid w:val="00707E63"/>
    <w:rsid w:val="007114F1"/>
    <w:rsid w:val="00712419"/>
    <w:rsid w:val="00713C1E"/>
    <w:rsid w:val="00714DA1"/>
    <w:rsid w:val="0071679E"/>
    <w:rsid w:val="00717BA6"/>
    <w:rsid w:val="00720707"/>
    <w:rsid w:val="00722EFA"/>
    <w:rsid w:val="0072588B"/>
    <w:rsid w:val="007259FA"/>
    <w:rsid w:val="00727C00"/>
    <w:rsid w:val="007302B3"/>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671F0"/>
    <w:rsid w:val="007711B2"/>
    <w:rsid w:val="007809CA"/>
    <w:rsid w:val="00782CE0"/>
    <w:rsid w:val="00784C81"/>
    <w:rsid w:val="00786FBC"/>
    <w:rsid w:val="00787ED8"/>
    <w:rsid w:val="00790DBC"/>
    <w:rsid w:val="00792B42"/>
    <w:rsid w:val="00793554"/>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814AAC"/>
    <w:rsid w:val="00815A1F"/>
    <w:rsid w:val="00816E2B"/>
    <w:rsid w:val="00820406"/>
    <w:rsid w:val="00820A48"/>
    <w:rsid w:val="008225F6"/>
    <w:rsid w:val="008259F9"/>
    <w:rsid w:val="00825CE2"/>
    <w:rsid w:val="008269CC"/>
    <w:rsid w:val="00830F68"/>
    <w:rsid w:val="00831878"/>
    <w:rsid w:val="00833B51"/>
    <w:rsid w:val="00834B5E"/>
    <w:rsid w:val="0083596A"/>
    <w:rsid w:val="00835D5A"/>
    <w:rsid w:val="0084022E"/>
    <w:rsid w:val="00840378"/>
    <w:rsid w:val="00840404"/>
    <w:rsid w:val="008439A1"/>
    <w:rsid w:val="00844D8B"/>
    <w:rsid w:val="00845D99"/>
    <w:rsid w:val="0084601D"/>
    <w:rsid w:val="00846768"/>
    <w:rsid w:val="0084676D"/>
    <w:rsid w:val="00846801"/>
    <w:rsid w:val="00846F5B"/>
    <w:rsid w:val="00850014"/>
    <w:rsid w:val="00856579"/>
    <w:rsid w:val="008569DD"/>
    <w:rsid w:val="00857D63"/>
    <w:rsid w:val="008613C6"/>
    <w:rsid w:val="00863BD6"/>
    <w:rsid w:val="00865324"/>
    <w:rsid w:val="008668E7"/>
    <w:rsid w:val="0087005A"/>
    <w:rsid w:val="00870ADD"/>
    <w:rsid w:val="00870D1A"/>
    <w:rsid w:val="00872009"/>
    <w:rsid w:val="008734A0"/>
    <w:rsid w:val="0087458F"/>
    <w:rsid w:val="00875511"/>
    <w:rsid w:val="00877B32"/>
    <w:rsid w:val="0088684D"/>
    <w:rsid w:val="008902F1"/>
    <w:rsid w:val="00890CC8"/>
    <w:rsid w:val="0089477A"/>
    <w:rsid w:val="0089520E"/>
    <w:rsid w:val="00895489"/>
    <w:rsid w:val="008A1142"/>
    <w:rsid w:val="008A122F"/>
    <w:rsid w:val="008A38A5"/>
    <w:rsid w:val="008B0D1D"/>
    <w:rsid w:val="008B1B38"/>
    <w:rsid w:val="008B1D07"/>
    <w:rsid w:val="008B514C"/>
    <w:rsid w:val="008B6871"/>
    <w:rsid w:val="008C3804"/>
    <w:rsid w:val="008C4069"/>
    <w:rsid w:val="008C69CA"/>
    <w:rsid w:val="008D25CB"/>
    <w:rsid w:val="008D4609"/>
    <w:rsid w:val="008D6471"/>
    <w:rsid w:val="008E36DB"/>
    <w:rsid w:val="008E4F7F"/>
    <w:rsid w:val="008E764D"/>
    <w:rsid w:val="008F0D9E"/>
    <w:rsid w:val="008F153D"/>
    <w:rsid w:val="008F19F8"/>
    <w:rsid w:val="008F415D"/>
    <w:rsid w:val="008F4D66"/>
    <w:rsid w:val="00900DFE"/>
    <w:rsid w:val="0090390E"/>
    <w:rsid w:val="0090488B"/>
    <w:rsid w:val="00905441"/>
    <w:rsid w:val="0091097D"/>
    <w:rsid w:val="00912A1A"/>
    <w:rsid w:val="00921E11"/>
    <w:rsid w:val="00922E1F"/>
    <w:rsid w:val="0092480E"/>
    <w:rsid w:val="0092623E"/>
    <w:rsid w:val="009262F5"/>
    <w:rsid w:val="009309AD"/>
    <w:rsid w:val="00931CDE"/>
    <w:rsid w:val="00933AB1"/>
    <w:rsid w:val="00935F63"/>
    <w:rsid w:val="0093685D"/>
    <w:rsid w:val="009400C4"/>
    <w:rsid w:val="0094384D"/>
    <w:rsid w:val="00946595"/>
    <w:rsid w:val="00946B0C"/>
    <w:rsid w:val="00947740"/>
    <w:rsid w:val="00950350"/>
    <w:rsid w:val="00950680"/>
    <w:rsid w:val="00952B7B"/>
    <w:rsid w:val="00954B0C"/>
    <w:rsid w:val="00955A8C"/>
    <w:rsid w:val="00955D8D"/>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96EB5"/>
    <w:rsid w:val="009A4495"/>
    <w:rsid w:val="009B688A"/>
    <w:rsid w:val="009C233A"/>
    <w:rsid w:val="009C656C"/>
    <w:rsid w:val="009D493D"/>
    <w:rsid w:val="009D5E88"/>
    <w:rsid w:val="009D6D25"/>
    <w:rsid w:val="009D7F52"/>
    <w:rsid w:val="009E22E4"/>
    <w:rsid w:val="009E508D"/>
    <w:rsid w:val="009E62A4"/>
    <w:rsid w:val="009E7D3A"/>
    <w:rsid w:val="009F07F7"/>
    <w:rsid w:val="009F0A93"/>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6719"/>
    <w:rsid w:val="00A57785"/>
    <w:rsid w:val="00A60D3E"/>
    <w:rsid w:val="00A624CB"/>
    <w:rsid w:val="00A62847"/>
    <w:rsid w:val="00A6511C"/>
    <w:rsid w:val="00A65560"/>
    <w:rsid w:val="00A67769"/>
    <w:rsid w:val="00A701F7"/>
    <w:rsid w:val="00A71485"/>
    <w:rsid w:val="00A820E7"/>
    <w:rsid w:val="00A82D6D"/>
    <w:rsid w:val="00A83EA1"/>
    <w:rsid w:val="00A841EB"/>
    <w:rsid w:val="00A86729"/>
    <w:rsid w:val="00A91C39"/>
    <w:rsid w:val="00A962DD"/>
    <w:rsid w:val="00AA02DF"/>
    <w:rsid w:val="00AA2479"/>
    <w:rsid w:val="00AA3B86"/>
    <w:rsid w:val="00AA5D26"/>
    <w:rsid w:val="00AB781F"/>
    <w:rsid w:val="00AB7AD2"/>
    <w:rsid w:val="00AC036D"/>
    <w:rsid w:val="00AC0AFE"/>
    <w:rsid w:val="00AC257A"/>
    <w:rsid w:val="00AC2803"/>
    <w:rsid w:val="00AC28AB"/>
    <w:rsid w:val="00AC2E3D"/>
    <w:rsid w:val="00AC2F29"/>
    <w:rsid w:val="00AC387C"/>
    <w:rsid w:val="00AC4747"/>
    <w:rsid w:val="00AC6F5A"/>
    <w:rsid w:val="00AD37E0"/>
    <w:rsid w:val="00AD5313"/>
    <w:rsid w:val="00AD53CD"/>
    <w:rsid w:val="00AD62CA"/>
    <w:rsid w:val="00AE7483"/>
    <w:rsid w:val="00AF06CE"/>
    <w:rsid w:val="00AF0E0B"/>
    <w:rsid w:val="00AF1EF6"/>
    <w:rsid w:val="00AF3014"/>
    <w:rsid w:val="00AF3CB7"/>
    <w:rsid w:val="00AF6E67"/>
    <w:rsid w:val="00B0055D"/>
    <w:rsid w:val="00B01625"/>
    <w:rsid w:val="00B04FAC"/>
    <w:rsid w:val="00B05A59"/>
    <w:rsid w:val="00B05DB4"/>
    <w:rsid w:val="00B07AF2"/>
    <w:rsid w:val="00B07D8C"/>
    <w:rsid w:val="00B1007B"/>
    <w:rsid w:val="00B10237"/>
    <w:rsid w:val="00B11ECB"/>
    <w:rsid w:val="00B12901"/>
    <w:rsid w:val="00B12A7F"/>
    <w:rsid w:val="00B15694"/>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0002"/>
    <w:rsid w:val="00B51005"/>
    <w:rsid w:val="00B537D2"/>
    <w:rsid w:val="00B53AF3"/>
    <w:rsid w:val="00B542D2"/>
    <w:rsid w:val="00B5450E"/>
    <w:rsid w:val="00B54621"/>
    <w:rsid w:val="00B55C74"/>
    <w:rsid w:val="00B6060C"/>
    <w:rsid w:val="00B61557"/>
    <w:rsid w:val="00B62574"/>
    <w:rsid w:val="00B64A87"/>
    <w:rsid w:val="00B6703D"/>
    <w:rsid w:val="00B6789B"/>
    <w:rsid w:val="00B718C3"/>
    <w:rsid w:val="00B722CD"/>
    <w:rsid w:val="00B736D9"/>
    <w:rsid w:val="00B76DA6"/>
    <w:rsid w:val="00B80056"/>
    <w:rsid w:val="00B80DE7"/>
    <w:rsid w:val="00B8108F"/>
    <w:rsid w:val="00B85297"/>
    <w:rsid w:val="00B85E9B"/>
    <w:rsid w:val="00B8641D"/>
    <w:rsid w:val="00B87745"/>
    <w:rsid w:val="00B91889"/>
    <w:rsid w:val="00B92D2F"/>
    <w:rsid w:val="00B9676F"/>
    <w:rsid w:val="00BA1945"/>
    <w:rsid w:val="00BA2617"/>
    <w:rsid w:val="00BA2ECA"/>
    <w:rsid w:val="00BA3E69"/>
    <w:rsid w:val="00BA3F4F"/>
    <w:rsid w:val="00BA5C64"/>
    <w:rsid w:val="00BB23FC"/>
    <w:rsid w:val="00BB3C35"/>
    <w:rsid w:val="00BB41C1"/>
    <w:rsid w:val="00BB4C93"/>
    <w:rsid w:val="00BB515C"/>
    <w:rsid w:val="00BB62B1"/>
    <w:rsid w:val="00BB6E7D"/>
    <w:rsid w:val="00BC4088"/>
    <w:rsid w:val="00BC7381"/>
    <w:rsid w:val="00BD23BB"/>
    <w:rsid w:val="00BD50BF"/>
    <w:rsid w:val="00BD5E97"/>
    <w:rsid w:val="00BD7A9F"/>
    <w:rsid w:val="00BE12DA"/>
    <w:rsid w:val="00BE4A57"/>
    <w:rsid w:val="00BE6480"/>
    <w:rsid w:val="00BED763"/>
    <w:rsid w:val="00BF031F"/>
    <w:rsid w:val="00BF224E"/>
    <w:rsid w:val="00BF28A9"/>
    <w:rsid w:val="00BF4849"/>
    <w:rsid w:val="00C0044C"/>
    <w:rsid w:val="00C00721"/>
    <w:rsid w:val="00C03083"/>
    <w:rsid w:val="00C0418C"/>
    <w:rsid w:val="00C047C6"/>
    <w:rsid w:val="00C12402"/>
    <w:rsid w:val="00C12832"/>
    <w:rsid w:val="00C23E4E"/>
    <w:rsid w:val="00C24363"/>
    <w:rsid w:val="00C24ED4"/>
    <w:rsid w:val="00C257D4"/>
    <w:rsid w:val="00C26755"/>
    <w:rsid w:val="00C2764C"/>
    <w:rsid w:val="00C27C5F"/>
    <w:rsid w:val="00C30596"/>
    <w:rsid w:val="00C30BCA"/>
    <w:rsid w:val="00C3110E"/>
    <w:rsid w:val="00C34858"/>
    <w:rsid w:val="00C35271"/>
    <w:rsid w:val="00C43C4F"/>
    <w:rsid w:val="00C464ED"/>
    <w:rsid w:val="00C47D5A"/>
    <w:rsid w:val="00C56785"/>
    <w:rsid w:val="00C618AD"/>
    <w:rsid w:val="00C67871"/>
    <w:rsid w:val="00C678D7"/>
    <w:rsid w:val="00C712AD"/>
    <w:rsid w:val="00C758B4"/>
    <w:rsid w:val="00C76E45"/>
    <w:rsid w:val="00C77DCE"/>
    <w:rsid w:val="00C8046C"/>
    <w:rsid w:val="00C84BA3"/>
    <w:rsid w:val="00C86483"/>
    <w:rsid w:val="00C8778C"/>
    <w:rsid w:val="00C877CE"/>
    <w:rsid w:val="00C903AF"/>
    <w:rsid w:val="00C927DD"/>
    <w:rsid w:val="00CA0894"/>
    <w:rsid w:val="00CA1D47"/>
    <w:rsid w:val="00CA5F8E"/>
    <w:rsid w:val="00CB075A"/>
    <w:rsid w:val="00CB1C9B"/>
    <w:rsid w:val="00CB2328"/>
    <w:rsid w:val="00CB2BA0"/>
    <w:rsid w:val="00CB396B"/>
    <w:rsid w:val="00CB3CBB"/>
    <w:rsid w:val="00CB5091"/>
    <w:rsid w:val="00CB5958"/>
    <w:rsid w:val="00CB6B9E"/>
    <w:rsid w:val="00CB723E"/>
    <w:rsid w:val="00CC03C4"/>
    <w:rsid w:val="00CC041C"/>
    <w:rsid w:val="00CC09A7"/>
    <w:rsid w:val="00CC2B30"/>
    <w:rsid w:val="00CD04DB"/>
    <w:rsid w:val="00CD22EF"/>
    <w:rsid w:val="00CD29E8"/>
    <w:rsid w:val="00CD33A7"/>
    <w:rsid w:val="00CD3BC5"/>
    <w:rsid w:val="00CD5FE9"/>
    <w:rsid w:val="00CD615D"/>
    <w:rsid w:val="00CD6C5E"/>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25A1B"/>
    <w:rsid w:val="00D33DD4"/>
    <w:rsid w:val="00D34809"/>
    <w:rsid w:val="00D36522"/>
    <w:rsid w:val="00D369EC"/>
    <w:rsid w:val="00D40543"/>
    <w:rsid w:val="00D40A7B"/>
    <w:rsid w:val="00D4128D"/>
    <w:rsid w:val="00D42501"/>
    <w:rsid w:val="00D4366E"/>
    <w:rsid w:val="00D43CF4"/>
    <w:rsid w:val="00D4671E"/>
    <w:rsid w:val="00D50C21"/>
    <w:rsid w:val="00D516BF"/>
    <w:rsid w:val="00D53458"/>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1280"/>
    <w:rsid w:val="00D92CE7"/>
    <w:rsid w:val="00DA2483"/>
    <w:rsid w:val="00DA50B4"/>
    <w:rsid w:val="00DA5A38"/>
    <w:rsid w:val="00DA712E"/>
    <w:rsid w:val="00DA741D"/>
    <w:rsid w:val="00DB1A5E"/>
    <w:rsid w:val="00DB4785"/>
    <w:rsid w:val="00DB49C1"/>
    <w:rsid w:val="00DB7372"/>
    <w:rsid w:val="00DC3351"/>
    <w:rsid w:val="00DC4B44"/>
    <w:rsid w:val="00DC66CB"/>
    <w:rsid w:val="00DD0AE3"/>
    <w:rsid w:val="00DD2554"/>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0841"/>
    <w:rsid w:val="00DF2531"/>
    <w:rsid w:val="00DF53DB"/>
    <w:rsid w:val="00DF5B5B"/>
    <w:rsid w:val="00DF79C4"/>
    <w:rsid w:val="00E008A5"/>
    <w:rsid w:val="00E023D0"/>
    <w:rsid w:val="00E0358A"/>
    <w:rsid w:val="00E03FD6"/>
    <w:rsid w:val="00E04D5D"/>
    <w:rsid w:val="00E07D53"/>
    <w:rsid w:val="00E11164"/>
    <w:rsid w:val="00E14852"/>
    <w:rsid w:val="00E172ED"/>
    <w:rsid w:val="00E1769B"/>
    <w:rsid w:val="00E179F3"/>
    <w:rsid w:val="00E20269"/>
    <w:rsid w:val="00E20831"/>
    <w:rsid w:val="00E2092E"/>
    <w:rsid w:val="00E219C5"/>
    <w:rsid w:val="00E21A7F"/>
    <w:rsid w:val="00E25C4D"/>
    <w:rsid w:val="00E3229F"/>
    <w:rsid w:val="00E3345C"/>
    <w:rsid w:val="00E4132A"/>
    <w:rsid w:val="00E4166A"/>
    <w:rsid w:val="00E514DF"/>
    <w:rsid w:val="00E56F28"/>
    <w:rsid w:val="00E601B7"/>
    <w:rsid w:val="00E63B2C"/>
    <w:rsid w:val="00E63B33"/>
    <w:rsid w:val="00E65891"/>
    <w:rsid w:val="00E65A86"/>
    <w:rsid w:val="00E65E61"/>
    <w:rsid w:val="00E678CD"/>
    <w:rsid w:val="00E70F2E"/>
    <w:rsid w:val="00E711E4"/>
    <w:rsid w:val="00E71200"/>
    <w:rsid w:val="00E73563"/>
    <w:rsid w:val="00E8361D"/>
    <w:rsid w:val="00E90A34"/>
    <w:rsid w:val="00E92356"/>
    <w:rsid w:val="00E96646"/>
    <w:rsid w:val="00E9EE46"/>
    <w:rsid w:val="00EA1A64"/>
    <w:rsid w:val="00EA5F14"/>
    <w:rsid w:val="00EA7445"/>
    <w:rsid w:val="00EB10CE"/>
    <w:rsid w:val="00EB2CAB"/>
    <w:rsid w:val="00EB3614"/>
    <w:rsid w:val="00EB5543"/>
    <w:rsid w:val="00EC12A5"/>
    <w:rsid w:val="00EC16D2"/>
    <w:rsid w:val="00EC198C"/>
    <w:rsid w:val="00EC5350"/>
    <w:rsid w:val="00EC5B04"/>
    <w:rsid w:val="00ED35E2"/>
    <w:rsid w:val="00ED3925"/>
    <w:rsid w:val="00ED4ADA"/>
    <w:rsid w:val="00ED4E16"/>
    <w:rsid w:val="00EE3565"/>
    <w:rsid w:val="00EE3916"/>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5123"/>
    <w:rsid w:val="00F16806"/>
    <w:rsid w:val="00F17231"/>
    <w:rsid w:val="00F203BD"/>
    <w:rsid w:val="00F219CA"/>
    <w:rsid w:val="00F22109"/>
    <w:rsid w:val="00F23642"/>
    <w:rsid w:val="00F265AD"/>
    <w:rsid w:val="00F26CE8"/>
    <w:rsid w:val="00F2711F"/>
    <w:rsid w:val="00F31A0D"/>
    <w:rsid w:val="00F323B8"/>
    <w:rsid w:val="00F3324B"/>
    <w:rsid w:val="00F33358"/>
    <w:rsid w:val="00F3380A"/>
    <w:rsid w:val="00F348C3"/>
    <w:rsid w:val="00F34F0F"/>
    <w:rsid w:val="00F40796"/>
    <w:rsid w:val="00F42A4D"/>
    <w:rsid w:val="00F430E5"/>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0D00"/>
    <w:rsid w:val="00FA691C"/>
    <w:rsid w:val="00FA70F1"/>
    <w:rsid w:val="00FA767D"/>
    <w:rsid w:val="00FA7EB3"/>
    <w:rsid w:val="00FB1FE8"/>
    <w:rsid w:val="00FB376A"/>
    <w:rsid w:val="00FB37D0"/>
    <w:rsid w:val="00FB43EF"/>
    <w:rsid w:val="00FB6CC0"/>
    <w:rsid w:val="00FB709A"/>
    <w:rsid w:val="00FB74E6"/>
    <w:rsid w:val="00FC2F85"/>
    <w:rsid w:val="00FC31BA"/>
    <w:rsid w:val="00FC6CF2"/>
    <w:rsid w:val="00FD044D"/>
    <w:rsid w:val="00FD0B25"/>
    <w:rsid w:val="00FD0B84"/>
    <w:rsid w:val="00FD2D3A"/>
    <w:rsid w:val="00FD30D4"/>
    <w:rsid w:val="00FD6014"/>
    <w:rsid w:val="00FE2640"/>
    <w:rsid w:val="00FE26FD"/>
    <w:rsid w:val="00FE4142"/>
    <w:rsid w:val="00FE4DFF"/>
    <w:rsid w:val="00FE4F62"/>
    <w:rsid w:val="00FE7393"/>
    <w:rsid w:val="00FE78B2"/>
    <w:rsid w:val="00FF1593"/>
    <w:rsid w:val="00FF5FD7"/>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48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Heading4">
    <w:name w:val="heading 4"/>
    <w:basedOn w:val="Normal"/>
    <w:next w:val="Normal"/>
    <w:link w:val="Heading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Header">
    <w:name w:val="header"/>
    <w:basedOn w:val="Normal"/>
    <w:link w:val="Head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FE7393"/>
  </w:style>
  <w:style w:type="paragraph" w:styleId="Footer">
    <w:name w:val="footer"/>
    <w:basedOn w:val="Normal"/>
    <w:link w:val="Foot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FE7393"/>
  </w:style>
  <w:style w:type="character" w:customStyle="1" w:styleId="Heading2Char">
    <w:name w:val="Heading 2 Char"/>
    <w:basedOn w:val="DefaultParagraphFont"/>
    <w:link w:val="Heading2"/>
    <w:uiPriority w:val="1"/>
    <w:rsid w:val="00737CE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37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7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228"/>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995228"/>
    <w:rPr>
      <w:rFonts w:ascii="Segoe UI" w:hAnsi="Segoe UI" w:cs="Segoe UI"/>
      <w:sz w:val="18"/>
      <w:szCs w:val="18"/>
    </w:rPr>
  </w:style>
  <w:style w:type="character" w:customStyle="1" w:styleId="CaptionChar">
    <w:name w:val="Caption Char"/>
    <w:basedOn w:val="DefaultParagraphFont"/>
    <w:link w:val="Caption"/>
    <w:rsid w:val="001B3615"/>
    <w:rPr>
      <w:i/>
      <w:iCs/>
      <w:color w:val="44546A" w:themeColor="text2"/>
      <w:sz w:val="18"/>
      <w:szCs w:val="18"/>
    </w:rPr>
  </w:style>
  <w:style w:type="character" w:styleId="CommentReference">
    <w:name w:val="annotation reference"/>
    <w:basedOn w:val="DefaultParagraphFont"/>
    <w:uiPriority w:val="99"/>
    <w:semiHidden/>
    <w:unhideWhenUsed/>
    <w:rsid w:val="007C1053"/>
    <w:rPr>
      <w:sz w:val="16"/>
      <w:szCs w:val="16"/>
    </w:rPr>
  </w:style>
  <w:style w:type="paragraph" w:styleId="CommentText">
    <w:name w:val="annotation text"/>
    <w:basedOn w:val="Normal"/>
    <w:link w:val="CommentText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7C1053"/>
    <w:rPr>
      <w:sz w:val="20"/>
      <w:szCs w:val="20"/>
    </w:rPr>
  </w:style>
  <w:style w:type="paragraph" w:styleId="CommentSubject">
    <w:name w:val="annotation subject"/>
    <w:basedOn w:val="CommentText"/>
    <w:next w:val="CommentText"/>
    <w:link w:val="CommentSubjectChar"/>
    <w:uiPriority w:val="99"/>
    <w:semiHidden/>
    <w:unhideWhenUsed/>
    <w:rsid w:val="007C1053"/>
    <w:rPr>
      <w:b/>
      <w:bCs/>
    </w:rPr>
  </w:style>
  <w:style w:type="character" w:customStyle="1" w:styleId="CommentSubjectChar">
    <w:name w:val="Comment Subject Char"/>
    <w:basedOn w:val="CommentTextChar"/>
    <w:link w:val="CommentSubject"/>
    <w:uiPriority w:val="99"/>
    <w:semiHidden/>
    <w:rsid w:val="007C1053"/>
    <w:rPr>
      <w:b/>
      <w:bCs/>
      <w:sz w:val="20"/>
      <w:szCs w:val="20"/>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Mention1">
    <w:name w:val="Mention1"/>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65107A"/>
    <w:rPr>
      <w:color w:val="954F72" w:themeColor="followedHyperlink"/>
      <w:u w:val="single"/>
    </w:rPr>
  </w:style>
  <w:style w:type="paragraph" w:customStyle="1" w:styleId="f-body">
    <w:name w:val="f-body"/>
    <w:basedOn w:val="Normal"/>
    <w:rsid w:val="00234D3C"/>
    <w:pPr>
      <w:spacing w:before="100" w:beforeAutospacing="1" w:after="100" w:afterAutospacing="1"/>
    </w:pPr>
  </w:style>
  <w:style w:type="paragraph" w:styleId="Revision">
    <w:name w:val="Revision"/>
    <w:hidden/>
    <w:uiPriority w:val="99"/>
    <w:semiHidden/>
    <w:rsid w:val="00CA1D47"/>
    <w:pPr>
      <w:spacing w:after="0" w:line="240" w:lineRule="auto"/>
    </w:pPr>
  </w:style>
  <w:style w:type="character" w:customStyle="1" w:styleId="Heading4Char">
    <w:name w:val="Heading 4 Char"/>
    <w:basedOn w:val="DefaultParagraphFont"/>
    <w:link w:val="Heading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DefaultParagraphFont"/>
    <w:rsid w:val="00CD5FE9"/>
  </w:style>
  <w:style w:type="character" w:styleId="PageNumber">
    <w:name w:val="page number"/>
    <w:basedOn w:val="DefaultParagraphFont"/>
    <w:uiPriority w:val="99"/>
    <w:semiHidden/>
    <w:unhideWhenUsed/>
    <w:rsid w:val="00C2764C"/>
  </w:style>
  <w:style w:type="character" w:customStyle="1" w:styleId="UnresolvedMention1">
    <w:name w:val="Unresolved Mention1"/>
    <w:basedOn w:val="DefaultParagraphFont"/>
    <w:uiPriority w:val="99"/>
    <w:semiHidden/>
    <w:unhideWhenUsed/>
    <w:rsid w:val="00B80056"/>
    <w:rPr>
      <w:color w:val="605E5C"/>
      <w:shd w:val="clear" w:color="auto" w:fill="E1DFDD"/>
    </w:rPr>
  </w:style>
  <w:style w:type="paragraph" w:styleId="FootnoteText">
    <w:name w:val="footnote text"/>
    <w:basedOn w:val="Normal"/>
    <w:link w:val="FootnoteTextChar"/>
    <w:uiPriority w:val="99"/>
    <w:semiHidden/>
    <w:unhideWhenUsed/>
    <w:rsid w:val="0087005A"/>
    <w:rPr>
      <w:sz w:val="20"/>
      <w:szCs w:val="20"/>
    </w:rPr>
  </w:style>
  <w:style w:type="character" w:customStyle="1" w:styleId="FootnoteTextChar">
    <w:name w:val="Footnote Text Char"/>
    <w:basedOn w:val="DefaultParagraphFont"/>
    <w:link w:val="FootnoteText"/>
    <w:uiPriority w:val="99"/>
    <w:semiHidden/>
    <w:rsid w:val="0087005A"/>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2.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812205-ECE5-E94D-AC0B-F392CB576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17</Pages>
  <Words>42683</Words>
  <Characters>243298</Characters>
  <Application>Microsoft Office Word</Application>
  <DocSecurity>0</DocSecurity>
  <Lines>2027</Lines>
  <Paragraphs>570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E.M. Krijkamp</cp:lastModifiedBy>
  <cp:revision>130</cp:revision>
  <dcterms:created xsi:type="dcterms:W3CDTF">2020-06-22T10:48:00Z</dcterms:created>
  <dcterms:modified xsi:type="dcterms:W3CDTF">2020-06-23T20:32:00Z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http://www.zotero.org/styles/the-new-england-journal-of-medicine</vt:lpwstr>
  </property>
  <property fmtid="{D5CDD505-2E9C-101B-9397-08002B2CF9AE}" pid="21" name="Mendeley Recent Style Name 9_1">
    <vt:lpwstr>The New England Journal of Medicine</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0990324b-096d-3f88-818f-a2e93b426899</vt:lpwstr>
  </property>
  <property fmtid="{D5CDD505-2E9C-101B-9397-08002B2CF9AE}" pid="25" name="Mendeley Citation Style_1">
    <vt:lpwstr>http://www.zotero.org/styles/the-new-england-journal-of-medicine</vt:lpwstr>
  </property>
</Properties>
</file>