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4211" w14:textId="77777777" w:rsidR="00EB22DA" w:rsidRDefault="00000000">
      <w:pPr>
        <w:pStyle w:val="Heading1"/>
      </w:pPr>
      <w:bookmarkStart w:id="0" w:name="doxx-feature-showcase"/>
      <w:r>
        <w:t>Doxx Feature Showcase</w:t>
      </w:r>
    </w:p>
    <w:p w14:paraId="2716620A" w14:textId="77777777" w:rsidR="00EB22DA" w:rsidRDefault="00000000">
      <w:pPr>
        <w:pStyle w:val="FirstParagraph"/>
      </w:pPr>
      <w:r>
        <w:t xml:space="preserve">This document demonstrates the rendering capabilities of </w:t>
      </w:r>
      <w:r>
        <w:rPr>
          <w:b/>
          <w:bCs/>
        </w:rPr>
        <w:t>doxx</w:t>
      </w:r>
      <w:r>
        <w:t xml:space="preserve">, the terminal-native </w:t>
      </w:r>
      <w:r>
        <w:rPr>
          <w:rStyle w:val="VerbatimChar"/>
        </w:rPr>
        <w:t>.docx</w:t>
      </w:r>
      <w:r>
        <w:t xml:space="preserve"> viewer.</w:t>
      </w:r>
    </w:p>
    <w:p w14:paraId="20BBE7A3" w14:textId="77777777" w:rsidR="00EB22DA" w:rsidRDefault="00000000">
      <w:pPr>
        <w:pStyle w:val="Heading2"/>
      </w:pPr>
      <w:bookmarkStart w:id="1" w:name="text-formatting"/>
      <w:r>
        <w:t>1. Text Formatting</w:t>
      </w:r>
    </w:p>
    <w:p w14:paraId="63B20F0F" w14:textId="77777777" w:rsidR="00EB22DA" w:rsidRDefault="00000000">
      <w:pPr>
        <w:pStyle w:val="FirstParagraph"/>
      </w:pPr>
      <w:r>
        <w:rPr>
          <w:b/>
          <w:bCs/>
        </w:rPr>
        <w:t>doxx</w:t>
      </w:r>
      <w:r>
        <w:t xml:space="preserve"> supports a </w:t>
      </w:r>
      <w:r w:rsidRPr="000F249C">
        <w:t>wide range</w:t>
      </w:r>
      <w:r>
        <w:t xml:space="preserve"> of text formatting options, including:</w:t>
      </w:r>
    </w:p>
    <w:p w14:paraId="40F8B127" w14:textId="77777777" w:rsidR="00EB22D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Bold text</w:t>
      </w:r>
    </w:p>
    <w:p w14:paraId="1FB104EE" w14:textId="77777777" w:rsidR="00EB22DA" w:rsidRDefault="00000000">
      <w:pPr>
        <w:pStyle w:val="Compact"/>
        <w:numPr>
          <w:ilvl w:val="0"/>
          <w:numId w:val="2"/>
        </w:numPr>
      </w:pPr>
      <w:r>
        <w:rPr>
          <w:i/>
          <w:iCs/>
        </w:rPr>
        <w:t>Italic text</w:t>
      </w:r>
    </w:p>
    <w:p w14:paraId="6516D72E" w14:textId="77777777" w:rsidR="00EB22DA" w:rsidRPr="004A7CF8" w:rsidRDefault="00000000">
      <w:pPr>
        <w:pStyle w:val="Compact"/>
        <w:numPr>
          <w:ilvl w:val="0"/>
          <w:numId w:val="2"/>
        </w:numPr>
        <w:rPr>
          <w:u w:val="single"/>
        </w:rPr>
      </w:pPr>
      <w:r w:rsidRPr="004A7CF8">
        <w:rPr>
          <w:u w:val="single"/>
        </w:rPr>
        <w:t>Underlined text</w:t>
      </w:r>
    </w:p>
    <w:p w14:paraId="3849ECCF" w14:textId="77777777" w:rsidR="00EB22DA" w:rsidRDefault="00000000">
      <w:pPr>
        <w:pStyle w:val="Compact"/>
        <w:numPr>
          <w:ilvl w:val="0"/>
          <w:numId w:val="2"/>
        </w:numPr>
      </w:pPr>
      <w:r>
        <w:rPr>
          <w:strike/>
        </w:rPr>
        <w:t>Strikethrough text</w:t>
      </w:r>
    </w:p>
    <w:p w14:paraId="070E86A9" w14:textId="77777777" w:rsidR="00EB22DA" w:rsidRDefault="00000000">
      <w:pPr>
        <w:pStyle w:val="Compact"/>
        <w:numPr>
          <w:ilvl w:val="0"/>
          <w:numId w:val="2"/>
        </w:numPr>
      </w:pPr>
      <w:r w:rsidRPr="00822028">
        <w:rPr>
          <w:b/>
          <w:bCs/>
          <w:i/>
          <w:iCs/>
          <w:strike/>
          <w:u w:val="single"/>
        </w:rPr>
        <w:t>A combination of all of them</w:t>
      </w:r>
      <w:r>
        <w:t>!</w:t>
      </w:r>
    </w:p>
    <w:p w14:paraId="5350C37B" w14:textId="77777777" w:rsidR="00EB22DA" w:rsidRDefault="00000000">
      <w:pPr>
        <w:pStyle w:val="Heading3"/>
      </w:pPr>
      <w:bookmarkStart w:id="2" w:name="color-support"/>
      <w:r>
        <w:t>1.1. Color Support</w:t>
      </w:r>
    </w:p>
    <w:p w14:paraId="5C682777" w14:textId="77777777" w:rsidR="00EB22DA" w:rsidRDefault="00000000">
      <w:pPr>
        <w:pStyle w:val="FirstParagraph"/>
      </w:pPr>
      <w:r>
        <w:t>You can also render text in different colors:</w:t>
      </w:r>
    </w:p>
    <w:p w14:paraId="22BEDBA5" w14:textId="77777777" w:rsidR="00EB22DA" w:rsidRDefault="00000000">
      <w:pPr>
        <w:pStyle w:val="Compact"/>
        <w:numPr>
          <w:ilvl w:val="0"/>
          <w:numId w:val="3"/>
        </w:numPr>
      </w:pPr>
      <w:r w:rsidRPr="00744DB2">
        <w:rPr>
          <w:color w:val="FF0000"/>
        </w:rPr>
        <w:t>This is red text</w:t>
      </w:r>
      <w:r>
        <w:t>.</w:t>
      </w:r>
    </w:p>
    <w:p w14:paraId="0EFD1380" w14:textId="77777777" w:rsidR="00EB22DA" w:rsidRDefault="00000000">
      <w:pPr>
        <w:pStyle w:val="Compact"/>
        <w:numPr>
          <w:ilvl w:val="0"/>
          <w:numId w:val="3"/>
        </w:numPr>
      </w:pPr>
      <w:r w:rsidRPr="00744DB2">
        <w:rPr>
          <w:color w:val="0070C0"/>
        </w:rPr>
        <w:t>This is blue text</w:t>
      </w:r>
      <w:r>
        <w:t>.</w:t>
      </w:r>
    </w:p>
    <w:p w14:paraId="1DE1BEB7" w14:textId="77777777" w:rsidR="00EB22DA" w:rsidRDefault="00000000">
      <w:pPr>
        <w:pStyle w:val="Compact"/>
        <w:numPr>
          <w:ilvl w:val="0"/>
          <w:numId w:val="3"/>
        </w:numPr>
      </w:pPr>
      <w:r w:rsidRPr="00744DB2">
        <w:rPr>
          <w:color w:val="00B050"/>
        </w:rPr>
        <w:t>This is green text</w:t>
      </w:r>
      <w:r>
        <w:t>.</w:t>
      </w:r>
    </w:p>
    <w:p w14:paraId="785E2235" w14:textId="77777777" w:rsidR="00EB22DA" w:rsidRDefault="00000000">
      <w:pPr>
        <w:pStyle w:val="Compact"/>
        <w:numPr>
          <w:ilvl w:val="0"/>
          <w:numId w:val="3"/>
        </w:numPr>
      </w:pPr>
      <w:r w:rsidRPr="00744DB2">
        <w:rPr>
          <w:color w:val="7030A0"/>
        </w:rPr>
        <w:t>This is purple text</w:t>
      </w:r>
      <w:r>
        <w:t>.</w:t>
      </w:r>
    </w:p>
    <w:p w14:paraId="4E534024" w14:textId="77777777" w:rsidR="00EB22DA" w:rsidRDefault="00000000">
      <w:pPr>
        <w:pStyle w:val="Compact"/>
        <w:numPr>
          <w:ilvl w:val="0"/>
          <w:numId w:val="3"/>
        </w:numPr>
      </w:pPr>
      <w:r w:rsidRPr="00744DB2">
        <w:rPr>
          <w:color w:val="E97132" w:themeColor="accent2"/>
        </w:rPr>
        <w:t>And this is orange text</w:t>
      </w:r>
      <w:r>
        <w:t>.</w:t>
      </w:r>
    </w:p>
    <w:p w14:paraId="6AD08CB4" w14:textId="77777777" w:rsidR="00EB22DA" w:rsidRDefault="00000000">
      <w:pPr>
        <w:pStyle w:val="Heading2"/>
      </w:pPr>
      <w:bookmarkStart w:id="3" w:name="headings"/>
      <w:bookmarkEnd w:id="1"/>
      <w:bookmarkEnd w:id="2"/>
      <w:r>
        <w:t>2. Headings</w:t>
      </w:r>
    </w:p>
    <w:p w14:paraId="5DB2B73F" w14:textId="77777777" w:rsidR="00EB22DA" w:rsidRDefault="00000000">
      <w:pPr>
        <w:pStyle w:val="FirstParagraph"/>
      </w:pPr>
      <w:r>
        <w:rPr>
          <w:b/>
          <w:bCs/>
        </w:rPr>
        <w:t>doxx</w:t>
      </w:r>
      <w:r>
        <w:t xml:space="preserve"> correctly renders heading hierarchies, allowing you to navigate your documents with ease.</w:t>
      </w:r>
    </w:p>
    <w:p w14:paraId="2C2CCE45" w14:textId="77777777" w:rsidR="00EB22DA" w:rsidRDefault="00000000">
      <w:pPr>
        <w:pStyle w:val="Heading3"/>
      </w:pPr>
      <w:bookmarkStart w:id="4" w:name="sub-heading"/>
      <w:r>
        <w:t>2.1. Sub-heading</w:t>
      </w:r>
    </w:p>
    <w:p w14:paraId="4DF1F380" w14:textId="77777777" w:rsidR="00EB22DA" w:rsidRDefault="00000000">
      <w:pPr>
        <w:pStyle w:val="Heading4"/>
      </w:pPr>
      <w:bookmarkStart w:id="5" w:name="deeper-sub-heading"/>
      <w:r>
        <w:t>2.1.1. Deeper sub-heading</w:t>
      </w:r>
    </w:p>
    <w:p w14:paraId="56174573" w14:textId="77777777" w:rsidR="00EB22DA" w:rsidRDefault="00000000">
      <w:pPr>
        <w:pStyle w:val="Heading5"/>
      </w:pPr>
      <w:bookmarkStart w:id="6" w:name="even-deeper"/>
      <w:r>
        <w:t>2.1.1.1. Even deeper!</w:t>
      </w:r>
    </w:p>
    <w:p w14:paraId="55D01F59" w14:textId="77777777" w:rsidR="00EB22DA" w:rsidRDefault="00000000">
      <w:pPr>
        <w:pStyle w:val="Heading2"/>
      </w:pPr>
      <w:bookmarkStart w:id="7" w:name="lists"/>
      <w:bookmarkEnd w:id="3"/>
      <w:bookmarkEnd w:id="4"/>
      <w:bookmarkEnd w:id="5"/>
      <w:bookmarkEnd w:id="6"/>
      <w:r>
        <w:t>3. Lists</w:t>
      </w:r>
    </w:p>
    <w:p w14:paraId="2C4F799E" w14:textId="77777777" w:rsidR="00EB22DA" w:rsidRDefault="00000000">
      <w:pPr>
        <w:pStyle w:val="FirstParagraph"/>
      </w:pPr>
      <w:r>
        <w:t>Both numbered and bulleted lists are supported, including nested lists.</w:t>
      </w:r>
    </w:p>
    <w:p w14:paraId="7FF96588" w14:textId="77777777" w:rsidR="00EB22DA" w:rsidRDefault="00000000">
      <w:pPr>
        <w:pStyle w:val="Heading3"/>
      </w:pPr>
      <w:bookmarkStart w:id="8" w:name="numbered-lists"/>
      <w:r>
        <w:t>3.1. Numbered Lists</w:t>
      </w:r>
    </w:p>
    <w:p w14:paraId="1DB90905" w14:textId="77777777" w:rsidR="00EB22DA" w:rsidRDefault="00000000">
      <w:pPr>
        <w:pStyle w:val="Compact"/>
        <w:numPr>
          <w:ilvl w:val="0"/>
          <w:numId w:val="4"/>
        </w:numPr>
      </w:pPr>
      <w:r>
        <w:t>First item</w:t>
      </w:r>
    </w:p>
    <w:p w14:paraId="5E9BCCF9" w14:textId="77777777" w:rsidR="00EB22DA" w:rsidRDefault="00000000">
      <w:pPr>
        <w:pStyle w:val="Compact"/>
        <w:numPr>
          <w:ilvl w:val="0"/>
          <w:numId w:val="4"/>
        </w:numPr>
      </w:pPr>
      <w:r>
        <w:t>Second item</w:t>
      </w:r>
    </w:p>
    <w:p w14:paraId="1A13433A" w14:textId="77777777" w:rsidR="00EB22DA" w:rsidRDefault="00000000">
      <w:pPr>
        <w:pStyle w:val="Compact"/>
        <w:numPr>
          <w:ilvl w:val="1"/>
          <w:numId w:val="5"/>
        </w:numPr>
      </w:pPr>
      <w:r>
        <w:t>Nested item 1</w:t>
      </w:r>
    </w:p>
    <w:p w14:paraId="7006C895" w14:textId="77777777" w:rsidR="00EB22DA" w:rsidRDefault="00000000">
      <w:pPr>
        <w:pStyle w:val="Compact"/>
        <w:numPr>
          <w:ilvl w:val="1"/>
          <w:numId w:val="5"/>
        </w:numPr>
      </w:pPr>
      <w:r>
        <w:t>Nested item 2</w:t>
      </w:r>
    </w:p>
    <w:p w14:paraId="4F49E507" w14:textId="77777777" w:rsidR="00EB22DA" w:rsidRDefault="00000000">
      <w:pPr>
        <w:pStyle w:val="Compact"/>
        <w:numPr>
          <w:ilvl w:val="0"/>
          <w:numId w:val="4"/>
        </w:numPr>
      </w:pPr>
      <w:r>
        <w:lastRenderedPageBreak/>
        <w:t>Third item</w:t>
      </w:r>
    </w:p>
    <w:p w14:paraId="60E422C5" w14:textId="77777777" w:rsidR="00EB22DA" w:rsidRDefault="00000000">
      <w:pPr>
        <w:pStyle w:val="Heading3"/>
      </w:pPr>
      <w:bookmarkStart w:id="9" w:name="bulleted-lists"/>
      <w:bookmarkEnd w:id="8"/>
      <w:r>
        <w:t>3.2. Bulleted Lists</w:t>
      </w:r>
    </w:p>
    <w:p w14:paraId="2B16C89E" w14:textId="77777777" w:rsidR="00EB22DA" w:rsidRDefault="00000000">
      <w:pPr>
        <w:pStyle w:val="Compact"/>
        <w:numPr>
          <w:ilvl w:val="0"/>
          <w:numId w:val="6"/>
        </w:numPr>
      </w:pPr>
      <w:r>
        <w:t>A bullet point</w:t>
      </w:r>
    </w:p>
    <w:p w14:paraId="241B2234" w14:textId="77777777" w:rsidR="00EB22DA" w:rsidRDefault="00000000">
      <w:pPr>
        <w:pStyle w:val="Compact"/>
        <w:numPr>
          <w:ilvl w:val="0"/>
          <w:numId w:val="6"/>
        </w:numPr>
      </w:pPr>
      <w:r>
        <w:t>Another bullet point</w:t>
      </w:r>
    </w:p>
    <w:p w14:paraId="3FFBDF56" w14:textId="77777777" w:rsidR="00EB22DA" w:rsidRDefault="00000000">
      <w:pPr>
        <w:pStyle w:val="Compact"/>
        <w:numPr>
          <w:ilvl w:val="1"/>
          <w:numId w:val="7"/>
        </w:numPr>
      </w:pPr>
      <w:r>
        <w:t>A nested bullet point</w:t>
      </w:r>
    </w:p>
    <w:p w14:paraId="3CB3B3CB" w14:textId="77777777" w:rsidR="00EB22DA" w:rsidRDefault="00000000">
      <w:pPr>
        <w:pStyle w:val="Compact"/>
        <w:numPr>
          <w:ilvl w:val="1"/>
          <w:numId w:val="7"/>
        </w:numPr>
      </w:pPr>
      <w:r>
        <w:t>Another nested bullet point</w:t>
      </w:r>
    </w:p>
    <w:p w14:paraId="55054C82" w14:textId="77777777" w:rsidR="00EB22DA" w:rsidRDefault="00000000">
      <w:pPr>
        <w:pStyle w:val="Compact"/>
        <w:numPr>
          <w:ilvl w:val="0"/>
          <w:numId w:val="6"/>
        </w:numPr>
      </w:pPr>
      <w:r>
        <w:t>A final bullet point</w:t>
      </w:r>
    </w:p>
    <w:p w14:paraId="4755084B" w14:textId="77777777" w:rsidR="00EB22DA" w:rsidRDefault="00000000">
      <w:pPr>
        <w:pStyle w:val="Heading2"/>
      </w:pPr>
      <w:bookmarkStart w:id="10" w:name="tables"/>
      <w:bookmarkEnd w:id="7"/>
      <w:bookmarkEnd w:id="9"/>
      <w:r>
        <w:t>4. Tables</w:t>
      </w:r>
    </w:p>
    <w:p w14:paraId="242C02C2" w14:textId="77777777" w:rsidR="00EB22DA" w:rsidRDefault="00000000">
      <w:pPr>
        <w:pStyle w:val="FirstParagraph"/>
      </w:pPr>
      <w:r>
        <w:rPr>
          <w:b/>
          <w:bCs/>
        </w:rPr>
        <w:t>doxx</w:t>
      </w:r>
      <w:r>
        <w:t xml:space="preserve"> renders tables with proper alignment and Unicode borders.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2318"/>
        <w:gridCol w:w="1877"/>
      </w:tblGrid>
      <w:tr w:rsidR="00EB22DA" w14:paraId="1E6AA2BE" w14:textId="77777777" w:rsidTr="00EB22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729A54" w14:textId="77777777" w:rsidR="00EB22DA" w:rsidRDefault="00000000">
            <w:pPr>
              <w:pStyle w:val="Compact"/>
            </w:pPr>
            <w:r>
              <w:t>Header 1</w:t>
            </w:r>
          </w:p>
        </w:tc>
        <w:tc>
          <w:tcPr>
            <w:tcW w:w="0" w:type="auto"/>
          </w:tcPr>
          <w:p w14:paraId="129757CB" w14:textId="77777777" w:rsidR="00EB22DA" w:rsidRDefault="00000000">
            <w:pPr>
              <w:pStyle w:val="Compact"/>
              <w:jc w:val="center"/>
            </w:pPr>
            <w:r>
              <w:t>Header 2 (Centered)</w:t>
            </w:r>
          </w:p>
        </w:tc>
        <w:tc>
          <w:tcPr>
            <w:tcW w:w="0" w:type="auto"/>
          </w:tcPr>
          <w:p w14:paraId="530FC0F7" w14:textId="77777777" w:rsidR="00EB22DA" w:rsidRDefault="00000000">
            <w:pPr>
              <w:pStyle w:val="Compact"/>
              <w:jc w:val="right"/>
            </w:pPr>
            <w:r>
              <w:t>Header 3 (Right)</w:t>
            </w:r>
          </w:p>
        </w:tc>
      </w:tr>
      <w:tr w:rsidR="00EB22DA" w14:paraId="4F5EBD5A" w14:textId="77777777">
        <w:tc>
          <w:tcPr>
            <w:tcW w:w="0" w:type="auto"/>
          </w:tcPr>
          <w:p w14:paraId="7BF212C9" w14:textId="77777777" w:rsidR="00EB22DA" w:rsidRDefault="00000000">
            <w:pPr>
              <w:pStyle w:val="Compact"/>
            </w:pPr>
            <w:r>
              <w:t>Cell 1</w:t>
            </w:r>
          </w:p>
        </w:tc>
        <w:tc>
          <w:tcPr>
            <w:tcW w:w="0" w:type="auto"/>
          </w:tcPr>
          <w:p w14:paraId="10C798F7" w14:textId="77777777" w:rsidR="00EB22DA" w:rsidRDefault="00000000">
            <w:pPr>
              <w:pStyle w:val="Compact"/>
              <w:jc w:val="center"/>
            </w:pPr>
            <w:r>
              <w:t>Cell 2</w:t>
            </w:r>
          </w:p>
        </w:tc>
        <w:tc>
          <w:tcPr>
            <w:tcW w:w="0" w:type="auto"/>
          </w:tcPr>
          <w:p w14:paraId="5443FD71" w14:textId="77777777" w:rsidR="00EB22DA" w:rsidRDefault="00000000">
            <w:pPr>
              <w:pStyle w:val="Compact"/>
              <w:jc w:val="right"/>
            </w:pPr>
            <w:r>
              <w:t>Cell 3</w:t>
            </w:r>
          </w:p>
        </w:tc>
      </w:tr>
      <w:tr w:rsidR="00EB22DA" w14:paraId="0AD708CD" w14:textId="77777777">
        <w:tc>
          <w:tcPr>
            <w:tcW w:w="0" w:type="auto"/>
          </w:tcPr>
          <w:p w14:paraId="009315B8" w14:textId="77777777" w:rsidR="00EB22DA" w:rsidRDefault="00000000">
            <w:pPr>
              <w:pStyle w:val="Compact"/>
            </w:pPr>
            <w:r>
              <w:t>A longer cell</w:t>
            </w:r>
          </w:p>
        </w:tc>
        <w:tc>
          <w:tcPr>
            <w:tcW w:w="0" w:type="auto"/>
          </w:tcPr>
          <w:p w14:paraId="25B4D62A" w14:textId="77777777" w:rsidR="00EB22DA" w:rsidRDefault="00000000">
            <w:pPr>
              <w:pStyle w:val="Compact"/>
              <w:jc w:val="center"/>
            </w:pPr>
            <w:r>
              <w:t>Another cell</w:t>
            </w:r>
          </w:p>
        </w:tc>
        <w:tc>
          <w:tcPr>
            <w:tcW w:w="0" w:type="auto"/>
          </w:tcPr>
          <w:p w14:paraId="2588C414" w14:textId="77777777" w:rsidR="00EB22DA" w:rsidRDefault="00000000">
            <w:pPr>
              <w:pStyle w:val="Compact"/>
              <w:jc w:val="right"/>
            </w:pPr>
            <w:r>
              <w:t>And another</w:t>
            </w:r>
          </w:p>
        </w:tc>
      </w:tr>
      <w:tr w:rsidR="00EB22DA" w14:paraId="3BECEEF6" w14:textId="77777777">
        <w:tc>
          <w:tcPr>
            <w:tcW w:w="0" w:type="auto"/>
          </w:tcPr>
          <w:p w14:paraId="76794DEA" w14:textId="77777777" w:rsidR="00EB22DA" w:rsidRDefault="00000000">
            <w:pPr>
              <w:pStyle w:val="Compact"/>
            </w:pPr>
            <w:r>
              <w:t>Final cell</w:t>
            </w:r>
          </w:p>
        </w:tc>
        <w:tc>
          <w:tcPr>
            <w:tcW w:w="0" w:type="auto"/>
          </w:tcPr>
          <w:p w14:paraId="26AEFD5D" w14:textId="77777777" w:rsidR="00EB22DA" w:rsidRDefault="00000000">
            <w:pPr>
              <w:pStyle w:val="Compact"/>
              <w:jc w:val="center"/>
            </w:pPr>
            <w:r>
              <w:t>The last one</w:t>
            </w:r>
          </w:p>
        </w:tc>
        <w:tc>
          <w:tcPr>
            <w:tcW w:w="0" w:type="auto"/>
          </w:tcPr>
          <w:p w14:paraId="223A9182" w14:textId="77777777" w:rsidR="00EB22DA" w:rsidRDefault="00000000">
            <w:pPr>
              <w:pStyle w:val="Compact"/>
              <w:jc w:val="right"/>
            </w:pPr>
            <w:r>
              <w:t>Done</w:t>
            </w:r>
          </w:p>
        </w:tc>
      </w:tr>
    </w:tbl>
    <w:p w14:paraId="0B9818D4" w14:textId="77777777" w:rsidR="00EB22DA" w:rsidRDefault="00000000">
      <w:pPr>
        <w:pStyle w:val="Heading2"/>
      </w:pPr>
      <w:bookmarkStart w:id="11" w:name="equations"/>
      <w:bookmarkEnd w:id="10"/>
      <w:r>
        <w:t>5. Equations</w:t>
      </w:r>
    </w:p>
    <w:p w14:paraId="64FD3F1A" w14:textId="77777777" w:rsidR="00EB22DA" w:rsidRDefault="00000000">
      <w:pPr>
        <w:pStyle w:val="FirstParagraph"/>
      </w:pPr>
      <w:r>
        <w:t>Both inline and display equations are supported, using LaTeX syntax.</w:t>
      </w:r>
    </w:p>
    <w:p w14:paraId="626AAA3A" w14:textId="77777777" w:rsidR="00EB22D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Inline equation:</w:t>
      </w:r>
      <w:r>
        <w:t xml:space="preserve"> The famous equation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an example of an inline equation.</w:t>
      </w:r>
    </w:p>
    <w:p w14:paraId="31114E7C" w14:textId="77777777" w:rsidR="00EB22D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Display equation:</w:t>
      </w:r>
    </w:p>
    <w:p w14:paraId="7FFCB599" w14:textId="77777777" w:rsidR="00EB22DA" w:rsidRDefault="00000000">
      <w:pPr>
        <w:pStyle w:val="Compac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π</m:t>
              </m:r>
            </m:e>
          </m:rad>
        </m:oMath>
      </m:oMathPara>
    </w:p>
    <w:p w14:paraId="1CCFA486" w14:textId="77777777" w:rsidR="00EB22DA" w:rsidRDefault="00000000">
      <w:pPr>
        <w:pStyle w:val="Heading2"/>
      </w:pPr>
      <w:bookmarkStart w:id="12" w:name="images"/>
      <w:bookmarkEnd w:id="11"/>
      <w:r>
        <w:t>6. Images</w:t>
      </w:r>
    </w:p>
    <w:p w14:paraId="64E75868" w14:textId="2D46A270" w:rsidR="00EB22DA" w:rsidRDefault="00000000">
      <w:pPr>
        <w:pStyle w:val="FirstParagraph"/>
      </w:pPr>
      <w:r>
        <w:rPr>
          <w:b/>
          <w:bCs/>
        </w:rPr>
        <w:t>doxx</w:t>
      </w:r>
      <w:r>
        <w:t xml:space="preserve"> can display images in supported terminals.</w:t>
      </w:r>
      <w:r w:rsidR="00E520E4">
        <w:t xml:space="preserve"> For example, here’s an image of Sonic:</w:t>
      </w:r>
    </w:p>
    <w:p w14:paraId="1A3782AC" w14:textId="1D49C64B" w:rsidR="00EB22DA" w:rsidRDefault="00000000">
      <w:pPr>
        <w:pStyle w:val="BodyText"/>
      </w:pPr>
      <w:r>
        <w:rPr>
          <w:noProof/>
        </w:rPr>
        <w:drawing>
          <wp:inline distT="0" distB="0" distL="0" distR="0" wp14:anchorId="4C982470" wp14:editId="03BAACF1">
            <wp:extent cx="764548" cy="1284441"/>
            <wp:effectExtent l="0" t="0" r="0" b="0"/>
            <wp:docPr id="21" name="Picture" descr="Sonic the Hedgehog from the retro gaming gui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xtracted_images/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8" cy="1284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520E4">
        <w:br/>
      </w:r>
      <w:r w:rsidR="00E520E4">
        <w:br/>
        <w:t>And here are two more images:</w:t>
      </w:r>
      <w:r w:rsidR="00E520E4">
        <w:br/>
      </w:r>
      <w:r>
        <w:lastRenderedPageBreak/>
        <w:t xml:space="preserve"> </w:t>
      </w:r>
      <w:r>
        <w:rPr>
          <w:noProof/>
        </w:rPr>
        <w:drawing>
          <wp:inline distT="0" distB="0" distL="0" distR="0" wp14:anchorId="2B893B45" wp14:editId="4AB395DD">
            <wp:extent cx="5334000" cy="3556000"/>
            <wp:effectExtent l="0" t="0" r="0" b="0"/>
            <wp:docPr id="24" name="Picture" descr="A jpg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extracted_images/image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E520E4">
        <w:br/>
      </w:r>
      <w:r w:rsidR="00E520E4">
        <w:br/>
      </w:r>
      <w:r>
        <w:rPr>
          <w:noProof/>
        </w:rPr>
        <w:drawing>
          <wp:inline distT="0" distB="0" distL="0" distR="0" wp14:anchorId="66892A48" wp14:editId="3727F4AF">
            <wp:extent cx="5334000" cy="3550464"/>
            <wp:effectExtent l="0" t="0" r="0" b="0"/>
            <wp:docPr id="27" name="Picture" descr="A jpeg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extracted_images/image2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E9CC1BF" w14:textId="77777777" w:rsidR="00EB22DA" w:rsidRDefault="00000000">
      <w:pPr>
        <w:pStyle w:val="Heading2"/>
      </w:pPr>
      <w:bookmarkStart w:id="13" w:name="unicode"/>
      <w:bookmarkEnd w:id="12"/>
      <w:r>
        <w:t>7. Unicode</w:t>
      </w:r>
    </w:p>
    <w:p w14:paraId="3EC19E3E" w14:textId="77777777" w:rsidR="00EB22DA" w:rsidRDefault="00000000">
      <w:pPr>
        <w:pStyle w:val="FirstParagraph"/>
      </w:pPr>
      <w:r>
        <w:t>Special Unicode characters are also supported:</w:t>
      </w:r>
    </w:p>
    <w:p w14:paraId="24E092E8" w14:textId="77777777" w:rsidR="00EB22DA" w:rsidRDefault="00000000">
      <w:pPr>
        <w:pStyle w:val="Compact"/>
        <w:numPr>
          <w:ilvl w:val="0"/>
          <w:numId w:val="9"/>
        </w:numPr>
      </w:pPr>
      <w:r>
        <w:lastRenderedPageBreak/>
        <w:t>Emojis: 🚀✨📄</w:t>
      </w:r>
    </w:p>
    <w:p w14:paraId="567094B6" w14:textId="77777777" w:rsidR="00EB22DA" w:rsidRDefault="00000000">
      <w:pPr>
        <w:pStyle w:val="Compact"/>
        <w:numPr>
          <w:ilvl w:val="0"/>
          <w:numId w:val="9"/>
        </w:numPr>
      </w:pPr>
      <w:r>
        <w:t>Symbols: © ® ™</w:t>
      </w:r>
    </w:p>
    <w:p w14:paraId="3806006E" w14:textId="77777777" w:rsidR="00EB22DA" w:rsidRDefault="00000000">
      <w:pPr>
        <w:pStyle w:val="Compact"/>
        <w:numPr>
          <w:ilvl w:val="0"/>
          <w:numId w:val="9"/>
        </w:numPr>
      </w:pPr>
      <w:r>
        <w:t xml:space="preserve">Languages: </w:t>
      </w:r>
      <w:r>
        <w:rPr>
          <w:rFonts w:hint="eastAsia"/>
        </w:rPr>
        <w:t>你好</w:t>
      </w:r>
      <w:r>
        <w:rPr>
          <w:rFonts w:hint="eastAsia"/>
        </w:rPr>
        <w:t>,</w:t>
      </w:r>
      <w:r>
        <w:t xml:space="preserve"> </w:t>
      </w:r>
      <w:r>
        <w:t>こんにちは</w:t>
      </w:r>
      <w:r>
        <w:t xml:space="preserve">, </w:t>
      </w:r>
      <w:r>
        <w:t>안녕하세요</w:t>
      </w:r>
    </w:p>
    <w:p w14:paraId="594B4E88" w14:textId="77777777" w:rsidR="00EB22DA" w:rsidRDefault="000F249C">
      <w:r>
        <w:rPr>
          <w:noProof/>
        </w:rPr>
      </w:r>
      <w:r w:rsidR="000F249C">
        <w:rPr>
          <w:noProof/>
        </w:rPr>
        <w:pict w14:anchorId="213E5953">
          <v:rect id="_x0000_i1025" alt="" style="width:468pt;height:.05pt;mso-width-percent:0;mso-height-percent:0;mso-width-percent:0;mso-height-percent:0" o:hralign="center" o:hrstd="t" o:hr="t"/>
        </w:pict>
      </w:r>
    </w:p>
    <w:p w14:paraId="391097B1" w14:textId="77777777" w:rsidR="00EB22DA" w:rsidRDefault="00000000">
      <w:pPr>
        <w:pStyle w:val="FirstParagraph"/>
      </w:pPr>
      <w:r>
        <w:t>This concludes the feature showcase!</w:t>
      </w:r>
      <w:bookmarkEnd w:id="0"/>
      <w:bookmarkEnd w:id="13"/>
    </w:p>
    <w:sectPr w:rsidR="00EB22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AAC0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5C6D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754E0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03045996">
    <w:abstractNumId w:val="0"/>
  </w:num>
  <w:num w:numId="2" w16cid:durableId="1982883604">
    <w:abstractNumId w:val="1"/>
  </w:num>
  <w:num w:numId="3" w16cid:durableId="184251338">
    <w:abstractNumId w:val="1"/>
  </w:num>
  <w:num w:numId="4" w16cid:durableId="15893399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79589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77500098">
    <w:abstractNumId w:val="1"/>
  </w:num>
  <w:num w:numId="7" w16cid:durableId="1595168208">
    <w:abstractNumId w:val="1"/>
  </w:num>
  <w:num w:numId="8" w16cid:durableId="2048987001">
    <w:abstractNumId w:val="1"/>
  </w:num>
  <w:num w:numId="9" w16cid:durableId="473789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22DA"/>
    <w:rsid w:val="000F249C"/>
    <w:rsid w:val="00111C77"/>
    <w:rsid w:val="004A7CF8"/>
    <w:rsid w:val="00744DB2"/>
    <w:rsid w:val="00822028"/>
    <w:rsid w:val="008B07AD"/>
    <w:rsid w:val="00E520E4"/>
    <w:rsid w:val="00EB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822B"/>
  <w15:docId w15:val="{EB3DCBFE-06FA-094D-80C3-D3A57E075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Greenwell, Brandon (greenwbm)</cp:lastModifiedBy>
  <cp:revision>7</cp:revision>
  <dcterms:created xsi:type="dcterms:W3CDTF">2025-10-26T01:34:00Z</dcterms:created>
  <dcterms:modified xsi:type="dcterms:W3CDTF">2025-10-26T01:44:00Z</dcterms:modified>
</cp:coreProperties>
</file>