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Effective Communication Sparks Climate Action</w:t>
      </w:r>
    </w:p>
    <w:p/>
    <w:p>
      <w:pPr>
        <w:jc w:val="both"/>
      </w:pPr>
      <w:r>
        <w:rPr>
          <w:b/>
        </w:rPr>
        <w:t>Introduction</w:t>
      </w:r>
      <w:r>
        <w:t xml:space="preserve">  </w:t>
        <w:br/>
        <w:t>People are more willing to adopt sustainable actions when they feel empowered and positive about making changes. Yet, daily challenges like financial stress and limited time often block their efforts. These barriers make it hard for many to follow through on good intentions, highlighting the need for approaches that recognize real-life struggles while motivating lasting behavior change.</w:t>
      </w:r>
    </w:p>
    <w:p/>
    <w:p>
      <w:pPr>
        <w:jc w:val="both"/>
      </w:pPr>
      <w:r>
        <w:rPr>
          <w:b/>
        </w:rPr>
        <w:t>Societal Impact</w:t>
      </w:r>
      <w:r>
        <w:t xml:space="preserve">  </w:t>
        <w:br/>
        <w:t>Bringing communities together through events that combine expert insights with enjoyable social elements like food and music creates a welcoming space for open conversation. This bottom-up approach nurtures meaningful connections and shared learning, helping to build a stronger, collective momentum for climate action. By fostering positive experiences and community bonds, these events empower individuals to feel free to contribute in ways that resonate personally and socially.</w:t>
      </w:r>
    </w:p>
    <w:p/>
    <w:p>
      <w:pPr>
        <w:jc w:val="both"/>
      </w:pPr>
      <w:r>
        <w:rPr>
          <w:b/>
        </w:rPr>
        <w:t>Research and Approach</w:t>
      </w:r>
      <w:r>
        <w:t xml:space="preserve">  </w:t>
        <w:br/>
        <w:t>Listening carefully to people’s behaviors and perspectives reveals what truly influences their actions. This empathy-driven understanding allows for crafting strategic nudges—small, thoughtful prompts that encourage sustainable choices. By tailoring messages and interventions to real needs and habits, this approach respects individual freedom while gently guiding behavior toward environmental responsibility.</w:t>
      </w:r>
    </w:p>
    <w:p/>
    <w:p>
      <w:pPr>
        <w:jc w:val="both"/>
      </w:pPr>
      <w:r>
        <w:rPr>
          <w:b/>
        </w:rPr>
        <w:t>People and Collaboration</w:t>
      </w:r>
      <w:r>
        <w:t xml:space="preserve">  </w:t>
        <w:br/>
        <w:t>Encouraging group support through chats and reward systems creates a sense of belonging and shared purpose. Celebrating individual efforts motivates ongoing participation and reinforces freedom in choosing how to engage. Together, these collaborative strategies build a supportive network that inspires people to act sustainably on their own terms.</w:t>
      </w:r>
    </w:p>
    <w:p/>
    <w:p>
      <w:pPr>
        <w:jc w:val="both"/>
      </w:pPr>
      <w:r>
        <w:rPr>
          <w:b/>
        </w:rPr>
        <w:t>Conclusion/Outlook</w:t>
      </w:r>
      <w:r>
        <w:t xml:space="preserve">  </w:t>
        <w:br/>
        <w:t>By placing subtle nudges like recycle bins and reminders along daily routes, people receive gentle invitations to make eco-friendly choices without feeling pressured. This approach respects personal freedom, making sustainable habits feel natural and accessible. Over time, these small interventions can unlock lasting change, empowering individuals to live freely while caring for the planet.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