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AE06A" w14:textId="459B0C10" w:rsidR="0049102B" w:rsidRPr="00C52794" w:rsidRDefault="00F77FD9" w:rsidP="00AD04E8">
      <w:pPr>
        <w:tabs>
          <w:tab w:val="left" w:pos="2410"/>
        </w:tabs>
        <w:ind w:left="426" w:right="-6" w:firstLine="141"/>
        <w:jc w:val="center"/>
        <w:rPr>
          <w:rFonts w:ascii="Cambria" w:hAnsi="Cambria"/>
          <w:color w:val="1F4E79" w:themeColor="accent1" w:themeShade="80"/>
          <w:sz w:val="30"/>
          <w:szCs w:val="30"/>
        </w:rPr>
      </w:pPr>
      <w:r w:rsidRPr="00C52794">
        <w:rPr>
          <w:rFonts w:ascii="Cambria" w:hAnsi="Cambria"/>
          <w:color w:val="1F4E79" w:themeColor="accent1" w:themeShade="80"/>
          <w:sz w:val="30"/>
          <w:szCs w:val="30"/>
        </w:rPr>
        <w:t xml:space="preserve">The </w:t>
      </w:r>
      <w:proofErr w:type="spellStart"/>
      <w:r w:rsidR="00900211" w:rsidRPr="00C52794">
        <w:rPr>
          <w:rFonts w:ascii="Cambria" w:hAnsi="Cambria"/>
          <w:color w:val="1F4E79" w:themeColor="accent1" w:themeShade="80"/>
          <w:sz w:val="30"/>
          <w:szCs w:val="30"/>
        </w:rPr>
        <w:t>de.NBI</w:t>
      </w:r>
      <w:proofErr w:type="spellEnd"/>
      <w:r w:rsidR="00900211" w:rsidRPr="00C52794">
        <w:rPr>
          <w:rFonts w:ascii="Cambria" w:hAnsi="Cambria"/>
          <w:color w:val="1F4E79" w:themeColor="accent1" w:themeShade="80"/>
          <w:sz w:val="30"/>
          <w:szCs w:val="30"/>
        </w:rPr>
        <w:t xml:space="preserve"> project</w:t>
      </w:r>
      <w:r w:rsidR="0049102B" w:rsidRPr="00C52794">
        <w:rPr>
          <w:rFonts w:ascii="Cambria" w:hAnsi="Cambria"/>
          <w:color w:val="1F4E79" w:themeColor="accent1" w:themeShade="80"/>
          <w:sz w:val="30"/>
          <w:szCs w:val="30"/>
        </w:rPr>
        <w:t xml:space="preserve"> </w:t>
      </w:r>
      <w:proofErr w:type="spellStart"/>
      <w:r w:rsidR="00A36A33">
        <w:rPr>
          <w:rFonts w:ascii="Cambria" w:hAnsi="Cambria"/>
          <w:color w:val="1F4E79" w:themeColor="accent1" w:themeShade="80"/>
          <w:sz w:val="30"/>
          <w:szCs w:val="30"/>
        </w:rPr>
        <w:t>de.STAIR</w:t>
      </w:r>
      <w:proofErr w:type="spellEnd"/>
      <w:r w:rsidR="00C15D49">
        <w:rPr>
          <w:rFonts w:ascii="Cambria" w:hAnsi="Cambria"/>
          <w:color w:val="1F4E79" w:themeColor="accent1" w:themeShade="80"/>
          <w:sz w:val="30"/>
          <w:szCs w:val="30"/>
        </w:rPr>
        <w:t xml:space="preserve"> </w:t>
      </w:r>
      <w:r w:rsidR="00E33E8A">
        <w:rPr>
          <w:rFonts w:ascii="Cambria" w:hAnsi="Cambria"/>
          <w:color w:val="1F4E79" w:themeColor="accent1" w:themeShade="80"/>
          <w:sz w:val="30"/>
          <w:szCs w:val="30"/>
        </w:rPr>
        <w:t xml:space="preserve"> 2</w:t>
      </w:r>
      <w:r w:rsidR="00D2623B" w:rsidRPr="00C52794">
        <w:rPr>
          <w:rFonts w:ascii="Cambria" w:hAnsi="Cambria"/>
          <w:color w:val="1F4E79" w:themeColor="accent1" w:themeShade="80"/>
          <w:sz w:val="30"/>
          <w:szCs w:val="30"/>
        </w:rPr>
        <w:t xml:space="preserve"> </w:t>
      </w:r>
      <w:r w:rsidRPr="00C52794">
        <w:rPr>
          <w:rFonts w:ascii="Cambria" w:hAnsi="Cambria"/>
          <w:color w:val="1F4E79" w:themeColor="accent1" w:themeShade="80"/>
          <w:sz w:val="30"/>
          <w:szCs w:val="30"/>
        </w:rPr>
        <w:t xml:space="preserve">– </w:t>
      </w:r>
      <w:r w:rsidR="00636C73">
        <w:rPr>
          <w:rFonts w:ascii="Cambria" w:hAnsi="Cambria"/>
          <w:color w:val="1F4E79" w:themeColor="accent1" w:themeShade="80"/>
          <w:sz w:val="30"/>
          <w:szCs w:val="30"/>
        </w:rPr>
        <w:t xml:space="preserve">Regulatory RNA </w:t>
      </w:r>
      <w:bookmarkStart w:id="0" w:name="_GoBack"/>
      <w:bookmarkEnd w:id="0"/>
      <w:r w:rsidR="00925C23" w:rsidRPr="00925C23">
        <w:rPr>
          <w:rFonts w:ascii="Cambria" w:hAnsi="Cambria"/>
          <w:color w:val="1F4E79" w:themeColor="accent1" w:themeShade="80"/>
          <w:sz w:val="30"/>
          <w:szCs w:val="30"/>
        </w:rPr>
        <w:t xml:space="preserve">and </w:t>
      </w:r>
      <w:r w:rsidR="00636C73">
        <w:rPr>
          <w:rFonts w:ascii="Cambria" w:hAnsi="Cambria"/>
          <w:color w:val="1F4E79" w:themeColor="accent1" w:themeShade="80"/>
          <w:sz w:val="30"/>
          <w:szCs w:val="30"/>
        </w:rPr>
        <w:t>Data</w:t>
      </w:r>
    </w:p>
    <w:p w14:paraId="2008A179" w14:textId="4A4BAA51" w:rsidR="002C4B36" w:rsidRDefault="002C4B36" w:rsidP="00D21DC4">
      <w:pPr>
        <w:tabs>
          <w:tab w:val="left" w:pos="2410"/>
        </w:tabs>
        <w:ind w:left="426" w:right="561"/>
        <w:jc w:val="center"/>
        <w:rPr>
          <w:rFonts w:ascii="Cambria" w:hAnsi="Cambria"/>
          <w:color w:val="1F4E79" w:themeColor="accent1" w:themeShade="80"/>
          <w:sz w:val="32"/>
          <w:szCs w:val="32"/>
        </w:rPr>
      </w:pPr>
    </w:p>
    <w:p w14:paraId="0162FDDA" w14:textId="1051A145" w:rsidR="0049102B" w:rsidRPr="00994046" w:rsidRDefault="00C52794" w:rsidP="00C52794">
      <w:pPr>
        <w:tabs>
          <w:tab w:val="left" w:pos="4530"/>
        </w:tabs>
        <w:ind w:right="75"/>
        <w:jc w:val="both"/>
        <w:rPr>
          <w:rFonts w:ascii="Cambria" w:hAnsi="Cambria"/>
          <w:i/>
          <w:color w:val="1F4E79" w:themeColor="accent1" w:themeShade="80"/>
          <w:sz w:val="26"/>
          <w:szCs w:val="26"/>
        </w:rPr>
      </w:pPr>
      <w:r w:rsidRPr="00994046"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The </w:t>
      </w:r>
      <w:proofErr w:type="spellStart"/>
      <w:r w:rsidR="00A36A33">
        <w:rPr>
          <w:rFonts w:ascii="Cambria" w:hAnsi="Cambria"/>
          <w:i/>
          <w:color w:val="1F4E79" w:themeColor="accent1" w:themeShade="80"/>
          <w:sz w:val="26"/>
          <w:szCs w:val="26"/>
        </w:rPr>
        <w:t>de.STAIR</w:t>
      </w:r>
      <w:proofErr w:type="spellEnd"/>
      <w:r w:rsidR="00C15D49"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 </w:t>
      </w:r>
      <w:r w:rsidR="00967FA6">
        <w:rPr>
          <w:rFonts w:ascii="Cambria" w:hAnsi="Cambria"/>
          <w:i/>
          <w:color w:val="1F4E79" w:themeColor="accent1" w:themeShade="80"/>
          <w:sz w:val="26"/>
          <w:szCs w:val="26"/>
        </w:rPr>
        <w:t>2</w:t>
      </w:r>
      <w:r w:rsidRPr="00994046"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 </w:t>
      </w:r>
      <w:proofErr w:type="gramStart"/>
      <w:r w:rsidRPr="00994046">
        <w:rPr>
          <w:rFonts w:ascii="Cambria" w:hAnsi="Cambria"/>
          <w:i/>
          <w:color w:val="1F4E79" w:themeColor="accent1" w:themeShade="80"/>
          <w:sz w:val="26"/>
          <w:szCs w:val="26"/>
        </w:rPr>
        <w:t>project</w:t>
      </w:r>
      <w:proofErr w:type="gramEnd"/>
      <w:r w:rsidRPr="00994046"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 at </w:t>
      </w:r>
      <w:r w:rsidR="00925C23">
        <w:rPr>
          <w:rFonts w:ascii="Cambria" w:hAnsi="Cambria"/>
          <w:i/>
          <w:color w:val="1F4E79" w:themeColor="accent1" w:themeShade="80"/>
          <w:sz w:val="26"/>
          <w:szCs w:val="26"/>
        </w:rPr>
        <w:t>Fr</w:t>
      </w:r>
      <w:r w:rsidR="00A36A33"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eiburg University </w:t>
      </w:r>
      <w:r w:rsidR="00925C23" w:rsidRPr="00925C23"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deals with specific aspects of the workflow design, its technical integration and pre-processing. </w:t>
      </w:r>
      <w:proofErr w:type="spellStart"/>
      <w:r w:rsidR="00A36A33">
        <w:rPr>
          <w:rFonts w:ascii="Cambria" w:hAnsi="Cambria"/>
          <w:i/>
          <w:color w:val="1F4E79" w:themeColor="accent1" w:themeShade="80"/>
          <w:sz w:val="26"/>
          <w:szCs w:val="26"/>
        </w:rPr>
        <w:t>De.STAIR</w:t>
      </w:r>
      <w:proofErr w:type="spellEnd"/>
      <w:r w:rsidR="00967FA6"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 2</w:t>
      </w:r>
      <w:r w:rsidR="00925C23"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 offers</w:t>
      </w:r>
      <w:r w:rsidR="00925C23" w:rsidRPr="00925C23"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 </w:t>
      </w:r>
      <w:r w:rsidR="00925C23"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services for </w:t>
      </w:r>
      <w:r w:rsidR="00925C23" w:rsidRPr="00925C23">
        <w:rPr>
          <w:rFonts w:ascii="Cambria" w:hAnsi="Cambria"/>
          <w:i/>
          <w:color w:val="1F4E79" w:themeColor="accent1" w:themeShade="80"/>
          <w:sz w:val="26"/>
          <w:szCs w:val="26"/>
        </w:rPr>
        <w:t>the analysis of complex RNA-</w:t>
      </w:r>
      <w:proofErr w:type="spellStart"/>
      <w:r w:rsidR="00925C23" w:rsidRPr="00925C23">
        <w:rPr>
          <w:rFonts w:ascii="Cambria" w:hAnsi="Cambria"/>
          <w:i/>
          <w:color w:val="1F4E79" w:themeColor="accent1" w:themeShade="80"/>
          <w:sz w:val="26"/>
          <w:szCs w:val="26"/>
        </w:rPr>
        <w:t>Seq</w:t>
      </w:r>
      <w:proofErr w:type="spellEnd"/>
      <w:r w:rsidR="00925C23" w:rsidRPr="00925C23"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 datasets, the development, benchmarking and accommodation of novel analysis methods with the Galaxy and RBC workbench, the integration of results into the regulatory context </w:t>
      </w:r>
      <w:r w:rsidR="00925C23"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and contributes to </w:t>
      </w:r>
      <w:r w:rsidR="00925C23" w:rsidRPr="00925C23">
        <w:rPr>
          <w:rFonts w:ascii="Cambria" w:hAnsi="Cambria"/>
          <w:i/>
          <w:color w:val="1F4E79" w:themeColor="accent1" w:themeShade="80"/>
          <w:sz w:val="26"/>
          <w:szCs w:val="26"/>
        </w:rPr>
        <w:t>the community trainings</w:t>
      </w:r>
      <w:r w:rsidR="00925C23"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. </w:t>
      </w:r>
    </w:p>
    <w:p w14:paraId="64067D44" w14:textId="23799D4F" w:rsidR="006979C7" w:rsidRPr="00C52794" w:rsidRDefault="006979C7" w:rsidP="006979C7">
      <w:pPr>
        <w:rPr>
          <w:rFonts w:ascii="Cambria" w:hAnsi="Cambria"/>
          <w:color w:val="1F4E79" w:themeColor="accent1" w:themeShade="80"/>
          <w:sz w:val="32"/>
          <w:szCs w:val="32"/>
        </w:rPr>
      </w:pPr>
    </w:p>
    <w:p w14:paraId="07E90287" w14:textId="6A7AD519" w:rsidR="00101831" w:rsidRPr="00C52794" w:rsidRDefault="00101831" w:rsidP="00D43D56">
      <w:pPr>
        <w:ind w:right="-6"/>
        <w:jc w:val="both"/>
        <w:rPr>
          <w:rFonts w:ascii="Cambria" w:eastAsia="Times New Roman" w:hAnsi="Cambria" w:cs="Times New Roman"/>
          <w:b/>
          <w:i/>
          <w:sz w:val="28"/>
          <w:szCs w:val="28"/>
          <w:lang w:eastAsia="de-DE"/>
        </w:rPr>
        <w:sectPr w:rsidR="00101831" w:rsidRPr="00C52794" w:rsidSect="006979C7">
          <w:type w:val="continuous"/>
          <w:pgSz w:w="11900" w:h="16840"/>
          <w:pgMar w:top="1417" w:right="1417" w:bottom="1134" w:left="1417" w:header="708" w:footer="708" w:gutter="0"/>
          <w:cols w:space="6"/>
          <w:docGrid w:linePitch="360"/>
        </w:sectPr>
      </w:pPr>
    </w:p>
    <w:p w14:paraId="5F68341F" w14:textId="4405B6F3" w:rsidR="00D43D56" w:rsidRPr="00C52794" w:rsidRDefault="00D43D56" w:rsidP="0049102B">
      <w:pPr>
        <w:ind w:right="4955"/>
        <w:jc w:val="both"/>
        <w:rPr>
          <w:rFonts w:ascii="Cambria" w:eastAsia="Times New Roman" w:hAnsi="Cambria" w:cs="Times New Roman"/>
          <w:b/>
          <w:i/>
          <w:sz w:val="28"/>
          <w:szCs w:val="28"/>
          <w:lang w:eastAsia="de-DE"/>
        </w:rPr>
        <w:sectPr w:rsidR="00D43D56" w:rsidRPr="00C52794" w:rsidSect="006979C7">
          <w:type w:val="continuous"/>
          <w:pgSz w:w="11900" w:h="16840"/>
          <w:pgMar w:top="1417" w:right="1417" w:bottom="1134" w:left="1417" w:header="708" w:footer="708" w:gutter="0"/>
          <w:cols w:num="2" w:space="6"/>
          <w:docGrid w:linePitch="360"/>
        </w:sect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686"/>
      </w:tblGrid>
      <w:tr w:rsidR="00C81616" w14:paraId="217559BD" w14:textId="77777777" w:rsidTr="00925C23">
        <w:trPr>
          <w:trHeight w:val="2835"/>
          <w:jc w:val="center"/>
        </w:trPr>
        <w:tc>
          <w:tcPr>
            <w:tcW w:w="3686" w:type="dxa"/>
            <w:vAlign w:val="center"/>
          </w:tcPr>
          <w:p w14:paraId="0FC023DE" w14:textId="3D2FFB84" w:rsidR="00C81616" w:rsidRDefault="00C81616" w:rsidP="00C8161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i/>
                <w:noProof/>
                <w:color w:val="0070C0"/>
                <w:sz w:val="26"/>
                <w:szCs w:val="26"/>
                <w:lang w:val="de-DE" w:eastAsia="de-DE"/>
              </w:rPr>
              <w:lastRenderedPageBreak/>
              <w:drawing>
                <wp:inline distT="0" distB="0" distL="0" distR="0" wp14:anchorId="74D0CA32" wp14:editId="08E9D8CD">
                  <wp:extent cx="1231518" cy="163830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038" cy="16509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592CA9A7" w14:textId="3972FD37" w:rsidR="00C81616" w:rsidRDefault="00C81616" w:rsidP="00C81616">
            <w:pPr>
              <w:jc w:val="center"/>
              <w:rPr>
                <w:rFonts w:ascii="Cambria" w:hAnsi="Cambria"/>
              </w:rPr>
            </w:pPr>
            <w:r w:rsidRPr="006D550B">
              <w:rPr>
                <w:rFonts w:ascii="Cambria" w:hAnsi="Cambria"/>
                <w:i/>
                <w:noProof/>
                <w:color w:val="0070C0"/>
                <w:sz w:val="26"/>
                <w:szCs w:val="26"/>
                <w:lang w:val="de-DE" w:eastAsia="de-DE"/>
              </w:rPr>
              <w:drawing>
                <wp:inline distT="0" distB="0" distL="0" distR="0" wp14:anchorId="0B6907B7" wp14:editId="5759BE10">
                  <wp:extent cx="1270800" cy="1616400"/>
                  <wp:effectExtent l="0" t="0" r="5715" b="3175"/>
                  <wp:docPr id="3" name="DSCF72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" name="DSCF7243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800" cy="1616400"/>
                          </a:xfrm>
                          <a:prstGeom prst="rect">
                            <a:avLst/>
                          </a:prstGeom>
                          <a:ln w="12700">
                            <a:miter lim="400000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616" w:rsidRPr="00C81616" w14:paraId="6FA63893" w14:textId="77777777" w:rsidTr="00925C23">
        <w:trPr>
          <w:jc w:val="center"/>
        </w:trPr>
        <w:tc>
          <w:tcPr>
            <w:tcW w:w="3686" w:type="dxa"/>
            <w:vAlign w:val="center"/>
          </w:tcPr>
          <w:p w14:paraId="367A4F67" w14:textId="77777777" w:rsidR="00C81616" w:rsidRPr="005266E9" w:rsidRDefault="00C81616" w:rsidP="00C81616">
            <w:pPr>
              <w:jc w:val="center"/>
              <w:rPr>
                <w:rFonts w:ascii="Cambria" w:hAnsi="Cambria"/>
                <w:sz w:val="21"/>
                <w:szCs w:val="21"/>
                <w:lang w:val="de-DE"/>
              </w:rPr>
            </w:pPr>
            <w:r w:rsidRPr="005266E9">
              <w:rPr>
                <w:rFonts w:ascii="Cambria" w:hAnsi="Cambria"/>
                <w:sz w:val="21"/>
                <w:szCs w:val="21"/>
                <w:lang w:val="de-DE"/>
              </w:rPr>
              <w:t>Wolfgang R. Hess, Project leader</w:t>
            </w:r>
          </w:p>
          <w:p w14:paraId="0D44E5B5" w14:textId="77777777" w:rsidR="00C81616" w:rsidRPr="00C81616" w:rsidRDefault="00C81616" w:rsidP="00C81616">
            <w:pPr>
              <w:jc w:val="center"/>
              <w:rPr>
                <w:rFonts w:ascii="Cambria" w:hAnsi="Cambria"/>
                <w:i/>
                <w:sz w:val="21"/>
                <w:szCs w:val="21"/>
                <w:lang w:val="de-DE"/>
              </w:rPr>
            </w:pPr>
            <w:r w:rsidRPr="00C81616">
              <w:rPr>
                <w:rFonts w:ascii="Cambria" w:hAnsi="Cambria"/>
                <w:i/>
                <w:sz w:val="21"/>
                <w:szCs w:val="21"/>
                <w:lang w:val="de-DE"/>
              </w:rPr>
              <w:t>Freiburg University</w:t>
            </w:r>
          </w:p>
          <w:p w14:paraId="272D0894" w14:textId="77777777" w:rsidR="00C81616" w:rsidRPr="00C81616" w:rsidRDefault="00636C73" w:rsidP="00C81616">
            <w:pPr>
              <w:jc w:val="center"/>
              <w:rPr>
                <w:rFonts w:ascii="Baskerville Old Face" w:eastAsia="Times New Roman" w:hAnsi="Baskerville Old Face" w:cs="Times New Roman"/>
                <w:i/>
                <w:sz w:val="22"/>
                <w:szCs w:val="22"/>
                <w:lang w:val="de-DE" w:eastAsia="de-DE"/>
              </w:rPr>
            </w:pPr>
            <w:hyperlink r:id="rId8" w:history="1">
              <w:r w:rsidR="00C81616" w:rsidRPr="00C81616">
                <w:rPr>
                  <w:rStyle w:val="Hyperlink"/>
                  <w:rFonts w:ascii="Cambria" w:eastAsia="Times New Roman" w:hAnsi="Cambria" w:cs="Times New Roman"/>
                  <w:i/>
                  <w:sz w:val="21"/>
                  <w:szCs w:val="21"/>
                  <w:lang w:val="de-DE" w:eastAsia="de-DE"/>
                </w:rPr>
                <w:t>wolfgang.hess@biologie.uni-freiburg.de</w:t>
              </w:r>
            </w:hyperlink>
          </w:p>
          <w:p w14:paraId="71E56AA5" w14:textId="77777777" w:rsidR="00C81616" w:rsidRDefault="00C81616" w:rsidP="00C81616">
            <w:pPr>
              <w:jc w:val="center"/>
              <w:rPr>
                <w:rFonts w:ascii="Cambria" w:hAnsi="Cambria"/>
                <w:i/>
                <w:noProof/>
                <w:color w:val="0070C0"/>
                <w:sz w:val="26"/>
                <w:szCs w:val="26"/>
                <w:lang w:val="de-DE" w:eastAsia="de-DE"/>
              </w:rPr>
            </w:pPr>
          </w:p>
        </w:tc>
        <w:tc>
          <w:tcPr>
            <w:tcW w:w="3686" w:type="dxa"/>
            <w:vAlign w:val="center"/>
          </w:tcPr>
          <w:p w14:paraId="2C02EAF8" w14:textId="77777777" w:rsidR="00C81616" w:rsidRPr="00994046" w:rsidRDefault="00C81616" w:rsidP="00C81616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Steffen Lott</w:t>
            </w:r>
            <w:r w:rsidRPr="00994046">
              <w:rPr>
                <w:rFonts w:ascii="Cambria" w:hAnsi="Cambria"/>
                <w:sz w:val="21"/>
                <w:szCs w:val="21"/>
              </w:rPr>
              <w:t xml:space="preserve">, Project </w:t>
            </w:r>
            <w:r>
              <w:rPr>
                <w:rFonts w:ascii="Cambria" w:hAnsi="Cambria"/>
                <w:sz w:val="21"/>
                <w:szCs w:val="21"/>
              </w:rPr>
              <w:t>coworker</w:t>
            </w:r>
          </w:p>
          <w:p w14:paraId="06FCE8DD" w14:textId="77777777" w:rsidR="00C81616" w:rsidRPr="00994046" w:rsidRDefault="00C81616" w:rsidP="00C81616">
            <w:pPr>
              <w:jc w:val="center"/>
              <w:rPr>
                <w:rFonts w:ascii="Cambria" w:hAnsi="Cambria"/>
                <w:i/>
                <w:sz w:val="21"/>
                <w:szCs w:val="21"/>
              </w:rPr>
            </w:pPr>
            <w:r w:rsidRPr="00994046">
              <w:rPr>
                <w:rFonts w:ascii="Cambria" w:hAnsi="Cambria"/>
                <w:i/>
                <w:sz w:val="21"/>
                <w:szCs w:val="21"/>
              </w:rPr>
              <w:t>Freiburg University</w:t>
            </w:r>
          </w:p>
          <w:p w14:paraId="2F7E25AD" w14:textId="77777777" w:rsidR="00C81616" w:rsidRPr="001B0ABD" w:rsidRDefault="00636C73" w:rsidP="00C81616">
            <w:pPr>
              <w:jc w:val="center"/>
              <w:rPr>
                <w:rFonts w:ascii="Baskerville Old Face" w:eastAsia="Times New Roman" w:hAnsi="Baskerville Old Face" w:cs="Times New Roman"/>
                <w:i/>
                <w:sz w:val="22"/>
                <w:szCs w:val="22"/>
                <w:lang w:eastAsia="de-DE"/>
              </w:rPr>
            </w:pPr>
            <w:hyperlink r:id="rId9" w:history="1">
              <w:r w:rsidR="00C81616" w:rsidRPr="00817819">
                <w:rPr>
                  <w:rStyle w:val="Hyperlink"/>
                  <w:rFonts w:ascii="Cambria" w:eastAsia="Times New Roman" w:hAnsi="Cambria" w:cs="Times New Roman"/>
                  <w:i/>
                  <w:sz w:val="21"/>
                  <w:szCs w:val="21"/>
                  <w:lang w:eastAsia="de-DE"/>
                </w:rPr>
                <w:t>steffen.lott@biologie.uni-freiburg.de</w:t>
              </w:r>
            </w:hyperlink>
          </w:p>
          <w:p w14:paraId="093920A6" w14:textId="77777777" w:rsidR="00C81616" w:rsidRPr="00C81616" w:rsidRDefault="00C81616" w:rsidP="00C81616">
            <w:pPr>
              <w:jc w:val="center"/>
              <w:rPr>
                <w:rFonts w:ascii="Cambria" w:hAnsi="Cambria"/>
                <w:i/>
                <w:color w:val="0070C0"/>
                <w:sz w:val="26"/>
                <w:szCs w:val="26"/>
              </w:rPr>
            </w:pPr>
          </w:p>
        </w:tc>
      </w:tr>
    </w:tbl>
    <w:p w14:paraId="7B10DEC4" w14:textId="27AD649D" w:rsidR="0049102B" w:rsidRPr="00C81616" w:rsidRDefault="0049102B">
      <w:pPr>
        <w:rPr>
          <w:rFonts w:ascii="Cambria" w:hAnsi="Cambria"/>
        </w:rPr>
      </w:pPr>
    </w:p>
    <w:p w14:paraId="5F34CA10" w14:textId="77777777" w:rsidR="00C52794" w:rsidRPr="00C81616" w:rsidRDefault="00C52794" w:rsidP="00C52794">
      <w:pPr>
        <w:spacing w:after="120"/>
        <w:jc w:val="both"/>
        <w:rPr>
          <w:rFonts w:ascii="Baskerville Old Face" w:hAnsi="Baskerville Old Face"/>
          <w:sz w:val="22"/>
          <w:szCs w:val="22"/>
        </w:rPr>
      </w:pPr>
    </w:p>
    <w:p w14:paraId="4EC1B6C8" w14:textId="6D43A536" w:rsidR="00C52794" w:rsidRPr="00BA649C" w:rsidRDefault="00C52794" w:rsidP="00C52794">
      <w:pPr>
        <w:spacing w:after="120"/>
        <w:jc w:val="both"/>
        <w:rPr>
          <w:rFonts w:ascii="Cambria" w:hAnsi="Cambria"/>
          <w:b/>
          <w:sz w:val="22"/>
          <w:szCs w:val="22"/>
        </w:rPr>
      </w:pPr>
      <w:r w:rsidRPr="00BA649C">
        <w:rPr>
          <w:rFonts w:ascii="Baskerville Old Face" w:hAnsi="Baskerville Old Face"/>
          <w:b/>
          <w:sz w:val="22"/>
          <w:szCs w:val="22"/>
        </w:rPr>
        <w:t>C</w:t>
      </w:r>
      <w:r w:rsidRPr="00BA649C">
        <w:rPr>
          <w:rFonts w:ascii="Cambria" w:hAnsi="Cambria"/>
          <w:b/>
          <w:sz w:val="22"/>
          <w:szCs w:val="22"/>
        </w:rPr>
        <w:t xml:space="preserve">ollection of tools and services offered by </w:t>
      </w:r>
      <w:proofErr w:type="spellStart"/>
      <w:r w:rsidR="00A36A33" w:rsidRPr="00BA649C">
        <w:rPr>
          <w:rFonts w:ascii="Cambria" w:hAnsi="Cambria"/>
          <w:b/>
          <w:sz w:val="22"/>
          <w:szCs w:val="22"/>
        </w:rPr>
        <w:t>de.STAIR</w:t>
      </w:r>
      <w:proofErr w:type="spellEnd"/>
      <w:r w:rsidR="00C15D49">
        <w:rPr>
          <w:rFonts w:ascii="Cambria" w:hAnsi="Cambria"/>
          <w:b/>
          <w:sz w:val="22"/>
          <w:szCs w:val="22"/>
        </w:rPr>
        <w:t xml:space="preserve"> </w:t>
      </w:r>
      <w:r w:rsidR="00E33E8A">
        <w:rPr>
          <w:rFonts w:ascii="Cambria" w:hAnsi="Cambria"/>
          <w:b/>
          <w:sz w:val="22"/>
          <w:szCs w:val="22"/>
        </w:rPr>
        <w:t>2</w:t>
      </w:r>
      <w:r w:rsidRPr="00BA649C">
        <w:rPr>
          <w:rFonts w:ascii="Cambria" w:hAnsi="Cambria"/>
          <w:b/>
          <w:sz w:val="22"/>
          <w:szCs w:val="22"/>
        </w:rPr>
        <w:t>:</w:t>
      </w:r>
    </w:p>
    <w:p w14:paraId="5AB9B281" w14:textId="77777777" w:rsidR="005266E9" w:rsidRPr="005266E9" w:rsidRDefault="005266E9" w:rsidP="005266E9">
      <w:pPr>
        <w:spacing w:after="120"/>
        <w:jc w:val="both"/>
        <w:rPr>
          <w:rFonts w:ascii="Cambria" w:eastAsia="Times New Roman" w:hAnsi="Cambria" w:cs="Times New Roman"/>
          <w:sz w:val="22"/>
          <w:szCs w:val="22"/>
          <w:lang w:eastAsia="de-DE"/>
        </w:rPr>
      </w:pPr>
    </w:p>
    <w:p w14:paraId="2101E704" w14:textId="77777777" w:rsidR="005266E9" w:rsidRPr="005266E9" w:rsidRDefault="005266E9" w:rsidP="005266E9">
      <w:pPr>
        <w:spacing w:after="120"/>
        <w:jc w:val="both"/>
        <w:rPr>
          <w:rFonts w:ascii="Cambria" w:eastAsia="Times New Roman" w:hAnsi="Cambria" w:cs="Times New Roman"/>
          <w:sz w:val="22"/>
          <w:szCs w:val="22"/>
          <w:lang w:eastAsia="de-DE"/>
        </w:rPr>
      </w:pPr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   </w:t>
      </w:r>
      <w:proofErr w:type="spellStart"/>
      <w:r w:rsidRPr="00BA649C">
        <w:rPr>
          <w:rFonts w:ascii="Cambria" w:eastAsia="Times New Roman" w:hAnsi="Cambria" w:cs="Times New Roman"/>
          <w:b/>
          <w:sz w:val="22"/>
          <w:szCs w:val="22"/>
          <w:lang w:eastAsia="de-DE"/>
        </w:rPr>
        <w:t>GLASSgo</w:t>
      </w:r>
      <w:proofErr w:type="spellEnd"/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– </w:t>
      </w:r>
      <w:proofErr w:type="spellStart"/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>GLASSgo</w:t>
      </w:r>
      <w:proofErr w:type="spellEnd"/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stands for Global Automatic SRNA Search go. It takes only one sRNA into account and returns possible homologous sequences.</w:t>
      </w:r>
    </w:p>
    <w:p w14:paraId="61084A5C" w14:textId="4B3B4069" w:rsidR="005266E9" w:rsidRPr="005266E9" w:rsidRDefault="005266E9" w:rsidP="005266E9">
      <w:pPr>
        <w:spacing w:after="120"/>
        <w:jc w:val="both"/>
        <w:rPr>
          <w:rFonts w:ascii="Cambria" w:eastAsia="Times New Roman" w:hAnsi="Cambria" w:cs="Times New Roman"/>
          <w:sz w:val="22"/>
          <w:szCs w:val="22"/>
          <w:lang w:eastAsia="de-DE"/>
        </w:rPr>
      </w:pPr>
      <w:r w:rsidRPr="00BA649C">
        <w:rPr>
          <w:rFonts w:ascii="Cambria" w:eastAsia="Times New Roman" w:hAnsi="Cambria" w:cs="Times New Roman"/>
          <w:b/>
          <w:sz w:val="22"/>
          <w:szCs w:val="22"/>
          <w:lang w:eastAsia="de-DE"/>
        </w:rPr>
        <w:t xml:space="preserve">    </w:t>
      </w:r>
      <w:proofErr w:type="spellStart"/>
      <w:r w:rsidRPr="00BA649C">
        <w:rPr>
          <w:rFonts w:ascii="Cambria" w:eastAsia="Times New Roman" w:hAnsi="Cambria" w:cs="Times New Roman"/>
          <w:b/>
          <w:sz w:val="22"/>
          <w:szCs w:val="22"/>
          <w:lang w:eastAsia="de-DE"/>
        </w:rPr>
        <w:t>CopraRNA</w:t>
      </w:r>
      <w:proofErr w:type="spellEnd"/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– By using a set of sRNA homologs (coming</w:t>
      </w:r>
      <w:r>
        <w:rPr>
          <w:rFonts w:ascii="Cambria" w:eastAsia="Times New Roman" w:hAnsi="Cambria" w:cs="Times New Roman"/>
          <w:sz w:val="22"/>
          <w:szCs w:val="22"/>
          <w:lang w:eastAsia="de-DE"/>
        </w:rPr>
        <w:t>,</w:t>
      </w:r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e.g.</w:t>
      </w:r>
      <w:r>
        <w:rPr>
          <w:rFonts w:ascii="Cambria" w:eastAsia="Times New Roman" w:hAnsi="Cambria" w:cs="Times New Roman"/>
          <w:sz w:val="22"/>
          <w:szCs w:val="22"/>
          <w:lang w:eastAsia="de-DE"/>
        </w:rPr>
        <w:t>,</w:t>
      </w:r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from </w:t>
      </w:r>
      <w:proofErr w:type="spellStart"/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>GLASSgo</w:t>
      </w:r>
      <w:proofErr w:type="spellEnd"/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 xml:space="preserve">), </w:t>
      </w:r>
      <w:proofErr w:type="spellStart"/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>CopraRNA</w:t>
      </w:r>
      <w:proofErr w:type="spellEnd"/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tries to predict the corresponding target</w:t>
      </w:r>
      <w:r>
        <w:rPr>
          <w:rFonts w:ascii="Cambria" w:eastAsia="Times New Roman" w:hAnsi="Cambria" w:cs="Times New Roman"/>
          <w:sz w:val="22"/>
          <w:szCs w:val="22"/>
          <w:lang w:eastAsia="de-DE"/>
        </w:rPr>
        <w:t>s within</w:t>
      </w:r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a given genome.</w:t>
      </w:r>
    </w:p>
    <w:p w14:paraId="16199752" w14:textId="77777777" w:rsidR="005266E9" w:rsidRPr="005266E9" w:rsidRDefault="005266E9" w:rsidP="005266E9">
      <w:pPr>
        <w:spacing w:after="120"/>
        <w:jc w:val="both"/>
        <w:rPr>
          <w:rFonts w:ascii="Cambria" w:eastAsia="Times New Roman" w:hAnsi="Cambria" w:cs="Times New Roman"/>
          <w:sz w:val="22"/>
          <w:szCs w:val="22"/>
          <w:lang w:eastAsia="de-DE"/>
        </w:rPr>
      </w:pPr>
      <w:r w:rsidRPr="00BA649C">
        <w:rPr>
          <w:rFonts w:ascii="Cambria" w:eastAsia="Times New Roman" w:hAnsi="Cambria" w:cs="Times New Roman"/>
          <w:b/>
          <w:sz w:val="22"/>
          <w:szCs w:val="22"/>
          <w:lang w:eastAsia="de-DE"/>
        </w:rPr>
        <w:t xml:space="preserve">    </w:t>
      </w:r>
      <w:proofErr w:type="spellStart"/>
      <w:r w:rsidRPr="00BA649C">
        <w:rPr>
          <w:rFonts w:ascii="Cambria" w:eastAsia="Times New Roman" w:hAnsi="Cambria" w:cs="Times New Roman"/>
          <w:b/>
          <w:sz w:val="22"/>
          <w:szCs w:val="22"/>
          <w:lang w:eastAsia="de-DE"/>
        </w:rPr>
        <w:t>CoVennTree</w:t>
      </w:r>
      <w:proofErr w:type="spellEnd"/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– With high dimensional datasets coming from metatranscriptomic experiments, traditional visualization tools cannot handle these in a proper way. </w:t>
      </w:r>
      <w:proofErr w:type="spellStart"/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>CoVennTree</w:t>
      </w:r>
      <w:proofErr w:type="spellEnd"/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fills this gap and allows a comparing up to three data sets at the same time.</w:t>
      </w:r>
    </w:p>
    <w:p w14:paraId="6ECEEDD7" w14:textId="137513AE" w:rsidR="005266E9" w:rsidRPr="005266E9" w:rsidRDefault="005266E9" w:rsidP="005266E9">
      <w:pPr>
        <w:spacing w:after="120"/>
        <w:jc w:val="both"/>
        <w:rPr>
          <w:rFonts w:ascii="Cambria" w:eastAsia="Times New Roman" w:hAnsi="Cambria" w:cs="Times New Roman"/>
          <w:sz w:val="22"/>
          <w:szCs w:val="22"/>
          <w:lang w:eastAsia="de-DE"/>
        </w:rPr>
      </w:pPr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   </w:t>
      </w:r>
      <w:proofErr w:type="gramStart"/>
      <w:r w:rsidRPr="00BA649C">
        <w:rPr>
          <w:rFonts w:ascii="Cambria" w:eastAsia="Times New Roman" w:hAnsi="Cambria" w:cs="Times New Roman"/>
          <w:b/>
          <w:sz w:val="22"/>
          <w:szCs w:val="22"/>
          <w:lang w:eastAsia="de-DE"/>
        </w:rPr>
        <w:t>Galaxy workflow</w:t>
      </w:r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– preproce</w:t>
      </w:r>
      <w:r>
        <w:rPr>
          <w:rFonts w:ascii="Cambria" w:eastAsia="Times New Roman" w:hAnsi="Cambria" w:cs="Times New Roman"/>
          <w:sz w:val="22"/>
          <w:szCs w:val="22"/>
          <w:lang w:eastAsia="de-DE"/>
        </w:rPr>
        <w:t xml:space="preserve">ssing of </w:t>
      </w:r>
      <w:proofErr w:type="spellStart"/>
      <w:r>
        <w:rPr>
          <w:rFonts w:ascii="Cambria" w:eastAsia="Times New Roman" w:hAnsi="Cambria" w:cs="Times New Roman"/>
          <w:sz w:val="22"/>
          <w:szCs w:val="22"/>
          <w:lang w:eastAsia="de-DE"/>
        </w:rPr>
        <w:t>metatransciptomic</w:t>
      </w:r>
      <w:proofErr w:type="spellEnd"/>
      <w:r>
        <w:rPr>
          <w:rFonts w:ascii="Cambria" w:eastAsia="Times New Roman" w:hAnsi="Cambria" w:cs="Times New Roman"/>
          <w:sz w:val="22"/>
          <w:szCs w:val="22"/>
          <w:lang w:eastAsia="de-DE"/>
        </w:rPr>
        <w:t xml:space="preserve"> data.</w:t>
      </w:r>
      <w:proofErr w:type="gramEnd"/>
    </w:p>
    <w:p w14:paraId="13875522" w14:textId="2512514B" w:rsidR="005266E9" w:rsidRPr="005266E9" w:rsidRDefault="005266E9" w:rsidP="005266E9">
      <w:pPr>
        <w:spacing w:after="120"/>
        <w:jc w:val="both"/>
        <w:rPr>
          <w:rFonts w:ascii="Cambria" w:eastAsia="Times New Roman" w:hAnsi="Cambria" w:cs="Times New Roman"/>
          <w:sz w:val="22"/>
          <w:szCs w:val="22"/>
          <w:lang w:eastAsia="de-DE"/>
        </w:rPr>
      </w:pPr>
      <w:r w:rsidRPr="00BA649C">
        <w:rPr>
          <w:rFonts w:ascii="Cambria" w:eastAsia="Times New Roman" w:hAnsi="Cambria" w:cs="Times New Roman"/>
          <w:b/>
          <w:sz w:val="22"/>
          <w:szCs w:val="22"/>
          <w:lang w:eastAsia="de-DE"/>
        </w:rPr>
        <w:t xml:space="preserve">    Galaxy workflow</w:t>
      </w:r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– advanced analysis and visualization of metatranscriptomic data</w:t>
      </w:r>
      <w:r>
        <w:rPr>
          <w:rFonts w:ascii="Cambria" w:eastAsia="Times New Roman" w:hAnsi="Cambria" w:cs="Times New Roman"/>
          <w:sz w:val="22"/>
          <w:szCs w:val="22"/>
          <w:lang w:eastAsia="de-DE"/>
        </w:rPr>
        <w:t>.</w:t>
      </w:r>
    </w:p>
    <w:p w14:paraId="49D9AEED" w14:textId="3B22CCB1" w:rsidR="005266E9" w:rsidRPr="005266E9" w:rsidRDefault="005266E9" w:rsidP="005266E9">
      <w:pPr>
        <w:spacing w:after="120"/>
        <w:jc w:val="both"/>
        <w:rPr>
          <w:rFonts w:ascii="Cambria" w:eastAsia="Times New Roman" w:hAnsi="Cambria" w:cs="Times New Roman"/>
          <w:sz w:val="22"/>
          <w:szCs w:val="22"/>
          <w:lang w:eastAsia="de-DE"/>
        </w:rPr>
      </w:pPr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   </w:t>
      </w:r>
      <w:proofErr w:type="gramStart"/>
      <w:r w:rsidRPr="00BA649C">
        <w:rPr>
          <w:rFonts w:ascii="Cambria" w:eastAsia="Times New Roman" w:hAnsi="Cambria" w:cs="Times New Roman"/>
          <w:b/>
          <w:sz w:val="22"/>
          <w:szCs w:val="22"/>
          <w:lang w:eastAsia="de-DE"/>
        </w:rPr>
        <w:t>Galaxy workflow</w:t>
      </w:r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- sRNA analysis</w:t>
      </w:r>
      <w:r>
        <w:rPr>
          <w:rFonts w:ascii="Cambria" w:eastAsia="Times New Roman" w:hAnsi="Cambria" w:cs="Times New Roman"/>
          <w:sz w:val="22"/>
          <w:szCs w:val="22"/>
          <w:lang w:eastAsia="de-DE"/>
        </w:rPr>
        <w:t>.</w:t>
      </w:r>
      <w:proofErr w:type="gramEnd"/>
    </w:p>
    <w:p w14:paraId="348B489A" w14:textId="713E1284" w:rsidR="0052527A" w:rsidRPr="00707FB6" w:rsidRDefault="005266E9" w:rsidP="005266E9">
      <w:pPr>
        <w:spacing w:before="120" w:after="120"/>
        <w:jc w:val="both"/>
        <w:rPr>
          <w:rFonts w:ascii="Cambria" w:eastAsia="Times New Roman" w:hAnsi="Cambria" w:cs="Times New Roman"/>
          <w:sz w:val="22"/>
          <w:szCs w:val="22"/>
          <w:lang w:eastAsia="de-DE"/>
        </w:rPr>
      </w:pPr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   </w:t>
      </w:r>
      <w:r w:rsidRPr="00BA649C">
        <w:rPr>
          <w:rFonts w:ascii="Cambria" w:eastAsia="Times New Roman" w:hAnsi="Cambria" w:cs="Times New Roman"/>
          <w:b/>
          <w:sz w:val="22"/>
          <w:szCs w:val="22"/>
          <w:lang w:eastAsia="de-DE"/>
        </w:rPr>
        <w:t xml:space="preserve">Training </w:t>
      </w:r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 xml:space="preserve">– workshops will take place in collaboration with all </w:t>
      </w:r>
      <w:proofErr w:type="spellStart"/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>de.STAIRS</w:t>
      </w:r>
      <w:proofErr w:type="spellEnd"/>
      <w:r w:rsidRPr="005266E9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partners and the RBC </w:t>
      </w:r>
      <w:r>
        <w:rPr>
          <w:rFonts w:ascii="Cambria" w:eastAsia="Times New Roman" w:hAnsi="Cambria" w:cs="Times New Roman"/>
          <w:sz w:val="22"/>
          <w:szCs w:val="22"/>
          <w:lang w:eastAsia="de-DE"/>
        </w:rPr>
        <w:t>1 and RBC 3</w:t>
      </w:r>
      <w:r w:rsidR="00BA649C">
        <w:rPr>
          <w:rFonts w:ascii="Cambria" w:eastAsia="Times New Roman" w:hAnsi="Cambria" w:cs="Times New Roman"/>
          <w:sz w:val="22"/>
          <w:szCs w:val="22"/>
          <w:lang w:eastAsia="de-DE"/>
        </w:rPr>
        <w:t>&amp;4</w:t>
      </w:r>
      <w:r>
        <w:rPr>
          <w:rFonts w:ascii="Cambria" w:eastAsia="Times New Roman" w:hAnsi="Cambria" w:cs="Times New Roman"/>
          <w:sz w:val="22"/>
          <w:szCs w:val="22"/>
          <w:lang w:eastAsia="de-DE"/>
        </w:rPr>
        <w:t xml:space="preserve"> groups.</w:t>
      </w:r>
    </w:p>
    <w:p w14:paraId="5E6D0107" w14:textId="04E7E5CD" w:rsidR="0052527A" w:rsidRDefault="0052527A" w:rsidP="00D43D56">
      <w:pPr>
        <w:rPr>
          <w:rFonts w:ascii="Cambria" w:hAnsi="Cambria"/>
        </w:rPr>
      </w:pPr>
    </w:p>
    <w:p w14:paraId="16CD5584" w14:textId="77777777" w:rsidR="0052527A" w:rsidRDefault="0052527A" w:rsidP="00D43D56">
      <w:pPr>
        <w:rPr>
          <w:rFonts w:ascii="Cambria" w:hAnsi="Cambria"/>
        </w:rPr>
      </w:pPr>
    </w:p>
    <w:p w14:paraId="366BE85C" w14:textId="10E99FB8" w:rsidR="0052527A" w:rsidRPr="00C52794" w:rsidRDefault="0052527A" w:rsidP="00D43D56">
      <w:pPr>
        <w:rPr>
          <w:rFonts w:ascii="Cambria" w:hAnsi="Cambria"/>
        </w:rPr>
      </w:pPr>
    </w:p>
    <w:sectPr w:rsidR="0052527A" w:rsidRPr="00C52794" w:rsidSect="00D43D56">
      <w:type w:val="continuous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76305"/>
    <w:multiLevelType w:val="hybridMultilevel"/>
    <w:tmpl w:val="E6469BB2"/>
    <w:lvl w:ilvl="0" w:tplc="E50A2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u w:color="1F4E79" w:themeColor="accent1" w:themeShade="8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C60E9"/>
    <w:multiLevelType w:val="hybridMultilevel"/>
    <w:tmpl w:val="304C4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55B4E"/>
    <w:multiLevelType w:val="hybridMultilevel"/>
    <w:tmpl w:val="2026AD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20114"/>
    <w:multiLevelType w:val="multilevel"/>
    <w:tmpl w:val="E6469B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u w:color="1F4E79" w:themeColor="accent1" w:themeShade="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2B"/>
    <w:rsid w:val="000A0BB5"/>
    <w:rsid w:val="000F5D48"/>
    <w:rsid w:val="00101831"/>
    <w:rsid w:val="00166E31"/>
    <w:rsid w:val="0019598E"/>
    <w:rsid w:val="001B0ABD"/>
    <w:rsid w:val="001C3E92"/>
    <w:rsid w:val="00207599"/>
    <w:rsid w:val="002859BE"/>
    <w:rsid w:val="002C4B36"/>
    <w:rsid w:val="003075D0"/>
    <w:rsid w:val="00356C25"/>
    <w:rsid w:val="00392D4D"/>
    <w:rsid w:val="003971B2"/>
    <w:rsid w:val="003B42A4"/>
    <w:rsid w:val="003F7E07"/>
    <w:rsid w:val="004557CA"/>
    <w:rsid w:val="004679B0"/>
    <w:rsid w:val="004800FF"/>
    <w:rsid w:val="0049102B"/>
    <w:rsid w:val="0049260A"/>
    <w:rsid w:val="00507CB5"/>
    <w:rsid w:val="0052527A"/>
    <w:rsid w:val="005266E9"/>
    <w:rsid w:val="005822A6"/>
    <w:rsid w:val="0059667B"/>
    <w:rsid w:val="005B5C50"/>
    <w:rsid w:val="005C5F94"/>
    <w:rsid w:val="005E719F"/>
    <w:rsid w:val="00636C73"/>
    <w:rsid w:val="00645159"/>
    <w:rsid w:val="00674279"/>
    <w:rsid w:val="006979C7"/>
    <w:rsid w:val="006D550B"/>
    <w:rsid w:val="00707FB6"/>
    <w:rsid w:val="007225DD"/>
    <w:rsid w:val="00727D3B"/>
    <w:rsid w:val="00767EE1"/>
    <w:rsid w:val="007C1D15"/>
    <w:rsid w:val="008422B5"/>
    <w:rsid w:val="0086540B"/>
    <w:rsid w:val="008B5CE4"/>
    <w:rsid w:val="008E07E1"/>
    <w:rsid w:val="00900211"/>
    <w:rsid w:val="00925C23"/>
    <w:rsid w:val="00967FA6"/>
    <w:rsid w:val="00994046"/>
    <w:rsid w:val="00A36A33"/>
    <w:rsid w:val="00AD04E8"/>
    <w:rsid w:val="00B2202C"/>
    <w:rsid w:val="00B24FB5"/>
    <w:rsid w:val="00B73D77"/>
    <w:rsid w:val="00BA649C"/>
    <w:rsid w:val="00C13F1D"/>
    <w:rsid w:val="00C15D49"/>
    <w:rsid w:val="00C52794"/>
    <w:rsid w:val="00C81616"/>
    <w:rsid w:val="00D212F8"/>
    <w:rsid w:val="00D21DC4"/>
    <w:rsid w:val="00D2623B"/>
    <w:rsid w:val="00D43D56"/>
    <w:rsid w:val="00D9137C"/>
    <w:rsid w:val="00DC366A"/>
    <w:rsid w:val="00DF0530"/>
    <w:rsid w:val="00E30F3F"/>
    <w:rsid w:val="00E33E8A"/>
    <w:rsid w:val="00E63AB5"/>
    <w:rsid w:val="00F127C6"/>
    <w:rsid w:val="00F21FBC"/>
    <w:rsid w:val="00F27BA9"/>
    <w:rsid w:val="00F77FD9"/>
    <w:rsid w:val="00FF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EEFCA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F7E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102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13F1D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00211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25D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25DD"/>
    <w:rPr>
      <w:rFonts w:ascii="Lucida Grande" w:hAnsi="Lucida Grande" w:cs="Lucida Grande"/>
      <w:sz w:val="18"/>
      <w:szCs w:val="18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7E07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US"/>
    </w:rPr>
  </w:style>
  <w:style w:type="table" w:styleId="Tabellenraster">
    <w:name w:val="Table Grid"/>
    <w:basedOn w:val="NormaleTabelle"/>
    <w:uiPriority w:val="39"/>
    <w:rsid w:val="00C81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F7E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102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13F1D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00211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25D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25DD"/>
    <w:rPr>
      <w:rFonts w:ascii="Lucida Grande" w:hAnsi="Lucida Grande" w:cs="Lucida Grande"/>
      <w:sz w:val="18"/>
      <w:szCs w:val="18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7E07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US"/>
    </w:rPr>
  </w:style>
  <w:style w:type="table" w:styleId="Tabellenraster">
    <w:name w:val="Table Grid"/>
    <w:basedOn w:val="NormaleTabelle"/>
    <w:uiPriority w:val="39"/>
    <w:rsid w:val="00C81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lfgang.hess@biologie.uni-freiburg.d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effen.lott@biologie.uni-freiburg.de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Freiburg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Arwa Al-Dilaimi</dc:creator>
  <cp:lastModifiedBy>Frank Oberlin</cp:lastModifiedBy>
  <cp:revision>6</cp:revision>
  <cp:lastPrinted>2016-08-16T15:07:00Z</cp:lastPrinted>
  <dcterms:created xsi:type="dcterms:W3CDTF">2016-09-08T08:26:00Z</dcterms:created>
  <dcterms:modified xsi:type="dcterms:W3CDTF">2016-09-08T10:58:00Z</dcterms:modified>
</cp:coreProperties>
</file>