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4D8" w:rsidRDefault="001434D8"/>
    <w:p w:rsidR="001434D8" w:rsidRDefault="001434D8">
      <w:r>
        <w:t>Results</w:t>
      </w:r>
    </w:p>
    <w:p w:rsidR="001434D8" w:rsidRDefault="001434D8"/>
    <w:p w:rsidR="001434D8" w:rsidRDefault="001434D8">
      <w:r>
        <w:t>Objective 1</w:t>
      </w:r>
    </w:p>
    <w:p w:rsidR="001434D8" w:rsidRDefault="001434D8" w:rsidP="001434D8">
      <w:pPr>
        <w:pStyle w:val="ListParagraph"/>
        <w:numPr>
          <w:ilvl w:val="0"/>
          <w:numId w:val="1"/>
        </w:numPr>
      </w:pPr>
      <w:r>
        <w:t>In gymnastics dummy variable for all results (</w:t>
      </w:r>
      <w:proofErr w:type="spellStart"/>
      <w:r>
        <w:t>pvals</w:t>
      </w:r>
      <w:proofErr w:type="spellEnd"/>
      <w:r>
        <w:t>, estimate)</w:t>
      </w:r>
    </w:p>
    <w:p w:rsidR="001434D8" w:rsidRDefault="001434D8" w:rsidP="001434D8">
      <w:pPr>
        <w:pStyle w:val="ListParagraph"/>
        <w:numPr>
          <w:ilvl w:val="0"/>
          <w:numId w:val="1"/>
        </w:numPr>
      </w:pPr>
      <w:r>
        <w:t xml:space="preserve">Gymnastics has a significant effect (p-values &lt; 0.05) </w:t>
      </w:r>
    </w:p>
    <w:p w:rsidR="001434D8" w:rsidRDefault="001434D8" w:rsidP="001434D8">
      <w:pPr>
        <w:pStyle w:val="ListParagraph"/>
        <w:numPr>
          <w:ilvl w:val="0"/>
          <w:numId w:val="1"/>
        </w:numPr>
      </w:pPr>
      <w:r>
        <w:t>Effects are most prominent in the forearm and hip regions</w:t>
      </w:r>
    </w:p>
    <w:p w:rsidR="001434D8" w:rsidRDefault="001434D8" w:rsidP="001434D8">
      <w:pPr>
        <w:pStyle w:val="ListParagraph"/>
        <w:numPr>
          <w:ilvl w:val="0"/>
          <w:numId w:val="1"/>
        </w:numPr>
      </w:pPr>
      <w:r>
        <w:t>All of forearm, 4/6 hip, 0/1 spine, 0/1 subhead</w:t>
      </w:r>
    </w:p>
    <w:p w:rsidR="001434D8" w:rsidRDefault="001434D8" w:rsidP="001434D8">
      <w:pPr>
        <w:pStyle w:val="ListParagraph"/>
        <w:numPr>
          <w:ilvl w:val="1"/>
          <w:numId w:val="1"/>
        </w:numPr>
      </w:pPr>
      <w:r>
        <w:t>a lot of variation in subhead -&gt; whole body measurement, not precise measure of what we are interested in</w:t>
      </w:r>
    </w:p>
    <w:p w:rsidR="001434D8" w:rsidRDefault="001434D8" w:rsidP="001434D8">
      <w:pPr>
        <w:pStyle w:val="ListParagraph"/>
        <w:numPr>
          <w:ilvl w:val="0"/>
          <w:numId w:val="1"/>
        </w:numPr>
      </w:pPr>
      <w:r>
        <w:t>These results make sense physically</w:t>
      </w:r>
    </w:p>
    <w:p w:rsidR="00785644" w:rsidRDefault="00785644" w:rsidP="00785644">
      <w:pPr>
        <w:pStyle w:val="ListParagraph"/>
        <w:numPr>
          <w:ilvl w:val="1"/>
          <w:numId w:val="1"/>
        </w:numPr>
      </w:pPr>
      <w:r>
        <w:t>Previous studies have shown … about certain hip measurements</w:t>
      </w:r>
    </w:p>
    <w:p w:rsidR="001434D8" w:rsidRDefault="001434D8" w:rsidP="001434D8">
      <w:pPr>
        <w:pStyle w:val="ListParagraph"/>
        <w:numPr>
          <w:ilvl w:val="0"/>
          <w:numId w:val="1"/>
        </w:numPr>
      </w:pPr>
      <w:r>
        <w:t>Interpret results as being in gymnastics increases forearm measurements by (# to #) standard deviations</w:t>
      </w:r>
    </w:p>
    <w:p w:rsidR="001434D8" w:rsidRDefault="001434D8" w:rsidP="001434D8"/>
    <w:p w:rsidR="001434D8" w:rsidRDefault="001434D8" w:rsidP="001434D8"/>
    <w:p w:rsidR="001434D8" w:rsidRDefault="001434D8" w:rsidP="001434D8">
      <w:pPr>
        <w:rPr>
          <w:rFonts w:ascii="Arial" w:hAnsi="Arial" w:cs="Arial"/>
          <w:color w:val="333333"/>
          <w:sz w:val="23"/>
          <w:szCs w:val="23"/>
          <w:shd w:val="clear" w:color="auto" w:fill="FFFFFF"/>
        </w:rPr>
      </w:pPr>
      <w:proofErr w:type="spellStart"/>
      <w:r>
        <w:rPr>
          <w:rFonts w:ascii="Arial" w:hAnsi="Arial" w:cs="Arial"/>
          <w:color w:val="333333"/>
          <w:sz w:val="23"/>
          <w:szCs w:val="23"/>
          <w:shd w:val="clear" w:color="auto" w:fill="FFFFFF"/>
        </w:rPr>
        <w:t>Rivadeneira</w:t>
      </w:r>
      <w:proofErr w:type="spellEnd"/>
      <w:r>
        <w:rPr>
          <w:rFonts w:ascii="Arial" w:hAnsi="Arial" w:cs="Arial"/>
          <w:color w:val="333333"/>
          <w:sz w:val="23"/>
          <w:szCs w:val="23"/>
          <w:shd w:val="clear" w:color="auto" w:fill="FFFFFF"/>
        </w:rPr>
        <w:t xml:space="preserve">, F., </w:t>
      </w:r>
      <w:proofErr w:type="spellStart"/>
      <w:r>
        <w:rPr>
          <w:rFonts w:ascii="Arial" w:hAnsi="Arial" w:cs="Arial"/>
          <w:color w:val="333333"/>
          <w:sz w:val="23"/>
          <w:szCs w:val="23"/>
          <w:shd w:val="clear" w:color="auto" w:fill="FFFFFF"/>
        </w:rPr>
        <w:t>Zillikens</w:t>
      </w:r>
      <w:proofErr w:type="spellEnd"/>
      <w:r>
        <w:rPr>
          <w:rFonts w:ascii="Arial" w:hAnsi="Arial" w:cs="Arial"/>
          <w:color w:val="333333"/>
          <w:sz w:val="23"/>
          <w:szCs w:val="23"/>
          <w:shd w:val="clear" w:color="auto" w:fill="FFFFFF"/>
        </w:rPr>
        <w:t xml:space="preserve">, M. C., De </w:t>
      </w:r>
      <w:proofErr w:type="spellStart"/>
      <w:r>
        <w:rPr>
          <w:rFonts w:ascii="Arial" w:hAnsi="Arial" w:cs="Arial"/>
          <w:color w:val="333333"/>
          <w:sz w:val="23"/>
          <w:szCs w:val="23"/>
          <w:shd w:val="clear" w:color="auto" w:fill="FFFFFF"/>
        </w:rPr>
        <w:t>Laet</w:t>
      </w:r>
      <w:proofErr w:type="spellEnd"/>
      <w:r>
        <w:rPr>
          <w:rFonts w:ascii="Arial" w:hAnsi="Arial" w:cs="Arial"/>
          <w:color w:val="333333"/>
          <w:sz w:val="23"/>
          <w:szCs w:val="23"/>
          <w:shd w:val="clear" w:color="auto" w:fill="FFFFFF"/>
        </w:rPr>
        <w:t xml:space="preserve">, C. E., </w:t>
      </w:r>
      <w:proofErr w:type="spellStart"/>
      <w:r>
        <w:rPr>
          <w:rFonts w:ascii="Arial" w:hAnsi="Arial" w:cs="Arial"/>
          <w:color w:val="333333"/>
          <w:sz w:val="23"/>
          <w:szCs w:val="23"/>
          <w:shd w:val="clear" w:color="auto" w:fill="FFFFFF"/>
        </w:rPr>
        <w:t>Hofman</w:t>
      </w:r>
      <w:proofErr w:type="spellEnd"/>
      <w:r>
        <w:rPr>
          <w:rFonts w:ascii="Arial" w:hAnsi="Arial" w:cs="Arial"/>
          <w:color w:val="333333"/>
          <w:sz w:val="23"/>
          <w:szCs w:val="23"/>
          <w:shd w:val="clear" w:color="auto" w:fill="FFFFFF"/>
        </w:rPr>
        <w:t xml:space="preserve">, A., </w:t>
      </w:r>
      <w:proofErr w:type="spellStart"/>
      <w:r>
        <w:rPr>
          <w:rFonts w:ascii="Arial" w:hAnsi="Arial" w:cs="Arial"/>
          <w:color w:val="333333"/>
          <w:sz w:val="23"/>
          <w:szCs w:val="23"/>
          <w:shd w:val="clear" w:color="auto" w:fill="FFFFFF"/>
        </w:rPr>
        <w:t>Uitterlinden</w:t>
      </w:r>
      <w:proofErr w:type="spellEnd"/>
      <w:r>
        <w:rPr>
          <w:rFonts w:ascii="Arial" w:hAnsi="Arial" w:cs="Arial"/>
          <w:color w:val="333333"/>
          <w:sz w:val="23"/>
          <w:szCs w:val="23"/>
          <w:shd w:val="clear" w:color="auto" w:fill="FFFFFF"/>
        </w:rPr>
        <w:t>, A. G., Beck, T. J. and Pols, H. A. (2007), Femoral Neck BMD Is a Strong Predictor of Hip Fracture Susceptibility in Elderly Men and Women Because It Detects Cortical Bone Instability: The Rotterdam Study. J Bone Miner Res, 22: 1781–1790. doi:10.1359/jbmr.070712</w:t>
      </w:r>
    </w:p>
    <w:p w:rsidR="001434D8" w:rsidRDefault="001434D8" w:rsidP="001434D8">
      <w:pPr>
        <w:rPr>
          <w:rFonts w:ascii="Arial" w:hAnsi="Arial" w:cs="Arial"/>
          <w:color w:val="333333"/>
          <w:sz w:val="23"/>
          <w:szCs w:val="23"/>
          <w:shd w:val="clear" w:color="auto" w:fill="FFFFFF"/>
        </w:rPr>
      </w:pPr>
    </w:p>
    <w:p w:rsidR="001434D8" w:rsidRDefault="001434D8" w:rsidP="001434D8">
      <w:pPr>
        <w:rPr>
          <w:rFonts w:ascii="Arial" w:hAnsi="Arial" w:cs="Arial"/>
          <w:color w:val="333333"/>
          <w:sz w:val="23"/>
          <w:szCs w:val="23"/>
          <w:shd w:val="clear" w:color="auto" w:fill="FFFFFF"/>
        </w:rPr>
      </w:pPr>
      <w:r>
        <w:rPr>
          <w:rFonts w:ascii="Arial" w:hAnsi="Arial" w:cs="Arial"/>
          <w:color w:val="333333"/>
          <w:sz w:val="23"/>
          <w:szCs w:val="23"/>
          <w:shd w:val="clear" w:color="auto" w:fill="FFFFFF"/>
        </w:rPr>
        <w:t>Buckling ratio measures stability – the lower the measure the more stable an individual is</w:t>
      </w:r>
    </w:p>
    <w:p w:rsidR="001434D8" w:rsidRDefault="001434D8" w:rsidP="001434D8">
      <w:pPr>
        <w:rPr>
          <w:rFonts w:ascii="Arial" w:hAnsi="Arial" w:cs="Arial"/>
          <w:color w:val="333333"/>
          <w:sz w:val="23"/>
          <w:szCs w:val="23"/>
          <w:shd w:val="clear" w:color="auto" w:fill="FFFFFF"/>
        </w:rPr>
      </w:pPr>
      <w:r>
        <w:rPr>
          <w:rFonts w:ascii="Arial" w:hAnsi="Arial" w:cs="Arial"/>
          <w:color w:val="333333"/>
          <w:sz w:val="23"/>
          <w:szCs w:val="23"/>
          <w:shd w:val="clear" w:color="auto" w:fill="FFFFFF"/>
        </w:rPr>
        <w:tab/>
        <w:t>Higher BR -&gt; increase in fracture risk</w:t>
      </w:r>
    </w:p>
    <w:p w:rsidR="001434D8" w:rsidRDefault="001434D8" w:rsidP="001434D8">
      <w:pPr>
        <w:rPr>
          <w:rFonts w:ascii="Arial" w:hAnsi="Arial" w:cs="Arial"/>
          <w:color w:val="333333"/>
          <w:sz w:val="23"/>
          <w:szCs w:val="23"/>
          <w:shd w:val="clear" w:color="auto" w:fill="FFFFFF"/>
        </w:rPr>
      </w:pPr>
      <w:r>
        <w:rPr>
          <w:rFonts w:ascii="Arial" w:hAnsi="Arial" w:cs="Arial"/>
          <w:color w:val="333333"/>
          <w:sz w:val="23"/>
          <w:szCs w:val="23"/>
          <w:shd w:val="clear" w:color="auto" w:fill="FFFFFF"/>
        </w:rPr>
        <w:t>Higher narrow neck width leads to increase in fracture risk</w:t>
      </w:r>
    </w:p>
    <w:p w:rsidR="001434D8" w:rsidRDefault="001434D8" w:rsidP="001434D8">
      <w:pPr>
        <w:rPr>
          <w:rFonts w:ascii="Arial" w:hAnsi="Arial" w:cs="Arial"/>
          <w:color w:val="333333"/>
          <w:sz w:val="23"/>
          <w:szCs w:val="23"/>
          <w:shd w:val="clear" w:color="auto" w:fill="FFFFFF"/>
        </w:rPr>
      </w:pPr>
      <w:r>
        <w:rPr>
          <w:rFonts w:ascii="Arial" w:hAnsi="Arial" w:cs="Arial"/>
          <w:color w:val="333333"/>
          <w:sz w:val="23"/>
          <w:szCs w:val="23"/>
          <w:shd w:val="clear" w:color="auto" w:fill="FFFFFF"/>
        </w:rPr>
        <w:t>Thinning cortices leads to increase in fracture risk</w:t>
      </w:r>
    </w:p>
    <w:p w:rsidR="00785644" w:rsidRPr="00785644" w:rsidRDefault="00785644" w:rsidP="00785644">
      <w:pPr>
        <w:shd w:val="clear" w:color="auto" w:fill="FFFFFF"/>
        <w:spacing w:after="0" w:line="348" w:lineRule="atLeast"/>
        <w:rPr>
          <w:rFonts w:ascii="Arial" w:eastAsia="Times New Roman" w:hAnsi="Arial" w:cs="Arial"/>
          <w:color w:val="212121"/>
          <w:sz w:val="20"/>
          <w:szCs w:val="20"/>
        </w:rPr>
      </w:pPr>
      <w:hyperlink r:id="rId5" w:tgtFrame="_blank" w:tooltip="Journal of bone and mineral research : the official journal of the American Society for Bone and Mineral Research." w:history="1">
        <w:r w:rsidRPr="00785644">
          <w:rPr>
            <w:rFonts w:ascii="Arial" w:eastAsia="Times New Roman" w:hAnsi="Arial" w:cs="Arial"/>
            <w:color w:val="660066"/>
            <w:sz w:val="20"/>
            <w:szCs w:val="20"/>
            <w:u w:val="single"/>
          </w:rPr>
          <w:t>J Bone Miner Res.</w:t>
        </w:r>
      </w:hyperlink>
      <w:r w:rsidRPr="00785644">
        <w:rPr>
          <w:rFonts w:ascii="Arial" w:eastAsia="Times New Roman" w:hAnsi="Arial" w:cs="Arial"/>
          <w:color w:val="212121"/>
          <w:sz w:val="20"/>
          <w:szCs w:val="20"/>
        </w:rPr>
        <w:t xml:space="preserve"> 2008 Dec;23(12):1892-904. </w:t>
      </w:r>
      <w:proofErr w:type="spellStart"/>
      <w:r w:rsidRPr="00785644">
        <w:rPr>
          <w:rFonts w:ascii="Arial" w:eastAsia="Times New Roman" w:hAnsi="Arial" w:cs="Arial"/>
          <w:color w:val="212121"/>
          <w:sz w:val="20"/>
          <w:szCs w:val="20"/>
        </w:rPr>
        <w:t>doi</w:t>
      </w:r>
      <w:proofErr w:type="spellEnd"/>
      <w:r w:rsidRPr="00785644">
        <w:rPr>
          <w:rFonts w:ascii="Arial" w:eastAsia="Times New Roman" w:hAnsi="Arial" w:cs="Arial"/>
          <w:color w:val="212121"/>
          <w:sz w:val="20"/>
          <w:szCs w:val="20"/>
        </w:rPr>
        <w:t>: 10.1359/jbmr.080802.</w:t>
      </w:r>
    </w:p>
    <w:p w:rsidR="00785644" w:rsidRPr="00785644" w:rsidRDefault="00785644" w:rsidP="00785644">
      <w:pPr>
        <w:shd w:val="clear" w:color="auto" w:fill="FFFFFF"/>
        <w:spacing w:before="90" w:after="90" w:line="270" w:lineRule="atLeast"/>
        <w:outlineLvl w:val="0"/>
        <w:rPr>
          <w:rFonts w:ascii="Arial" w:eastAsia="Times New Roman" w:hAnsi="Arial" w:cs="Arial"/>
          <w:b/>
          <w:bCs/>
          <w:color w:val="212121"/>
          <w:kern w:val="36"/>
          <w:sz w:val="30"/>
          <w:szCs w:val="30"/>
        </w:rPr>
      </w:pPr>
      <w:r w:rsidRPr="00785644">
        <w:rPr>
          <w:rFonts w:ascii="Arial" w:eastAsia="Times New Roman" w:hAnsi="Arial" w:cs="Arial"/>
          <w:b/>
          <w:bCs/>
          <w:color w:val="212121"/>
          <w:kern w:val="36"/>
          <w:sz w:val="30"/>
          <w:szCs w:val="30"/>
        </w:rPr>
        <w:t>Prediction of incident hip fracture risk by femur geometry variables measured by hip structural analysis in the study of osteoporotic fractures.</w:t>
      </w:r>
    </w:p>
    <w:p w:rsidR="00785644" w:rsidRPr="00785644" w:rsidRDefault="00785644" w:rsidP="00785644">
      <w:pPr>
        <w:shd w:val="clear" w:color="auto" w:fill="FFFFFF"/>
        <w:spacing w:after="0" w:line="240" w:lineRule="auto"/>
        <w:rPr>
          <w:rFonts w:ascii="Arial" w:eastAsia="Times New Roman" w:hAnsi="Arial" w:cs="Arial"/>
          <w:color w:val="212121"/>
        </w:rPr>
      </w:pPr>
      <w:hyperlink r:id="rId6" w:tgtFrame="_blank" w:history="1">
        <w:proofErr w:type="spellStart"/>
        <w:r w:rsidRPr="00785644">
          <w:rPr>
            <w:rFonts w:ascii="Arial" w:eastAsia="Times New Roman" w:hAnsi="Arial" w:cs="Arial"/>
            <w:color w:val="660066"/>
            <w:u w:val="single"/>
          </w:rPr>
          <w:t>Kaptoge</w:t>
        </w:r>
        <w:proofErr w:type="spellEnd"/>
        <w:r w:rsidRPr="00785644">
          <w:rPr>
            <w:rFonts w:ascii="Arial" w:eastAsia="Times New Roman" w:hAnsi="Arial" w:cs="Arial"/>
            <w:color w:val="660066"/>
            <w:u w:val="single"/>
          </w:rPr>
          <w:t xml:space="preserve"> S</w:t>
        </w:r>
      </w:hyperlink>
      <w:r w:rsidRPr="00785644">
        <w:rPr>
          <w:rFonts w:ascii="Arial" w:eastAsia="Times New Roman" w:hAnsi="Arial" w:cs="Arial"/>
          <w:color w:val="212121"/>
          <w:sz w:val="19"/>
          <w:szCs w:val="19"/>
        </w:rPr>
        <w:t>1</w:t>
      </w:r>
      <w:r w:rsidRPr="00785644">
        <w:rPr>
          <w:rFonts w:ascii="Arial" w:eastAsia="Times New Roman" w:hAnsi="Arial" w:cs="Arial"/>
          <w:color w:val="212121"/>
        </w:rPr>
        <w:t>, </w:t>
      </w:r>
      <w:hyperlink r:id="rId7" w:tgtFrame="_blank" w:history="1">
        <w:r w:rsidRPr="00785644">
          <w:rPr>
            <w:rFonts w:ascii="Arial" w:eastAsia="Times New Roman" w:hAnsi="Arial" w:cs="Arial"/>
            <w:color w:val="660066"/>
            <w:u w:val="single"/>
          </w:rPr>
          <w:t>Beck TJ</w:t>
        </w:r>
      </w:hyperlink>
      <w:r w:rsidRPr="00785644">
        <w:rPr>
          <w:rFonts w:ascii="Arial" w:eastAsia="Times New Roman" w:hAnsi="Arial" w:cs="Arial"/>
          <w:color w:val="212121"/>
        </w:rPr>
        <w:t>, </w:t>
      </w:r>
      <w:hyperlink r:id="rId8" w:tgtFrame="_blank" w:history="1">
        <w:r w:rsidRPr="00785644">
          <w:rPr>
            <w:rFonts w:ascii="Arial" w:eastAsia="Times New Roman" w:hAnsi="Arial" w:cs="Arial"/>
            <w:color w:val="660066"/>
            <w:u w:val="single"/>
          </w:rPr>
          <w:t>Reeve J</w:t>
        </w:r>
      </w:hyperlink>
      <w:r w:rsidRPr="00785644">
        <w:rPr>
          <w:rFonts w:ascii="Arial" w:eastAsia="Times New Roman" w:hAnsi="Arial" w:cs="Arial"/>
          <w:color w:val="212121"/>
        </w:rPr>
        <w:t>, </w:t>
      </w:r>
      <w:hyperlink r:id="rId9" w:tgtFrame="_blank" w:history="1">
        <w:r w:rsidRPr="00785644">
          <w:rPr>
            <w:rFonts w:ascii="Arial" w:eastAsia="Times New Roman" w:hAnsi="Arial" w:cs="Arial"/>
            <w:color w:val="660066"/>
            <w:u w:val="single"/>
          </w:rPr>
          <w:t>Stone KL</w:t>
        </w:r>
      </w:hyperlink>
      <w:r w:rsidRPr="00785644">
        <w:rPr>
          <w:rFonts w:ascii="Arial" w:eastAsia="Times New Roman" w:hAnsi="Arial" w:cs="Arial"/>
          <w:color w:val="212121"/>
        </w:rPr>
        <w:t>, </w:t>
      </w:r>
      <w:hyperlink r:id="rId10" w:tgtFrame="_blank" w:history="1">
        <w:r w:rsidRPr="00785644">
          <w:rPr>
            <w:rFonts w:ascii="Arial" w:eastAsia="Times New Roman" w:hAnsi="Arial" w:cs="Arial"/>
            <w:color w:val="660066"/>
            <w:u w:val="single"/>
          </w:rPr>
          <w:t>Hillier TA</w:t>
        </w:r>
      </w:hyperlink>
      <w:r w:rsidRPr="00785644">
        <w:rPr>
          <w:rFonts w:ascii="Arial" w:eastAsia="Times New Roman" w:hAnsi="Arial" w:cs="Arial"/>
          <w:color w:val="212121"/>
        </w:rPr>
        <w:t>, </w:t>
      </w:r>
      <w:proofErr w:type="spellStart"/>
      <w:r w:rsidRPr="00785644">
        <w:rPr>
          <w:rFonts w:ascii="Arial" w:eastAsia="Times New Roman" w:hAnsi="Arial" w:cs="Arial"/>
          <w:color w:val="212121"/>
        </w:rPr>
        <w:fldChar w:fldCharType="begin"/>
      </w:r>
      <w:r w:rsidRPr="00785644">
        <w:rPr>
          <w:rFonts w:ascii="Arial" w:eastAsia="Times New Roman" w:hAnsi="Arial" w:cs="Arial"/>
          <w:color w:val="212121"/>
        </w:rPr>
        <w:instrText xml:space="preserve"> HYPERLINK "https://www.ncbi.nlm.nih.gov/pubmed/?term=Cauley%20JA%5BAuthor%5D&amp;cauthor=true&amp;cauthor_uid=18684092" \t "_blank" </w:instrText>
      </w:r>
      <w:r w:rsidRPr="00785644">
        <w:rPr>
          <w:rFonts w:ascii="Arial" w:eastAsia="Times New Roman" w:hAnsi="Arial" w:cs="Arial"/>
          <w:color w:val="212121"/>
        </w:rPr>
        <w:fldChar w:fldCharType="separate"/>
      </w:r>
      <w:r w:rsidRPr="00785644">
        <w:rPr>
          <w:rFonts w:ascii="Arial" w:eastAsia="Times New Roman" w:hAnsi="Arial" w:cs="Arial"/>
          <w:color w:val="660066"/>
          <w:u w:val="single"/>
        </w:rPr>
        <w:t>Cauley</w:t>
      </w:r>
      <w:proofErr w:type="spellEnd"/>
      <w:r w:rsidRPr="00785644">
        <w:rPr>
          <w:rFonts w:ascii="Arial" w:eastAsia="Times New Roman" w:hAnsi="Arial" w:cs="Arial"/>
          <w:color w:val="660066"/>
          <w:u w:val="single"/>
        </w:rPr>
        <w:t xml:space="preserve"> JA</w:t>
      </w:r>
      <w:r w:rsidRPr="00785644">
        <w:rPr>
          <w:rFonts w:ascii="Arial" w:eastAsia="Times New Roman" w:hAnsi="Arial" w:cs="Arial"/>
          <w:color w:val="212121"/>
        </w:rPr>
        <w:fldChar w:fldCharType="end"/>
      </w:r>
      <w:r w:rsidRPr="00785644">
        <w:rPr>
          <w:rFonts w:ascii="Arial" w:eastAsia="Times New Roman" w:hAnsi="Arial" w:cs="Arial"/>
          <w:color w:val="212121"/>
        </w:rPr>
        <w:t>, </w:t>
      </w:r>
      <w:hyperlink r:id="rId11" w:tgtFrame="_blank" w:history="1">
        <w:r w:rsidRPr="00785644">
          <w:rPr>
            <w:rFonts w:ascii="Arial" w:eastAsia="Times New Roman" w:hAnsi="Arial" w:cs="Arial"/>
            <w:color w:val="660066"/>
            <w:u w:val="single"/>
          </w:rPr>
          <w:t>Cummings SR</w:t>
        </w:r>
      </w:hyperlink>
      <w:r w:rsidRPr="00785644">
        <w:rPr>
          <w:rFonts w:ascii="Arial" w:eastAsia="Times New Roman" w:hAnsi="Arial" w:cs="Arial"/>
          <w:color w:val="212121"/>
        </w:rPr>
        <w:t>.</w:t>
      </w:r>
    </w:p>
    <w:p w:rsidR="00785644" w:rsidRPr="00785644" w:rsidRDefault="00785644" w:rsidP="00785644">
      <w:pPr>
        <w:shd w:val="clear" w:color="auto" w:fill="FFFFFF"/>
        <w:spacing w:after="0" w:line="240" w:lineRule="auto"/>
        <w:outlineLvl w:val="2"/>
        <w:rPr>
          <w:rFonts w:ascii="Arial" w:eastAsia="Times New Roman" w:hAnsi="Arial" w:cs="Arial"/>
          <w:b/>
          <w:bCs/>
          <w:color w:val="724128"/>
        </w:rPr>
      </w:pPr>
      <w:hyperlink r:id="rId12" w:tgtFrame="_blank" w:tooltip="Open/close author information list" w:history="1">
        <w:r w:rsidRPr="00785644">
          <w:rPr>
            <w:rFonts w:ascii="Arial" w:eastAsia="Times New Roman" w:hAnsi="Arial" w:cs="Arial"/>
            <w:b/>
            <w:bCs/>
            <w:color w:val="660066"/>
            <w:sz w:val="21"/>
            <w:szCs w:val="21"/>
            <w:u w:val="single"/>
          </w:rPr>
          <w:t>Author information</w:t>
        </w:r>
      </w:hyperlink>
    </w:p>
    <w:p w:rsidR="00785644" w:rsidRPr="00785644" w:rsidRDefault="00785644" w:rsidP="00785644">
      <w:pPr>
        <w:shd w:val="clear" w:color="auto" w:fill="FFFFFF"/>
        <w:spacing w:after="0" w:line="240" w:lineRule="auto"/>
        <w:outlineLvl w:val="2"/>
        <w:rPr>
          <w:rFonts w:ascii="Arial" w:eastAsia="Times New Roman" w:hAnsi="Arial" w:cs="Arial"/>
          <w:b/>
          <w:bCs/>
          <w:color w:val="985735"/>
        </w:rPr>
      </w:pPr>
      <w:r w:rsidRPr="00785644">
        <w:rPr>
          <w:rFonts w:ascii="Arial" w:eastAsia="Times New Roman" w:hAnsi="Arial" w:cs="Arial"/>
          <w:b/>
          <w:bCs/>
          <w:color w:val="985735"/>
        </w:rPr>
        <w:t>Abstract</w:t>
      </w:r>
    </w:p>
    <w:p w:rsidR="00785644" w:rsidRPr="00785644" w:rsidRDefault="00785644" w:rsidP="00785644">
      <w:pPr>
        <w:shd w:val="clear" w:color="auto" w:fill="FFFFFF"/>
        <w:spacing w:after="120" w:line="369" w:lineRule="atLeast"/>
        <w:rPr>
          <w:rFonts w:ascii="Arial" w:eastAsia="Times New Roman" w:hAnsi="Arial" w:cs="Arial"/>
          <w:color w:val="212121"/>
          <w:sz w:val="20"/>
          <w:szCs w:val="20"/>
        </w:rPr>
      </w:pPr>
      <w:r w:rsidRPr="00785644">
        <w:rPr>
          <w:rFonts w:ascii="Arial" w:eastAsia="Times New Roman" w:hAnsi="Arial" w:cs="Arial"/>
          <w:color w:val="212121"/>
          <w:sz w:val="20"/>
          <w:szCs w:val="20"/>
        </w:rPr>
        <w:t xml:space="preserve">The role of bone tissue's geometric distribution in hip fracture risk requires full evaluation in large population-based datasets. We tested whether section modulus, a geometric index of bending strength, predicted hip fracture better than BMD. Among 7474 women from the Study of Osteoporotic Fractures </w:t>
      </w:r>
      <w:r w:rsidRPr="00785644">
        <w:rPr>
          <w:rFonts w:ascii="Arial" w:eastAsia="Times New Roman" w:hAnsi="Arial" w:cs="Arial"/>
          <w:color w:val="212121"/>
          <w:sz w:val="20"/>
          <w:szCs w:val="20"/>
        </w:rPr>
        <w:lastRenderedPageBreak/>
        <w:t xml:space="preserve">(SOF) with hip DXA scans at baseline, there were 635 incident hip fractures recorded over 13 yr. Hip structural analysis software was used to derive variables from the DXA scans at the narrow neck (NN), </w:t>
      </w:r>
      <w:proofErr w:type="spellStart"/>
      <w:r w:rsidRPr="00785644">
        <w:rPr>
          <w:rFonts w:ascii="Arial" w:eastAsia="Times New Roman" w:hAnsi="Arial" w:cs="Arial"/>
          <w:color w:val="212121"/>
          <w:sz w:val="20"/>
          <w:szCs w:val="20"/>
        </w:rPr>
        <w:t>intertrochanter</w:t>
      </w:r>
      <w:proofErr w:type="spellEnd"/>
      <w:r w:rsidRPr="00785644">
        <w:rPr>
          <w:rFonts w:ascii="Arial" w:eastAsia="Times New Roman" w:hAnsi="Arial" w:cs="Arial"/>
          <w:color w:val="212121"/>
          <w:sz w:val="20"/>
          <w:szCs w:val="20"/>
        </w:rPr>
        <w:t xml:space="preserve"> (IT), and shaft (S) regions. Associations of derived structural variables with hip fracture were assessed using Cox proportional hazard modeling. Hip fracture prediction was assessed using the C-index concordance statistic. </w:t>
      </w:r>
      <w:r w:rsidRPr="00785644">
        <w:rPr>
          <w:rFonts w:ascii="Arial" w:eastAsia="Times New Roman" w:hAnsi="Arial" w:cs="Arial"/>
          <w:b/>
          <w:bCs/>
          <w:color w:val="212121"/>
          <w:sz w:val="20"/>
          <w:szCs w:val="20"/>
        </w:rPr>
        <w:t xml:space="preserve">Incident hip fracture cases had larger neck-shaft angles, larger </w:t>
      </w:r>
      <w:proofErr w:type="spellStart"/>
      <w:r w:rsidRPr="00785644">
        <w:rPr>
          <w:rFonts w:ascii="Arial" w:eastAsia="Times New Roman" w:hAnsi="Arial" w:cs="Arial"/>
          <w:b/>
          <w:bCs/>
          <w:color w:val="212121"/>
          <w:sz w:val="20"/>
          <w:szCs w:val="20"/>
        </w:rPr>
        <w:t>subperiosteal</w:t>
      </w:r>
      <w:proofErr w:type="spellEnd"/>
      <w:r w:rsidRPr="00785644">
        <w:rPr>
          <w:rFonts w:ascii="Arial" w:eastAsia="Times New Roman" w:hAnsi="Arial" w:cs="Arial"/>
          <w:b/>
          <w:bCs/>
          <w:color w:val="212121"/>
          <w:sz w:val="20"/>
          <w:szCs w:val="20"/>
        </w:rPr>
        <w:t xml:space="preserve"> and estimated </w:t>
      </w:r>
      <w:proofErr w:type="spellStart"/>
      <w:r w:rsidRPr="00785644">
        <w:rPr>
          <w:rFonts w:ascii="Arial" w:eastAsia="Times New Roman" w:hAnsi="Arial" w:cs="Arial"/>
          <w:b/>
          <w:bCs/>
          <w:color w:val="212121"/>
          <w:sz w:val="20"/>
          <w:szCs w:val="20"/>
        </w:rPr>
        <w:t>endosteal</w:t>
      </w:r>
      <w:proofErr w:type="spellEnd"/>
      <w:r w:rsidRPr="00785644">
        <w:rPr>
          <w:rFonts w:ascii="Arial" w:eastAsia="Times New Roman" w:hAnsi="Arial" w:cs="Arial"/>
          <w:b/>
          <w:bCs/>
          <w:color w:val="212121"/>
          <w:sz w:val="20"/>
          <w:szCs w:val="20"/>
        </w:rPr>
        <w:t xml:space="preserve"> diameters, greater distances from lateral cortical margin to center of mass (lateral distance), and higher estimated buckling ratios (p &lt; 0.0001 for each). </w:t>
      </w:r>
      <w:r w:rsidRPr="00785644">
        <w:rPr>
          <w:rFonts w:ascii="Arial" w:eastAsia="Times New Roman" w:hAnsi="Arial" w:cs="Arial"/>
          <w:color w:val="212121"/>
          <w:sz w:val="20"/>
          <w:szCs w:val="20"/>
        </w:rPr>
        <w:t xml:space="preserve">Areal BMD, cross-sectional area, cross-sectional moment of inertia, section modulus, estimated cortical thickness, and centroid position were all lower in hip fracture cases (p &lt; 0.044). In hip fracture prediction using NN region parameters, estimated cortical thickness, areal BMD, and estimated buckling ratio were equivalent (C-index = 0.72; 95% CI, 0.70, 0.74), but section modulus performed less well (C-index = 0.61; 95% CI, 0.58, 0.63; p &lt; 0.0001 for difference). In multivariable models combining hip structural analysis variables and age, effects of bone dimensions (i.e., lateral distance, </w:t>
      </w:r>
      <w:proofErr w:type="spellStart"/>
      <w:r w:rsidRPr="00785644">
        <w:rPr>
          <w:rFonts w:ascii="Arial" w:eastAsia="Times New Roman" w:hAnsi="Arial" w:cs="Arial"/>
          <w:color w:val="212121"/>
          <w:sz w:val="20"/>
          <w:szCs w:val="20"/>
        </w:rPr>
        <w:t>subperiosteal</w:t>
      </w:r>
      <w:proofErr w:type="spellEnd"/>
      <w:r w:rsidRPr="00785644">
        <w:rPr>
          <w:rFonts w:ascii="Arial" w:eastAsia="Times New Roman" w:hAnsi="Arial" w:cs="Arial"/>
          <w:color w:val="212121"/>
          <w:sz w:val="20"/>
          <w:szCs w:val="20"/>
        </w:rPr>
        <w:t xml:space="preserve"> diameter, and estimated </w:t>
      </w:r>
      <w:proofErr w:type="spellStart"/>
      <w:r w:rsidRPr="00785644">
        <w:rPr>
          <w:rFonts w:ascii="Arial" w:eastAsia="Times New Roman" w:hAnsi="Arial" w:cs="Arial"/>
          <w:color w:val="212121"/>
          <w:sz w:val="20"/>
          <w:szCs w:val="20"/>
        </w:rPr>
        <w:t>endosteal</w:t>
      </w:r>
      <w:proofErr w:type="spellEnd"/>
      <w:r w:rsidRPr="00785644">
        <w:rPr>
          <w:rFonts w:ascii="Arial" w:eastAsia="Times New Roman" w:hAnsi="Arial" w:cs="Arial"/>
          <w:color w:val="212121"/>
          <w:sz w:val="20"/>
          <w:szCs w:val="20"/>
        </w:rPr>
        <w:t xml:space="preserve"> width) were interchangeable, whereas age and neck-shaft angle were independent predictors. Several parsimonious multivariable models that were </w:t>
      </w:r>
      <w:proofErr w:type="spellStart"/>
      <w:r w:rsidRPr="00785644">
        <w:rPr>
          <w:rFonts w:ascii="Arial" w:eastAsia="Times New Roman" w:hAnsi="Arial" w:cs="Arial"/>
          <w:color w:val="212121"/>
          <w:sz w:val="20"/>
          <w:szCs w:val="20"/>
        </w:rPr>
        <w:t>prognostically</w:t>
      </w:r>
      <w:proofErr w:type="spellEnd"/>
      <w:r w:rsidRPr="00785644">
        <w:rPr>
          <w:rFonts w:ascii="Arial" w:eastAsia="Times New Roman" w:hAnsi="Arial" w:cs="Arial"/>
          <w:color w:val="212121"/>
          <w:sz w:val="20"/>
          <w:szCs w:val="20"/>
        </w:rPr>
        <w:t xml:space="preserve"> equivalent for the NN region were obtained combining a measure of width, a measure of mass, age, and neck-shaft angle (BMD is a ratio of mass to width in the NN region; C-index = 0.77; 95% CI, 0.75, 0.79). Trochanteric fractures were best predicted by analysis of the IT region. Because section modulus failed to predict hip fracture risk as well as areal BMD, the thinner cortices and wider bones among those who fractured may imply that simple failure in bending is not the usual event in fracture. Fracture might require initiation (e.g., by localized crushing or buckling of the lateral cortex).</w:t>
      </w:r>
    </w:p>
    <w:p w:rsidR="001434D8" w:rsidRDefault="001434D8" w:rsidP="001434D8"/>
    <w:p w:rsidR="00785644" w:rsidRDefault="00785644" w:rsidP="001434D8">
      <w:r>
        <w:t>Objective 2:</w:t>
      </w:r>
    </w:p>
    <w:p w:rsidR="00785644" w:rsidRDefault="00785644" w:rsidP="001434D8">
      <w:r>
        <w:t xml:space="preserve">PERIPOST </w:t>
      </w:r>
      <w:proofErr w:type="gramStart"/>
      <w:r>
        <w:t>In</w:t>
      </w:r>
      <w:proofErr w:type="gramEnd"/>
      <w:r>
        <w:t xml:space="preserve"> to PERIPOST Quit</w:t>
      </w:r>
    </w:p>
    <w:p w:rsidR="00785644" w:rsidRDefault="00785644" w:rsidP="00785644">
      <w:pPr>
        <w:pStyle w:val="ListParagraph"/>
        <w:numPr>
          <w:ilvl w:val="0"/>
          <w:numId w:val="2"/>
        </w:numPr>
      </w:pPr>
      <w:r>
        <w:t>Only two significant differences</w:t>
      </w:r>
    </w:p>
    <w:p w:rsidR="00785644" w:rsidRDefault="00785644" w:rsidP="00785644">
      <w:pPr>
        <w:pStyle w:val="ListParagraph"/>
        <w:numPr>
          <w:ilvl w:val="1"/>
          <w:numId w:val="2"/>
        </w:numPr>
      </w:pPr>
      <w:r>
        <w:t xml:space="preserve">Ultra-distal </w:t>
      </w:r>
      <w:proofErr w:type="spellStart"/>
      <w:r>
        <w:t>bmc</w:t>
      </w:r>
      <w:proofErr w:type="spellEnd"/>
      <w:r>
        <w:t xml:space="preserve"> and ultra-distal structural strength</w:t>
      </w:r>
    </w:p>
    <w:p w:rsidR="00785644" w:rsidRDefault="00785644" w:rsidP="00785644">
      <w:pPr>
        <w:pStyle w:val="ListParagraph"/>
        <w:numPr>
          <w:ilvl w:val="1"/>
          <w:numId w:val="2"/>
        </w:numPr>
      </w:pPr>
      <w:r>
        <w:t xml:space="preserve">Strong </w:t>
      </w:r>
      <w:proofErr w:type="spellStart"/>
      <w:r>
        <w:t>strong</w:t>
      </w:r>
      <w:proofErr w:type="spellEnd"/>
      <w:r>
        <w:t xml:space="preserve"> evidence</w:t>
      </w:r>
    </w:p>
    <w:p w:rsidR="00785644" w:rsidRDefault="00785644" w:rsidP="00785644">
      <w:pPr>
        <w:pStyle w:val="ListParagraph"/>
        <w:numPr>
          <w:ilvl w:val="0"/>
          <w:numId w:val="2"/>
        </w:numPr>
      </w:pPr>
      <w:r>
        <w:t>Quitting does not change your bone development path that much (minimal attenuation)</w:t>
      </w:r>
    </w:p>
    <w:p w:rsidR="00785644" w:rsidRDefault="00785644" w:rsidP="00785644">
      <w:pPr>
        <w:pStyle w:val="ListParagraph"/>
        <w:numPr>
          <w:ilvl w:val="1"/>
          <w:numId w:val="2"/>
        </w:numPr>
      </w:pPr>
      <w:r>
        <w:t>Still see benefits even after quitting</w:t>
      </w:r>
    </w:p>
    <w:p w:rsidR="00785644" w:rsidRDefault="00785644" w:rsidP="00785644">
      <w:r>
        <w:t>POST quit to PERI quit</w:t>
      </w:r>
    </w:p>
    <w:p w:rsidR="00785644" w:rsidRDefault="00785644" w:rsidP="00785644">
      <w:pPr>
        <w:pStyle w:val="ListParagraph"/>
        <w:numPr>
          <w:ilvl w:val="0"/>
          <w:numId w:val="3"/>
        </w:numPr>
      </w:pPr>
      <w:r>
        <w:t>One significant difference</w:t>
      </w:r>
    </w:p>
    <w:p w:rsidR="00785644" w:rsidRDefault="00785644" w:rsidP="00785644">
      <w:pPr>
        <w:pStyle w:val="ListParagraph"/>
        <w:numPr>
          <w:ilvl w:val="1"/>
          <w:numId w:val="3"/>
        </w:numPr>
      </w:pPr>
      <w:r>
        <w:t>Distal Radius modulus</w:t>
      </w:r>
    </w:p>
    <w:p w:rsidR="00785644" w:rsidRDefault="00785644" w:rsidP="00785644">
      <w:pPr>
        <w:pStyle w:val="ListParagraph"/>
        <w:numPr>
          <w:ilvl w:val="0"/>
          <w:numId w:val="3"/>
        </w:numPr>
      </w:pPr>
      <w:r>
        <w:t>Not that important when you quit– gymnastics is still beneficial</w:t>
      </w:r>
    </w:p>
    <w:p w:rsidR="00841D34" w:rsidRDefault="00841D34" w:rsidP="00841D34">
      <w:pPr>
        <w:ind w:left="360"/>
      </w:pPr>
    </w:p>
    <w:p w:rsidR="00785644" w:rsidRDefault="00B67163" w:rsidP="00785644">
      <w:r>
        <w:lastRenderedPageBreak/>
        <w:t>PERI quit to NON never</w:t>
      </w:r>
    </w:p>
    <w:p w:rsidR="00B67163" w:rsidRDefault="00B67163" w:rsidP="00B67163">
      <w:pPr>
        <w:pStyle w:val="ListParagraph"/>
        <w:numPr>
          <w:ilvl w:val="0"/>
          <w:numId w:val="4"/>
        </w:numPr>
      </w:pPr>
      <w:r>
        <w:t>7/14 significant differences</w:t>
      </w:r>
    </w:p>
    <w:p w:rsidR="00B67163" w:rsidRDefault="00B67163" w:rsidP="00B67163">
      <w:pPr>
        <w:pStyle w:val="ListParagraph"/>
        <w:numPr>
          <w:ilvl w:val="1"/>
          <w:numId w:val="4"/>
        </w:numPr>
      </w:pPr>
      <w:r>
        <w:t>All pointing in direction we expect</w:t>
      </w:r>
    </w:p>
    <w:p w:rsidR="00B67163" w:rsidRDefault="00B67163" w:rsidP="00B67163">
      <w:pPr>
        <w:pStyle w:val="ListParagraph"/>
        <w:numPr>
          <w:ilvl w:val="0"/>
          <w:numId w:val="4"/>
        </w:numPr>
      </w:pPr>
      <w:r>
        <w:t>Compared to those who were never in gymnastics, females still see benefits after they quit (even if quit early)</w:t>
      </w:r>
    </w:p>
    <w:p w:rsidR="00B67163" w:rsidRDefault="00B67163" w:rsidP="00B67163">
      <w:pPr>
        <w:pStyle w:val="ListParagraph"/>
        <w:numPr>
          <w:ilvl w:val="1"/>
          <w:numId w:val="4"/>
        </w:numPr>
      </w:pPr>
      <w:r>
        <w:t>Note that we’re comparing those who quit early to those never in</w:t>
      </w:r>
    </w:p>
    <w:p w:rsidR="00B67163" w:rsidRDefault="00B67163" w:rsidP="00B67163">
      <w:r>
        <w:t>Regardless of whether you quit early or late, there’s still a gymnastics benefit. The effect size may be smaller, but still significant benefits for gymnastics.</w:t>
      </w:r>
    </w:p>
    <w:p w:rsidR="00B67163" w:rsidRDefault="00B67163" w:rsidP="00B67163">
      <w:r>
        <w:t>PERI in to NON never</w:t>
      </w:r>
    </w:p>
    <w:p w:rsidR="00B67163" w:rsidRDefault="00B67163" w:rsidP="00B67163">
      <w:pPr>
        <w:pStyle w:val="ListParagraph"/>
        <w:numPr>
          <w:ilvl w:val="0"/>
          <w:numId w:val="5"/>
        </w:numPr>
      </w:pPr>
      <w:r>
        <w:t>8/14 significant differences</w:t>
      </w:r>
    </w:p>
    <w:p w:rsidR="00B67163" w:rsidRDefault="00841D34" w:rsidP="00B67163">
      <w:pPr>
        <w:pStyle w:val="ListParagraph"/>
        <w:numPr>
          <w:ilvl w:val="0"/>
          <w:numId w:val="5"/>
        </w:numPr>
      </w:pPr>
      <w:r>
        <w:t>Even after removing those who quit late, many beneficial effects of gymnastics</w:t>
      </w:r>
    </w:p>
    <w:p w:rsidR="00841D34" w:rsidRDefault="00841D34" w:rsidP="00841D34">
      <w:r>
        <w:t>Objective 3:</w:t>
      </w:r>
    </w:p>
    <w:p w:rsidR="00841D34" w:rsidRDefault="00841D34" w:rsidP="00841D34">
      <w:bookmarkStart w:id="0" w:name="_GoBack"/>
      <w:bookmarkEnd w:id="0"/>
    </w:p>
    <w:sectPr w:rsidR="00841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21714"/>
    <w:multiLevelType w:val="hybridMultilevel"/>
    <w:tmpl w:val="021EA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A67D21"/>
    <w:multiLevelType w:val="hybridMultilevel"/>
    <w:tmpl w:val="73363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362A3"/>
    <w:multiLevelType w:val="hybridMultilevel"/>
    <w:tmpl w:val="8E6EA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2B6E75"/>
    <w:multiLevelType w:val="hybridMultilevel"/>
    <w:tmpl w:val="BD4CA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3E5C69"/>
    <w:multiLevelType w:val="hybridMultilevel"/>
    <w:tmpl w:val="C15EE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4D8"/>
    <w:rsid w:val="001434D8"/>
    <w:rsid w:val="006C78B5"/>
    <w:rsid w:val="00785644"/>
    <w:rsid w:val="00801384"/>
    <w:rsid w:val="00841D34"/>
    <w:rsid w:val="008446D8"/>
    <w:rsid w:val="00B67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DF0A8"/>
  <w15:chartTrackingRefBased/>
  <w15:docId w15:val="{54F46E57-A5CC-4D30-BC29-BEF16C2E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7856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856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4D8"/>
    <w:pPr>
      <w:ind w:left="720"/>
      <w:contextualSpacing/>
    </w:pPr>
  </w:style>
  <w:style w:type="character" w:customStyle="1" w:styleId="Heading1Char">
    <w:name w:val="Heading 1 Char"/>
    <w:basedOn w:val="DefaultParagraphFont"/>
    <w:link w:val="Heading1"/>
    <w:uiPriority w:val="9"/>
    <w:rsid w:val="0078564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8564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85644"/>
    <w:rPr>
      <w:color w:val="0000FF"/>
      <w:u w:val="single"/>
    </w:rPr>
  </w:style>
  <w:style w:type="character" w:customStyle="1" w:styleId="xui-ncbitoggler-master-text">
    <w:name w:val="x_ui-ncbitoggler-master-text"/>
    <w:basedOn w:val="DefaultParagraphFont"/>
    <w:rsid w:val="00785644"/>
  </w:style>
  <w:style w:type="character" w:customStyle="1" w:styleId="apple-converted-space">
    <w:name w:val="apple-converted-space"/>
    <w:basedOn w:val="DefaultParagraphFont"/>
    <w:rsid w:val="00785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583210">
      <w:bodyDiv w:val="1"/>
      <w:marLeft w:val="0"/>
      <w:marRight w:val="0"/>
      <w:marTop w:val="0"/>
      <w:marBottom w:val="0"/>
      <w:divBdr>
        <w:top w:val="none" w:sz="0" w:space="0" w:color="auto"/>
        <w:left w:val="none" w:sz="0" w:space="0" w:color="auto"/>
        <w:bottom w:val="none" w:sz="0" w:space="0" w:color="auto"/>
        <w:right w:val="none" w:sz="0" w:space="0" w:color="auto"/>
      </w:divBdr>
      <w:divsChild>
        <w:div w:id="1988507346">
          <w:marLeft w:val="0"/>
          <w:marRight w:val="0"/>
          <w:marTop w:val="0"/>
          <w:marBottom w:val="0"/>
          <w:divBdr>
            <w:top w:val="none" w:sz="0" w:space="0" w:color="auto"/>
            <w:left w:val="none" w:sz="0" w:space="0" w:color="auto"/>
            <w:bottom w:val="none" w:sz="0" w:space="0" w:color="auto"/>
            <w:right w:val="none" w:sz="0" w:space="0" w:color="auto"/>
          </w:divBdr>
        </w:div>
        <w:div w:id="1042438096">
          <w:marLeft w:val="0"/>
          <w:marRight w:val="0"/>
          <w:marTop w:val="0"/>
          <w:marBottom w:val="0"/>
          <w:divBdr>
            <w:top w:val="none" w:sz="0" w:space="0" w:color="auto"/>
            <w:left w:val="none" w:sz="0" w:space="0" w:color="auto"/>
            <w:bottom w:val="none" w:sz="0" w:space="0" w:color="auto"/>
            <w:right w:val="none" w:sz="0" w:space="0" w:color="auto"/>
          </w:divBdr>
        </w:div>
        <w:div w:id="2030178072">
          <w:marLeft w:val="0"/>
          <w:marRight w:val="0"/>
          <w:marTop w:val="0"/>
          <w:marBottom w:val="0"/>
          <w:divBdr>
            <w:top w:val="none" w:sz="0" w:space="0" w:color="auto"/>
            <w:left w:val="none" w:sz="0" w:space="0" w:color="auto"/>
            <w:bottom w:val="none" w:sz="0" w:space="0" w:color="auto"/>
            <w:right w:val="none" w:sz="0" w:space="0" w:color="auto"/>
          </w:divBdr>
        </w:div>
        <w:div w:id="1328438493">
          <w:marLeft w:val="0"/>
          <w:marRight w:val="0"/>
          <w:marTop w:val="240"/>
          <w:marBottom w:val="100"/>
          <w:divBdr>
            <w:top w:val="none" w:sz="0" w:space="0" w:color="auto"/>
            <w:left w:val="none" w:sz="0" w:space="0" w:color="auto"/>
            <w:bottom w:val="none" w:sz="0" w:space="0" w:color="auto"/>
            <w:right w:val="none" w:sz="0" w:space="0" w:color="auto"/>
          </w:divBdr>
          <w:divsChild>
            <w:div w:id="1288047098">
              <w:marLeft w:val="0"/>
              <w:marRight w:val="0"/>
              <w:marTop w:val="0"/>
              <w:marBottom w:val="0"/>
              <w:divBdr>
                <w:top w:val="none" w:sz="0" w:space="0" w:color="auto"/>
                <w:left w:val="none" w:sz="0" w:space="0" w:color="auto"/>
                <w:bottom w:val="none" w:sz="0" w:space="0" w:color="auto"/>
                <w:right w:val="none" w:sz="0" w:space="0" w:color="auto"/>
              </w:divBdr>
              <w:divsChild>
                <w:div w:id="7232198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Reeve%20J%5BAuthor%5D&amp;cauthor=true&amp;cauthor_uid=1868409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ubmed/?term=Beck%20TJ%5BAuthor%5D&amp;cauthor=true&amp;cauthor_uid=18684092" TargetMode="External"/><Relationship Id="rId12" Type="http://schemas.openxmlformats.org/officeDocument/2006/relationships/hyperlink" Target="https://www.ncbi.nlm.nih.gov/pubmed/186840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ubmed/?term=Kaptoge%20S%5BAuthor%5D&amp;cauthor=true&amp;cauthor_uid=18684092" TargetMode="External"/><Relationship Id="rId11" Type="http://schemas.openxmlformats.org/officeDocument/2006/relationships/hyperlink" Target="https://www.ncbi.nlm.nih.gov/pubmed/?term=Cummings%20SR%5BAuthor%5D&amp;cauthor=true&amp;cauthor_uid=18684092" TargetMode="External"/><Relationship Id="rId5" Type="http://schemas.openxmlformats.org/officeDocument/2006/relationships/hyperlink" Target="https://www.ncbi.nlm.nih.gov/pubmed/18684092" TargetMode="External"/><Relationship Id="rId10" Type="http://schemas.openxmlformats.org/officeDocument/2006/relationships/hyperlink" Target="https://www.ncbi.nlm.nih.gov/pubmed/?term=Hillier%20TA%5BAuthor%5D&amp;cauthor=true&amp;cauthor_uid=18684092" TargetMode="External"/><Relationship Id="rId4" Type="http://schemas.openxmlformats.org/officeDocument/2006/relationships/webSettings" Target="webSettings.xml"/><Relationship Id="rId9" Type="http://schemas.openxmlformats.org/officeDocument/2006/relationships/hyperlink" Target="https://www.ncbi.nlm.nih.gov/pubmed/?term=Stone%20KL%5BAuthor%5D&amp;cauthor=true&amp;cauthor_uid=1868409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Stieber</dc:creator>
  <cp:keywords/>
  <dc:description/>
  <cp:lastModifiedBy>Brad Stieber</cp:lastModifiedBy>
  <cp:revision>1</cp:revision>
  <dcterms:created xsi:type="dcterms:W3CDTF">2016-10-09T15:44:00Z</dcterms:created>
  <dcterms:modified xsi:type="dcterms:W3CDTF">2016-10-09T19:11:00Z</dcterms:modified>
</cp:coreProperties>
</file>