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C9A24B"/>
          <w:sz w:val="22"/>
        </w:rPr>
        <w:t>AT-TIJANIYA</w:t>
      </w:r>
    </w:p>
    <w:p>
      <w:pPr>
        <w:pStyle w:val="Title"/>
        <w:spacing w:after="40"/>
      </w:pPr>
      <w:r>
        <w:rPr>
          <w:color w:val="0F3D2E"/>
          <w:sz w:val="56"/>
        </w:rPr>
        <w:t>Politique de confidentialité</w:t>
      </w:r>
    </w:p>
    <w:p>
      <w:pPr>
        <w:spacing w:after="360"/>
      </w:pPr>
      <w:r>
        <w:rPr>
          <w:i/>
          <w:color w:val="4A3F2E"/>
          <w:sz w:val="21"/>
        </w:rPr>
        <w:t>Dernière mise à jour : 11 octobre 2026</w:t>
      </w:r>
    </w:p>
    <w:p>
      <w:pPr>
        <w:pStyle w:val="Heading1"/>
        <w:spacing w:before="360" w:after="120"/>
      </w:pPr>
      <w:r>
        <w:rPr>
          <w:color w:val="0F3D2E"/>
          <w:sz w:val="32"/>
        </w:rPr>
        <w:t>1. Qui sommes-nous</w:t>
      </w:r>
    </w:p>
    <w:p>
      <w:pPr>
        <w:spacing w:after="160"/>
      </w:pPr>
      <w:r>
        <w:t>At-Tijaniya est une application indépendante destinée aux disciples de la Tijaniyya, portée par Boubacar Gueye, à titre individuel — pas une société, pas une association constituée à ce jour. Contact : voir §10.</w:t>
      </w:r>
    </w:p>
    <w:p>
      <w:pPr>
        <w:pStyle w:val="Heading1"/>
        <w:spacing w:before="360" w:after="120"/>
      </w:pPr>
      <w:r>
        <w:rPr>
          <w:color w:val="0F3D2E"/>
          <w:sz w:val="32"/>
        </w:rPr>
        <w:t>2. Données que nous collectons</w:t>
      </w:r>
    </w:p>
    <w:p>
      <w:pPr>
        <w:pStyle w:val="Heading2"/>
        <w:spacing w:before="200" w:after="80"/>
      </w:pPr>
      <w:r>
        <w:rPr>
          <w:caps/>
          <w:color w:val="4A3F2E"/>
          <w:sz w:val="24"/>
        </w:rPr>
        <w:t>Compte et profil</w:t>
      </w:r>
    </w:p>
    <w:p>
      <w:pPr>
        <w:pStyle w:val="ListBullet"/>
        <w:spacing w:after="80"/>
      </w:pPr>
      <w:r>
        <w:t>E-mail et mot de passe (le mot de passe est haché par notre prestataire d'authentification, jamais stocké ni lisible en clair par nous).</w:t>
      </w:r>
    </w:p>
    <w:p>
      <w:pPr>
        <w:pStyle w:val="ListBullet"/>
        <w:spacing w:after="80"/>
      </w:pPr>
      <w:r>
        <w:t>Nom affiché, photo de profil (optionnelle), langue préférée (français/arabe), bio, zawiya de rattachement.</w:t>
      </w:r>
    </w:p>
    <w:p>
      <w:pPr>
        <w:pStyle w:val="Heading2"/>
        <w:spacing w:before="200" w:after="80"/>
      </w:pPr>
      <w:r>
        <w:rPr>
          <w:caps/>
          <w:color w:val="4A3F2E"/>
          <w:sz w:val="24"/>
        </w:rPr>
        <w:t>Pratique religieuse</w:t>
      </w:r>
    </w:p>
    <w:p>
      <w:pPr>
        <w:spacing w:after="160"/>
      </w:pPr>
      <w:r>
        <w:t>La progression des wirds (compteur, historique, rappels programmés) est stockée localement sur votre appareil, pas sur nos serveurs. Si vous validez une récitation audio en tant qu'administrateur, cette action est journalisée.</w:t>
      </w:r>
    </w:p>
    <w:p>
      <w:pPr>
        <w:pStyle w:val="Heading2"/>
        <w:spacing w:before="200" w:after="80"/>
      </w:pPr>
      <w:r>
        <w:rPr>
          <w:caps/>
          <w:color w:val="4A3F2E"/>
          <w:sz w:val="24"/>
        </w:rPr>
        <w:t>Lignée spirituelle et statut mouqaddam</w:t>
      </w:r>
    </w:p>
    <w:p>
      <w:pPr>
        <w:spacing w:before="80" w:after="200"/>
        <w:shd w:val="clear" w:color="auto" w:fill="F1E6C9"/>
      </w:pPr>
      <w:r>
        <w:rPr>
          <w:b/>
          <w:color w:val="0F3D2E"/>
          <w:sz w:val="18"/>
        </w:rPr>
        <w:t>DONNÉE SENSIBLE</w:t>
        <w:br/>
      </w:r>
      <w:r>
        <w:rPr>
          <w:color w:val="2B2620"/>
          <w:sz w:val="22"/>
        </w:rPr>
        <w:t>Lignée spirituelle (foyer, nom du moqaddam, année, zawiya) et statut « Parrainage confirmé » (silsila d'ijaza) sont privés par défaut. Ils ne servent à la mise en relation avec d'autres disciples que si vous l'activez explicitement — jamais d'annuaire public, jamais d'export. Toute consultation par un autre mouqaddam dans le cadre d'un parrainage est journalisée à des fins d'audit.</w:t>
      </w:r>
    </w:p>
    <w:p>
      <w:pPr>
        <w:pStyle w:val="Heading2"/>
        <w:spacing w:before="200" w:after="80"/>
      </w:pPr>
      <w:r>
        <w:rPr>
          <w:caps/>
          <w:color w:val="4A3F2E"/>
          <w:sz w:val="24"/>
        </w:rPr>
        <w:t>Contenu communautaire</w:t>
      </w:r>
    </w:p>
    <w:p>
      <w:pPr>
        <w:spacing w:after="160"/>
      </w:pPr>
      <w:r>
        <w:t>Publications du fil d'actualité, commentaires, likes, messages privés, groupes et leurs membres — visibles selon les réglages de confidentialité du groupe ou de la conversation concernée.</w:t>
      </w:r>
    </w:p>
    <w:p>
      <w:pPr>
        <w:pStyle w:val="Heading2"/>
        <w:spacing w:before="200" w:after="80"/>
      </w:pPr>
      <w:r>
        <w:rPr>
          <w:caps/>
          <w:color w:val="4A3F2E"/>
          <w:sz w:val="24"/>
        </w:rPr>
        <w:t>Signalement et blocage</w:t>
      </w:r>
    </w:p>
    <w:p>
      <w:pPr>
        <w:spacing w:after="160"/>
      </w:pPr>
      <w:r>
        <w:t>Si vous signalez un message de groupe ou un message privé, une copie de ce message et le nom de son auteur sont transmis à la modération. Elle ne lit rien d'autre de la discussion. Cette copie est effacée dès que le signalement est traité.</w:t>
      </w:r>
    </w:p>
    <w:p>
      <w:pPr>
        <w:spacing w:after="160"/>
      </w:pPr>
      <w:r>
        <w:t>Si vous bloquez un disciple, ce blocage est enregistré sur nos serveurs pour être appliqué : il ne peut plus vous écrire et vous ne voyez plus ce qu'il écrit. Il reste privé ; la personne bloquée n'en est pas informée, et vous pouvez l'annuler à tout moment.</w:t>
      </w:r>
    </w:p>
    <w:p>
      <w:pPr>
        <w:pStyle w:val="Heading2"/>
        <w:spacing w:before="200" w:after="80"/>
      </w:pPr>
      <w:r>
        <w:rPr>
          <w:caps/>
          <w:color w:val="4A3F2E"/>
          <w:sz w:val="24"/>
        </w:rPr>
        <w:t>Dons</w:t>
      </w:r>
    </w:p>
    <w:p>
      <w:pPr>
        <w:spacing w:after="160"/>
      </w:pPr>
      <w:r>
        <w:t>Montant, devise et statut de la transaction. Nous ne recevons ni ne stockons vos coordonnées bancaires ou de paiement mobile : le paiement est traité par notre prestataire PayDunya. Un don peut être fait de façon anonyme, sans compte.</w:t>
      </w:r>
    </w:p>
    <w:p>
      <w:pPr>
        <w:pStyle w:val="Heading2"/>
        <w:spacing w:before="200" w:after="80"/>
      </w:pPr>
      <w:r>
        <w:rPr>
          <w:caps/>
          <w:color w:val="4A3F2E"/>
          <w:sz w:val="24"/>
        </w:rPr>
        <w:t>Notifications</w:t>
      </w:r>
    </w:p>
    <w:p>
      <w:pPr>
        <w:spacing w:after="160"/>
      </w:pPr>
      <w:r>
        <w:t>Si vous les activez, le jeton technique de votre appareil est conservé pour vous les envoyer — aucune donnée personnelle supplémentaire n'y est associée.</w:t>
      </w:r>
    </w:p>
    <w:p>
      <w:pPr>
        <w:pStyle w:val="Heading2"/>
        <w:spacing w:before="200" w:after="80"/>
      </w:pPr>
      <w:r>
        <w:rPr>
          <w:caps/>
          <w:color w:val="4A3F2E"/>
          <w:sz w:val="24"/>
        </w:rPr>
        <w:t>Localisation</w:t>
      </w:r>
    </w:p>
    <w:p>
      <w:pPr>
        <w:spacing w:after="160"/>
      </w:pPr>
      <w:r>
        <w:t>La fonction « La Hadra la plus proche » demande, uniquement quand vous l'ouvrez, la position approximative de votre appareil pour classer les zawiyas par distance. Ce calcul est fait sur votre téléphone : votre position n'est ni enregistrée, ni envoyée à nos serveurs, ni partagée. Vous pouvez refuser cette autorisation ; le reste de l'application fonctionne sans elle.</w:t>
      </w:r>
    </w:p>
    <w:p>
      <w:pPr>
        <w:pStyle w:val="Heading2"/>
        <w:spacing w:before="200" w:after="80"/>
      </w:pPr>
      <w:r>
        <w:rPr>
          <w:caps/>
          <w:color w:val="4A3F2E"/>
          <w:sz w:val="24"/>
        </w:rPr>
        <w:t>Ce que nous ne collectons pas</w:t>
      </w:r>
    </w:p>
    <w:p>
      <w:pPr>
        <w:spacing w:after="160"/>
      </w:pPr>
      <w:r>
        <w:t>Aucun outil d'analyse d'usage ou de publicité tiers, aucun traceur marketing, aucun suivi de votre position.</w:t>
      </w:r>
    </w:p>
    <w:p>
      <w:pPr>
        <w:pStyle w:val="Heading1"/>
        <w:spacing w:before="360" w:after="120"/>
      </w:pPr>
      <w:r>
        <w:rPr>
          <w:color w:val="0F3D2E"/>
          <w:sz w:val="32"/>
        </w:rPr>
        <w:t>3. Pourquoi nous utilisons ces données</w:t>
      </w:r>
    </w:p>
    <w:p>
      <w:pPr>
        <w:pStyle w:val="ListBullet"/>
        <w:spacing w:after="80"/>
      </w:pPr>
      <w:r>
        <w:t>Fournir les fonctionnalités de l'application (compte, pratique des wirds, communauté, dons).</w:t>
      </w:r>
    </w:p>
    <w:p>
      <w:pPr>
        <w:pStyle w:val="ListBullet"/>
        <w:spacing w:after="80"/>
      </w:pPr>
      <w:r>
        <w:t>Vous permettre, si vous le souhaitez, de retrouver des condisciples de votre moqaddam.</w:t>
      </w:r>
    </w:p>
    <w:p>
      <w:pPr>
        <w:pStyle w:val="ListBullet"/>
        <w:spacing w:after="80"/>
      </w:pPr>
      <w:r>
        <w:t>Assurer la sécurité du service et prévenir les abus (modération a posteriori des contenus signalés).</w:t>
      </w:r>
    </w:p>
    <w:p>
      <w:pPr>
        <w:pStyle w:val="ListBullet"/>
        <w:spacing w:after="80"/>
      </w:pPr>
      <w:r>
        <w:t>Vous contacter au sujet de votre compte si nécessaire.</w:t>
      </w:r>
    </w:p>
    <w:p>
      <w:pPr>
        <w:pStyle w:val="Heading1"/>
        <w:spacing w:before="360" w:after="120"/>
      </w:pPr>
      <w:r>
        <w:rPr>
          <w:color w:val="0F3D2E"/>
          <w:sz w:val="32"/>
        </w:rPr>
        <w:t>4. Avec qui nous les partageons</w:t>
      </w:r>
    </w:p>
    <w:p>
      <w:pPr>
        <w:pStyle w:val="ListBullet"/>
        <w:spacing w:after="80"/>
      </w:pPr>
      <w:r>
        <w:t>Supabase — hébergement de la base de données, de l'authentification et du stockage, dans l'Union européenne (région Paris, France).</w:t>
      </w:r>
    </w:p>
    <w:p>
      <w:pPr>
        <w:pStyle w:val="ListBullet"/>
        <w:spacing w:after="80"/>
      </w:pPr>
      <w:r>
        <w:t>PayDunya — traitement des paiements pour les dons, uniquement pour les données nécessaires à la transaction.</w:t>
      </w:r>
    </w:p>
    <w:p>
      <w:pPr>
        <w:spacing w:after="160"/>
      </w:pPr>
      <w:r>
        <w:t>Nous ne vendons ni ne louons vos données à des tiers, et ne les partageons jamais à des fins publicitaires.</w:t>
      </w:r>
    </w:p>
    <w:p>
      <w:pPr>
        <w:pStyle w:val="Heading1"/>
        <w:spacing w:before="360" w:after="120"/>
      </w:pPr>
      <w:r>
        <w:rPr>
          <w:color w:val="0F3D2E"/>
          <w:sz w:val="32"/>
        </w:rPr>
        <w:t>5. Sécurité</w:t>
      </w:r>
    </w:p>
    <w:p>
      <w:pPr>
        <w:spacing w:after="160"/>
      </w:pPr>
      <w:r>
        <w:t>L'accès aux données est restreint au niveau de la base de données elle-même (Row-Level Security PostgreSQL) : un disciple ne peut techniquement accéder qu'aux données que les règles de confidentialité autorisent, pas seulement au niveau de l'interface. Les échanges entre l'application et nos serveurs sont chiffrés (HTTPS).</w:t>
      </w:r>
    </w:p>
    <w:p>
      <w:pPr>
        <w:pStyle w:val="Heading1"/>
        <w:spacing w:before="360" w:after="120"/>
      </w:pPr>
      <w:r>
        <w:rPr>
          <w:color w:val="0F3D2E"/>
          <w:sz w:val="32"/>
        </w:rPr>
        <w:t>6. Conservation et suppression</w:t>
      </w:r>
    </w:p>
    <w:p>
      <w:pPr>
        <w:spacing w:after="160"/>
      </w:pPr>
      <w:r>
        <w:t>Vos données sont conservées tant que votre compte existe. Vous pouvez le supprimer à tout moment depuis Profil → Supprimer mon compte. Cette suppression est définitive et immédiate :</w:t>
      </w:r>
    </w:p>
    <w:p>
      <w:pPr>
        <w:pStyle w:val="ListBullet"/>
        <w:spacing w:after="80"/>
      </w:pPr>
      <w:r>
        <w:t>Votre contenu personnel (commentaires, messages privés, publications de groupe) est supprimé.</w:t>
      </w:r>
    </w:p>
    <w:p>
      <w:pPr>
        <w:pStyle w:val="ListBullet"/>
        <w:spacing w:after="80"/>
      </w:pPr>
      <w:r>
        <w:t>Le contenu à portée collective que vous avez créé (évènement, rediffusion, publication du fil communautaire) est conservé mais anonymisé — votre nom n'y reste plus associé.</w:t>
      </w:r>
    </w:p>
    <w:p>
      <w:pPr>
        <w:pStyle w:val="ListBullet"/>
        <w:spacing w:after="80"/>
      </w:pPr>
      <w:r>
        <w:t>Le reste (profil, lignée spirituelle, statut mouqaddam, historique de pratique, notifications...) est supprimé.</w:t>
      </w:r>
    </w:p>
    <w:p>
      <w:pPr>
        <w:pStyle w:val="Heading1"/>
        <w:spacing w:before="360" w:after="120"/>
      </w:pPr>
      <w:r>
        <w:rPr>
          <w:color w:val="0F3D2E"/>
          <w:sz w:val="32"/>
        </w:rPr>
        <w:t>7. Vos droits</w:t>
      </w:r>
    </w:p>
    <w:p>
      <w:pPr>
        <w:spacing w:after="160"/>
      </w:pPr>
      <w:r>
        <w:t>Directement dans l'application, à tout moment : consultez et modifiez votre profil, changez la visibilité de votre lignée spirituelle et de votre statut mouqaddam (Paramètres → Confidentialité), et supprimez votre compte. Pour toute autre demande (export de vos données, question sur cette politique), contactez-nous (§10).</w:t>
      </w:r>
    </w:p>
    <w:p>
      <w:pPr>
        <w:pStyle w:val="Heading1"/>
        <w:spacing w:before="360" w:after="120"/>
      </w:pPr>
      <w:r>
        <w:rPr>
          <w:color w:val="0F3D2E"/>
          <w:sz w:val="32"/>
        </w:rPr>
        <w:t>8. Mineurs</w:t>
      </w:r>
    </w:p>
    <w:p>
      <w:pPr>
        <w:spacing w:after="160"/>
      </w:pPr>
      <w:r>
        <w:t>At-Tijaniya n'est pas spécifiquement destinée aux enfants et ne collecte pas volontairement de données concernant des mineurs sans l'accord d'un parent ou tuteur.</w:t>
      </w:r>
    </w:p>
    <w:p>
      <w:pPr>
        <w:pStyle w:val="Heading1"/>
        <w:spacing w:before="360" w:after="120"/>
      </w:pPr>
      <w:r>
        <w:rPr>
          <w:color w:val="0F3D2E"/>
          <w:sz w:val="32"/>
        </w:rPr>
        <w:t>9. Modifications de cette politique</w:t>
      </w:r>
    </w:p>
    <w:p>
      <w:pPr>
        <w:spacing w:after="160"/>
      </w:pPr>
      <w:r>
        <w:t>Nous pouvons mettre à jour cette politique, par exemple à l'ajout d'une nouvelle fonctionnalité. La date de dernière mise à jour en haut de page reflète toujours la version en vigueur.</w:t>
      </w:r>
    </w:p>
    <w:p>
      <w:pPr>
        <w:pStyle w:val="Heading1"/>
        <w:spacing w:before="360" w:after="120"/>
      </w:pPr>
      <w:r>
        <w:rPr>
          <w:color w:val="0F3D2E"/>
          <w:sz w:val="32"/>
        </w:rPr>
        <w:t>10. Contact</w:t>
      </w:r>
    </w:p>
    <w:p>
      <w:pPr>
        <w:spacing w:after="160"/>
      </w:pPr>
      <w:r>
        <w:t>Pour toute question sur vos données ou cette politique : bgueye@gmail.com.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6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