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E8" w:rsidRPr="005D30E8" w:rsidRDefault="005D30E8" w:rsidP="005D30E8">
      <w:pPr>
        <w:contextualSpacing/>
        <w:jc w:val="center"/>
        <w:rPr>
          <w:rFonts w:asciiTheme="minorHAnsi" w:hAnsiTheme="minorHAnsi"/>
        </w:rPr>
      </w:pPr>
      <w:r w:rsidRPr="005D30E8">
        <w:rPr>
          <w:rFonts w:asciiTheme="minorHAnsi" w:hAnsiTheme="minorHAnsi"/>
        </w:rPr>
        <w:t xml:space="preserve">Dexamethasone versus Prednisone/Prednisolone for the Treatment of an </w:t>
      </w:r>
    </w:p>
    <w:p w:rsidR="005D30E8" w:rsidRPr="005D30E8" w:rsidRDefault="005D30E8" w:rsidP="005D30E8">
      <w:pPr>
        <w:contextualSpacing/>
        <w:jc w:val="center"/>
        <w:rPr>
          <w:rFonts w:asciiTheme="minorHAnsi" w:hAnsiTheme="minorHAnsi"/>
        </w:rPr>
      </w:pPr>
      <w:r w:rsidRPr="005D30E8">
        <w:rPr>
          <w:rFonts w:asciiTheme="minorHAnsi" w:hAnsiTheme="minorHAnsi"/>
        </w:rPr>
        <w:t xml:space="preserve">Acute Asthma Exacerbation in the Pediatric Population </w:t>
      </w:r>
    </w:p>
    <w:p w:rsidR="00E012A5" w:rsidRPr="00DC1C42" w:rsidRDefault="00E012A5" w:rsidP="00511F30">
      <w:pPr>
        <w:jc w:val="center"/>
        <w:rPr>
          <w:rFonts w:ascii="Calibri" w:hAnsi="Calibri" w:cs="Arial"/>
          <w:sz w:val="20"/>
          <w:szCs w:val="20"/>
        </w:rPr>
      </w:pPr>
    </w:p>
    <w:p w:rsidR="00511F30" w:rsidRPr="00DC1C42" w:rsidRDefault="001F4A30" w:rsidP="001F4A30">
      <w:p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Pri</w:t>
      </w:r>
      <w:r w:rsidR="000B077C">
        <w:rPr>
          <w:rFonts w:ascii="Calibri" w:hAnsi="Calibri" w:cs="Arial"/>
          <w:b/>
          <w:sz w:val="20"/>
          <w:szCs w:val="20"/>
        </w:rPr>
        <w:t>ncipal</w:t>
      </w:r>
      <w:r w:rsidRPr="00DC1C42">
        <w:rPr>
          <w:rFonts w:ascii="Calibri" w:hAnsi="Calibri" w:cs="Arial"/>
          <w:b/>
          <w:sz w:val="20"/>
          <w:szCs w:val="20"/>
        </w:rPr>
        <w:t xml:space="preserve"> Investigator:</w:t>
      </w:r>
      <w:r w:rsidRPr="00DC1C42">
        <w:rPr>
          <w:rFonts w:ascii="Calibri" w:hAnsi="Calibri" w:cs="Arial"/>
          <w:sz w:val="20"/>
          <w:szCs w:val="20"/>
        </w:rPr>
        <w:t xml:space="preserve"> </w:t>
      </w:r>
      <w:r w:rsidR="00AC65AA">
        <w:rPr>
          <w:rFonts w:ascii="Calibri" w:hAnsi="Calibri" w:cs="Arial"/>
          <w:sz w:val="20"/>
          <w:szCs w:val="20"/>
        </w:rPr>
        <w:t>Jessica Hoover</w:t>
      </w:r>
      <w:r w:rsidR="00511F30" w:rsidRPr="00DC1C42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="00511F30" w:rsidRPr="00DC1C42">
        <w:rPr>
          <w:rFonts w:ascii="Calibri" w:hAnsi="Calibri" w:cs="Arial"/>
          <w:sz w:val="20"/>
          <w:szCs w:val="20"/>
        </w:rPr>
        <w:t>Pharm.D</w:t>
      </w:r>
      <w:proofErr w:type="spellEnd"/>
      <w:r w:rsidR="00511F30" w:rsidRPr="00DC1C42">
        <w:rPr>
          <w:rFonts w:ascii="Calibri" w:hAnsi="Calibri" w:cs="Arial"/>
          <w:sz w:val="20"/>
          <w:szCs w:val="20"/>
        </w:rPr>
        <w:t>.</w:t>
      </w:r>
    </w:p>
    <w:p w:rsidR="00471799" w:rsidRDefault="00471799" w:rsidP="001F4A30">
      <w:pPr>
        <w:rPr>
          <w:rFonts w:ascii="Calibri" w:hAnsi="Calibri" w:cs="Arial"/>
          <w:b/>
          <w:sz w:val="20"/>
          <w:szCs w:val="20"/>
        </w:rPr>
      </w:pPr>
    </w:p>
    <w:p w:rsidR="00471799" w:rsidRPr="00471799" w:rsidRDefault="001F4A30" w:rsidP="001F4A30">
      <w:pPr>
        <w:rPr>
          <w:rFonts w:ascii="Calibri" w:hAnsi="Calibri" w:cs="Arial"/>
          <w:sz w:val="20"/>
          <w:szCs w:val="20"/>
        </w:rPr>
      </w:pPr>
      <w:r w:rsidRPr="00471799">
        <w:rPr>
          <w:rFonts w:ascii="Calibri" w:hAnsi="Calibri" w:cs="Arial"/>
          <w:b/>
          <w:sz w:val="20"/>
          <w:szCs w:val="20"/>
        </w:rPr>
        <w:t>Co-investigator</w:t>
      </w:r>
      <w:r w:rsidR="00BB7983" w:rsidRPr="00471799">
        <w:rPr>
          <w:rFonts w:ascii="Calibri" w:hAnsi="Calibri" w:cs="Arial"/>
          <w:b/>
          <w:sz w:val="20"/>
          <w:szCs w:val="20"/>
        </w:rPr>
        <w:t>s</w:t>
      </w:r>
      <w:r w:rsidRPr="00471799">
        <w:rPr>
          <w:rFonts w:ascii="Calibri" w:hAnsi="Calibri" w:cs="Arial"/>
          <w:b/>
          <w:sz w:val="20"/>
          <w:szCs w:val="20"/>
        </w:rPr>
        <w:t>:</w:t>
      </w:r>
      <w:r w:rsidRPr="00471799">
        <w:rPr>
          <w:rFonts w:ascii="Calibri" w:hAnsi="Calibri" w:cs="Arial"/>
          <w:sz w:val="20"/>
          <w:szCs w:val="20"/>
        </w:rPr>
        <w:t xml:space="preserve"> </w:t>
      </w:r>
    </w:p>
    <w:p w:rsidR="00471799" w:rsidRDefault="00364131" w:rsidP="008C01F6">
      <w:pPr>
        <w:rPr>
          <w:rFonts w:ascii="Calibri" w:hAnsi="Calibri" w:cs="Arial"/>
          <w:sz w:val="20"/>
          <w:szCs w:val="20"/>
        </w:rPr>
      </w:pPr>
      <w:proofErr w:type="spellStart"/>
      <w:r>
        <w:rPr>
          <w:rFonts w:ascii="Calibri" w:hAnsi="Calibri" w:cs="Arial"/>
          <w:sz w:val="20"/>
          <w:szCs w:val="20"/>
        </w:rPr>
        <w:t>Shannan</w:t>
      </w:r>
      <w:proofErr w:type="spellEnd"/>
      <w:r>
        <w:rPr>
          <w:rFonts w:ascii="Calibri" w:hAnsi="Calibri" w:cs="Arial"/>
          <w:sz w:val="20"/>
          <w:szCs w:val="20"/>
        </w:rPr>
        <w:t xml:space="preserve"> K </w:t>
      </w:r>
      <w:proofErr w:type="spellStart"/>
      <w:r>
        <w:rPr>
          <w:rFonts w:ascii="Calibri" w:hAnsi="Calibri" w:cs="Arial"/>
          <w:sz w:val="20"/>
          <w:szCs w:val="20"/>
        </w:rPr>
        <w:t>Eades</w:t>
      </w:r>
      <w:proofErr w:type="spellEnd"/>
      <w:r w:rsidR="00483FB2" w:rsidRPr="00471799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="00483FB2" w:rsidRPr="00471799">
        <w:rPr>
          <w:rFonts w:ascii="Calibri" w:hAnsi="Calibri" w:cs="Arial"/>
          <w:sz w:val="20"/>
          <w:szCs w:val="20"/>
        </w:rPr>
        <w:t>Pharm.D</w:t>
      </w:r>
      <w:proofErr w:type="spellEnd"/>
      <w:r w:rsidR="00471799">
        <w:rPr>
          <w:rFonts w:ascii="Calibri" w:hAnsi="Calibri" w:cs="Arial"/>
          <w:sz w:val="20"/>
          <w:szCs w:val="20"/>
        </w:rPr>
        <w:t>.</w:t>
      </w:r>
    </w:p>
    <w:p w:rsidR="00471799" w:rsidRDefault="00364131" w:rsidP="008C01F6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Pediatric Pharmacy Clinical Specialist</w:t>
      </w:r>
    </w:p>
    <w:p w:rsidR="00471799" w:rsidRDefault="00471799" w:rsidP="008C01F6">
      <w:pPr>
        <w:rPr>
          <w:rFonts w:asciiTheme="minorHAnsi" w:hAnsiTheme="minorHAnsi" w:cs="Arial"/>
          <w:sz w:val="20"/>
          <w:szCs w:val="20"/>
        </w:rPr>
      </w:pPr>
      <w:r w:rsidRPr="008C01F6">
        <w:rPr>
          <w:rFonts w:asciiTheme="minorHAnsi" w:hAnsiTheme="minorHAnsi" w:cs="Arial"/>
          <w:sz w:val="20"/>
          <w:szCs w:val="20"/>
        </w:rPr>
        <w:t>Memorial Hermann- Texas Medical Center</w:t>
      </w:r>
    </w:p>
    <w:p w:rsidR="00471799" w:rsidRPr="008C01F6" w:rsidRDefault="00471799" w:rsidP="008C01F6">
      <w:pPr>
        <w:rPr>
          <w:rFonts w:ascii="Calibri" w:hAnsi="Calibr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Children’s Memorial Hermann</w:t>
      </w:r>
    </w:p>
    <w:p w:rsidR="00471799" w:rsidRPr="008C01F6" w:rsidRDefault="00471799" w:rsidP="008C01F6">
      <w:pPr>
        <w:rPr>
          <w:rFonts w:asciiTheme="minorHAnsi" w:hAnsiTheme="minorHAnsi" w:cs="Arial"/>
          <w:sz w:val="20"/>
          <w:szCs w:val="20"/>
        </w:rPr>
      </w:pPr>
      <w:r w:rsidRPr="008C01F6">
        <w:rPr>
          <w:rFonts w:asciiTheme="minorHAnsi" w:hAnsiTheme="minorHAnsi" w:cs="Arial"/>
          <w:sz w:val="20"/>
          <w:szCs w:val="20"/>
        </w:rPr>
        <w:t>Department of Pharmacy</w:t>
      </w:r>
    </w:p>
    <w:p w:rsidR="00471799" w:rsidRDefault="00471799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C9788A" w:rsidRPr="00DC1C42" w:rsidRDefault="00C9788A" w:rsidP="00D85A2D">
      <w:pPr>
        <w:outlineLvl w:val="0"/>
        <w:rPr>
          <w:rFonts w:ascii="Calibri" w:hAnsi="Calibri" w:cs="Arial"/>
          <w:b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Contact Information:</w:t>
      </w:r>
    </w:p>
    <w:p w:rsidR="00C9788A" w:rsidRPr="00DC1C42" w:rsidRDefault="00AC65AA" w:rsidP="00D85A2D">
      <w:pPr>
        <w:ind w:firstLine="720"/>
        <w:outlineLvl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Jessica Hoover</w:t>
      </w:r>
    </w:p>
    <w:p w:rsidR="00C9788A" w:rsidRPr="00DC1C42" w:rsidRDefault="00C9788A" w:rsidP="00C9788A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Memorial Hermann- Texas Medical Center</w:t>
      </w:r>
    </w:p>
    <w:p w:rsidR="00C9788A" w:rsidRPr="00DC1C42" w:rsidRDefault="00C9788A" w:rsidP="00C9788A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 xml:space="preserve">6411 </w:t>
      </w:r>
      <w:proofErr w:type="spellStart"/>
      <w:r w:rsidRPr="00DC1C42">
        <w:rPr>
          <w:rFonts w:ascii="Calibri" w:hAnsi="Calibri" w:cs="Arial"/>
          <w:sz w:val="20"/>
          <w:szCs w:val="20"/>
        </w:rPr>
        <w:t>Fannin</w:t>
      </w:r>
      <w:proofErr w:type="spellEnd"/>
    </w:p>
    <w:p w:rsidR="00C9788A" w:rsidRPr="00DC1C42" w:rsidRDefault="00C9788A" w:rsidP="00C9788A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Houston, TX 77030</w:t>
      </w:r>
    </w:p>
    <w:p w:rsidR="00C9788A" w:rsidRPr="00DC1C42" w:rsidRDefault="00E012A5" w:rsidP="00C9788A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(409) 289-0064</w:t>
      </w:r>
    </w:p>
    <w:p w:rsidR="00C9788A" w:rsidRPr="00DC1C42" w:rsidRDefault="00C9788A" w:rsidP="001F4A30">
      <w:pPr>
        <w:rPr>
          <w:rFonts w:ascii="Calibri" w:hAnsi="Calibri" w:cs="Arial"/>
          <w:b/>
          <w:sz w:val="20"/>
          <w:szCs w:val="20"/>
        </w:rPr>
      </w:pPr>
    </w:p>
    <w:p w:rsidR="00C9788A" w:rsidRPr="00DC1C42" w:rsidRDefault="00C9788A" w:rsidP="001F4A30">
      <w:p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Funding:</w:t>
      </w:r>
      <w:r w:rsidRPr="00DC1C42">
        <w:rPr>
          <w:rFonts w:ascii="Calibri" w:hAnsi="Calibri" w:cs="Arial"/>
          <w:sz w:val="20"/>
          <w:szCs w:val="20"/>
        </w:rPr>
        <w:t xml:space="preserve"> This study will not be funded, it will be performed entirely by the investigators and utilize only those resources available at the location.</w:t>
      </w:r>
    </w:p>
    <w:p w:rsidR="00C9788A" w:rsidRPr="00DC1C42" w:rsidRDefault="00C9788A" w:rsidP="001F4A30">
      <w:pPr>
        <w:rPr>
          <w:rFonts w:ascii="Calibri" w:hAnsi="Calibri" w:cs="Arial"/>
          <w:b/>
          <w:sz w:val="20"/>
          <w:szCs w:val="20"/>
        </w:rPr>
      </w:pPr>
    </w:p>
    <w:p w:rsidR="00511F30" w:rsidRPr="00DC1C42" w:rsidRDefault="001F4A30" w:rsidP="001F4A30">
      <w:p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Study location:</w:t>
      </w:r>
      <w:r w:rsidRPr="00DC1C42">
        <w:rPr>
          <w:rFonts w:ascii="Calibri" w:hAnsi="Calibri" w:cs="Arial"/>
          <w:sz w:val="20"/>
          <w:szCs w:val="20"/>
        </w:rPr>
        <w:t xml:space="preserve"> </w:t>
      </w:r>
      <w:r w:rsidR="00BB7983" w:rsidRPr="00DC1C42">
        <w:rPr>
          <w:rFonts w:ascii="Calibri" w:hAnsi="Calibri" w:cs="Arial"/>
          <w:sz w:val="20"/>
          <w:szCs w:val="20"/>
        </w:rPr>
        <w:t xml:space="preserve">Children’s </w:t>
      </w:r>
      <w:r w:rsidR="00511F30" w:rsidRPr="00DC1C42">
        <w:rPr>
          <w:rFonts w:ascii="Calibri" w:hAnsi="Calibri" w:cs="Arial"/>
          <w:sz w:val="20"/>
          <w:szCs w:val="20"/>
        </w:rPr>
        <w:t>Memorial Hermann</w:t>
      </w:r>
      <w:r w:rsidR="003A2217" w:rsidRPr="00DC1C42">
        <w:rPr>
          <w:rFonts w:ascii="Calibri" w:hAnsi="Calibri" w:cs="Arial"/>
          <w:sz w:val="20"/>
          <w:szCs w:val="20"/>
        </w:rPr>
        <w:t xml:space="preserve"> Hospital</w:t>
      </w:r>
    </w:p>
    <w:p w:rsidR="00884570" w:rsidRPr="00DC1C42" w:rsidRDefault="00E616A2" w:rsidP="001F4A30">
      <w:p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ab/>
        <w:t xml:space="preserve">             </w:t>
      </w:r>
      <w:r w:rsidR="00884570" w:rsidRPr="00DC1C42">
        <w:rPr>
          <w:rFonts w:ascii="Calibri" w:hAnsi="Calibri" w:cs="Arial"/>
          <w:sz w:val="20"/>
          <w:szCs w:val="20"/>
        </w:rPr>
        <w:t xml:space="preserve">6411 </w:t>
      </w:r>
      <w:proofErr w:type="spellStart"/>
      <w:r w:rsidR="00884570" w:rsidRPr="00DC1C42">
        <w:rPr>
          <w:rFonts w:ascii="Calibri" w:hAnsi="Calibri" w:cs="Arial"/>
          <w:sz w:val="20"/>
          <w:szCs w:val="20"/>
        </w:rPr>
        <w:t>Fannin</w:t>
      </w:r>
      <w:proofErr w:type="spellEnd"/>
      <w:r w:rsidR="00884570" w:rsidRPr="00DC1C42">
        <w:rPr>
          <w:rFonts w:ascii="Calibri" w:hAnsi="Calibri" w:cs="Arial"/>
          <w:sz w:val="20"/>
          <w:szCs w:val="20"/>
        </w:rPr>
        <w:t xml:space="preserve"> </w:t>
      </w:r>
    </w:p>
    <w:p w:rsidR="00884570" w:rsidRPr="00DC1C42" w:rsidRDefault="00E616A2" w:rsidP="00E616A2">
      <w:pPr>
        <w:ind w:left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 xml:space="preserve">             </w:t>
      </w:r>
      <w:r w:rsidR="00884570" w:rsidRPr="00DC1C42">
        <w:rPr>
          <w:rFonts w:ascii="Calibri" w:hAnsi="Calibri" w:cs="Arial"/>
          <w:sz w:val="20"/>
          <w:szCs w:val="20"/>
        </w:rPr>
        <w:t>Houston, TX 77030</w:t>
      </w:r>
    </w:p>
    <w:p w:rsidR="00C9788A" w:rsidRPr="00DC1C42" w:rsidRDefault="00C9788A" w:rsidP="001F4A30">
      <w:pPr>
        <w:rPr>
          <w:rFonts w:ascii="Calibri" w:hAnsi="Calibri" w:cs="Arial"/>
          <w:sz w:val="20"/>
          <w:szCs w:val="20"/>
        </w:rPr>
      </w:pPr>
    </w:p>
    <w:p w:rsidR="00C9788A" w:rsidRDefault="00C9788A" w:rsidP="00C9788A">
      <w:pPr>
        <w:rPr>
          <w:rFonts w:asciiTheme="minorHAnsi" w:hAnsiTheme="minorHAnsi"/>
          <w:sz w:val="20"/>
          <w:szCs w:val="20"/>
        </w:rPr>
      </w:pPr>
      <w:r w:rsidRPr="00DC1C42">
        <w:rPr>
          <w:rFonts w:asciiTheme="minorHAnsi" w:hAnsiTheme="minorHAnsi" w:cs="Arial"/>
          <w:b/>
          <w:sz w:val="20"/>
          <w:szCs w:val="20"/>
        </w:rPr>
        <w:t>Objective:</w:t>
      </w:r>
      <w:r w:rsidRPr="00DC1C42">
        <w:rPr>
          <w:rFonts w:asciiTheme="minorHAnsi" w:hAnsiTheme="minorHAnsi" w:cs="Arial"/>
          <w:sz w:val="20"/>
          <w:szCs w:val="20"/>
        </w:rPr>
        <w:t xml:space="preserve"> </w:t>
      </w:r>
      <w:r w:rsidR="00094ACB">
        <w:rPr>
          <w:rFonts w:ascii="Calibri" w:hAnsi="Calibri" w:cs="Arial"/>
          <w:sz w:val="20"/>
          <w:szCs w:val="20"/>
        </w:rPr>
        <w:t xml:space="preserve">To </w:t>
      </w:r>
      <w:r w:rsidR="00821474">
        <w:rPr>
          <w:rFonts w:ascii="Calibri" w:hAnsi="Calibri" w:cs="Arial"/>
          <w:sz w:val="20"/>
          <w:szCs w:val="20"/>
        </w:rPr>
        <w:t>compare efficacy and safety outcomes between</w:t>
      </w:r>
      <w:r w:rsidR="00094ACB">
        <w:rPr>
          <w:rFonts w:ascii="Calibri" w:hAnsi="Calibri" w:cs="Arial"/>
          <w:sz w:val="20"/>
          <w:szCs w:val="20"/>
        </w:rPr>
        <w:t xml:space="preserve"> </w:t>
      </w:r>
      <w:r w:rsidR="00821474">
        <w:rPr>
          <w:rFonts w:ascii="Calibri" w:hAnsi="Calibri" w:cs="Arial"/>
          <w:sz w:val="20"/>
          <w:szCs w:val="20"/>
        </w:rPr>
        <w:t xml:space="preserve">children </w:t>
      </w:r>
      <w:r w:rsidR="00094ACB">
        <w:rPr>
          <w:rFonts w:ascii="Calibri" w:hAnsi="Calibri" w:cs="Arial"/>
          <w:sz w:val="20"/>
          <w:szCs w:val="20"/>
        </w:rPr>
        <w:t xml:space="preserve">receiving a two-dose regimen of dexamethasone </w:t>
      </w:r>
      <w:r w:rsidR="00821474">
        <w:rPr>
          <w:rFonts w:ascii="Calibri" w:hAnsi="Calibri" w:cs="Arial"/>
          <w:sz w:val="20"/>
          <w:szCs w:val="20"/>
        </w:rPr>
        <w:t xml:space="preserve">and children receiving </w:t>
      </w:r>
      <w:r w:rsidR="00094ACB">
        <w:rPr>
          <w:rFonts w:ascii="Calibri" w:hAnsi="Calibri" w:cs="Arial"/>
          <w:sz w:val="20"/>
          <w:szCs w:val="20"/>
        </w:rPr>
        <w:t xml:space="preserve">a </w:t>
      </w:r>
      <w:proofErr w:type="spellStart"/>
      <w:r w:rsidR="00094ACB">
        <w:rPr>
          <w:rFonts w:ascii="Calibri" w:hAnsi="Calibri" w:cs="Arial"/>
          <w:sz w:val="20"/>
          <w:szCs w:val="20"/>
        </w:rPr>
        <w:t>multidose</w:t>
      </w:r>
      <w:proofErr w:type="spellEnd"/>
      <w:r w:rsidR="00094ACB">
        <w:rPr>
          <w:rFonts w:ascii="Calibri" w:hAnsi="Calibri" w:cs="Arial"/>
          <w:sz w:val="20"/>
          <w:szCs w:val="20"/>
        </w:rPr>
        <w:t xml:space="preserve"> regimen of</w:t>
      </w:r>
      <w:r w:rsidR="00350664">
        <w:rPr>
          <w:rFonts w:ascii="Calibri" w:hAnsi="Calibri" w:cs="Arial"/>
          <w:sz w:val="20"/>
          <w:szCs w:val="20"/>
        </w:rPr>
        <w:t xml:space="preserve"> oral prednisone/prednisolone for</w:t>
      </w:r>
      <w:r w:rsidR="00094ACB">
        <w:rPr>
          <w:rFonts w:ascii="Calibri" w:hAnsi="Calibri" w:cs="Arial"/>
          <w:sz w:val="20"/>
          <w:szCs w:val="20"/>
        </w:rPr>
        <w:t xml:space="preserve"> the treatment of acute asthma exacerbations not requiring</w:t>
      </w:r>
      <w:r w:rsidR="00350664">
        <w:rPr>
          <w:rFonts w:ascii="Calibri" w:hAnsi="Calibri" w:cs="Arial"/>
          <w:sz w:val="20"/>
          <w:szCs w:val="20"/>
        </w:rPr>
        <w:t xml:space="preserve"> admission to the intensive care unit</w:t>
      </w:r>
      <w:r w:rsidR="00094ACB">
        <w:rPr>
          <w:rFonts w:ascii="Calibri" w:hAnsi="Calibri" w:cs="Arial"/>
          <w:sz w:val="20"/>
          <w:szCs w:val="20"/>
        </w:rPr>
        <w:t>.</w:t>
      </w:r>
      <w:r w:rsidR="00364131">
        <w:rPr>
          <w:rFonts w:asciiTheme="minorHAnsi" w:hAnsiTheme="minorHAnsi"/>
          <w:sz w:val="20"/>
          <w:szCs w:val="20"/>
        </w:rPr>
        <w:t xml:space="preserve"> </w:t>
      </w:r>
    </w:p>
    <w:p w:rsidR="00821474" w:rsidRDefault="00821474" w:rsidP="00C9788A">
      <w:pPr>
        <w:rPr>
          <w:rFonts w:asciiTheme="minorHAnsi" w:hAnsiTheme="minorHAnsi"/>
          <w:sz w:val="20"/>
          <w:szCs w:val="20"/>
        </w:rPr>
      </w:pPr>
    </w:p>
    <w:p w:rsidR="00821474" w:rsidRPr="004551F0" w:rsidRDefault="00821474" w:rsidP="00C9788A">
      <w:pPr>
        <w:rPr>
          <w:rFonts w:asciiTheme="minorHAnsi" w:hAnsiTheme="minorHAnsi"/>
          <w:b/>
          <w:sz w:val="20"/>
          <w:szCs w:val="20"/>
        </w:rPr>
      </w:pPr>
      <w:r w:rsidRPr="004551F0">
        <w:rPr>
          <w:rFonts w:asciiTheme="minorHAnsi" w:hAnsiTheme="minorHAnsi"/>
          <w:b/>
          <w:sz w:val="20"/>
          <w:szCs w:val="20"/>
        </w:rPr>
        <w:t>Specific aims:</w:t>
      </w:r>
    </w:p>
    <w:p w:rsidR="00364131" w:rsidRDefault="00821474" w:rsidP="00364131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1. To determine if Asthma Assessment Scores differ between groups.</w:t>
      </w:r>
    </w:p>
    <w:p w:rsidR="00821474" w:rsidRDefault="00821474" w:rsidP="00364131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2. To determine if use of adjunctive medications, length of stay, transfer to the intensive care unit, and 7- and 30-day hospital readmission rate differ between groups.</w:t>
      </w:r>
    </w:p>
    <w:p w:rsidR="00821474" w:rsidRPr="00364131" w:rsidRDefault="00821474" w:rsidP="00364131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3. To determine if gastrointestinal tolerance after corticosteroid administration differs between groups.</w:t>
      </w:r>
    </w:p>
    <w:p w:rsidR="00821474" w:rsidRDefault="00821474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511F30" w:rsidRPr="00DC1C42" w:rsidRDefault="00B26A7D" w:rsidP="00D85A2D">
      <w:pPr>
        <w:outlineLvl w:val="0"/>
        <w:rPr>
          <w:rFonts w:ascii="Calibri" w:hAnsi="Calibri" w:cs="Arial"/>
          <w:b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 xml:space="preserve">Introduction/Background: </w:t>
      </w:r>
    </w:p>
    <w:p w:rsidR="00E012A5" w:rsidRPr="00DC1C42" w:rsidRDefault="00E012A5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F106F8" w:rsidRPr="003472E7" w:rsidRDefault="00364131" w:rsidP="00364131">
      <w:pPr>
        <w:outlineLvl w:val="0"/>
        <w:rPr>
          <w:rFonts w:ascii="Calibri" w:hAnsi="Calibri" w:cs="Arial"/>
          <w:sz w:val="20"/>
          <w:szCs w:val="20"/>
          <w:vertAlign w:val="superscript"/>
        </w:rPr>
      </w:pPr>
      <w:r>
        <w:rPr>
          <w:rFonts w:ascii="Calibri" w:hAnsi="Calibri" w:cs="Arial"/>
          <w:sz w:val="20"/>
          <w:szCs w:val="20"/>
        </w:rPr>
        <w:tab/>
        <w:t>Asthma exacerbation</w:t>
      </w:r>
      <w:r w:rsidR="00C73B7B">
        <w:rPr>
          <w:rFonts w:ascii="Calibri" w:hAnsi="Calibri" w:cs="Arial"/>
          <w:sz w:val="20"/>
          <w:szCs w:val="20"/>
        </w:rPr>
        <w:t>s</w:t>
      </w:r>
      <w:r>
        <w:rPr>
          <w:rFonts w:ascii="Calibri" w:hAnsi="Calibri" w:cs="Arial"/>
          <w:sz w:val="20"/>
          <w:szCs w:val="20"/>
        </w:rPr>
        <w:t xml:space="preserve"> are the second most common reason for pediatric hospital admission</w:t>
      </w:r>
      <w:r w:rsidR="007500A1">
        <w:rPr>
          <w:rFonts w:ascii="Calibri" w:hAnsi="Calibri" w:cs="Arial"/>
          <w:sz w:val="20"/>
          <w:szCs w:val="20"/>
        </w:rPr>
        <w:t>s</w:t>
      </w:r>
      <w:r>
        <w:rPr>
          <w:rFonts w:ascii="Calibri" w:hAnsi="Calibri" w:cs="Arial"/>
          <w:sz w:val="20"/>
          <w:szCs w:val="20"/>
        </w:rPr>
        <w:t xml:space="preserve"> in the United States each year. </w:t>
      </w:r>
      <w:proofErr w:type="gramStart"/>
      <w:r>
        <w:rPr>
          <w:rFonts w:ascii="Calibri" w:hAnsi="Calibri" w:cs="Arial"/>
          <w:sz w:val="20"/>
          <w:szCs w:val="20"/>
          <w:vertAlign w:val="superscript"/>
        </w:rPr>
        <w:t>1</w:t>
      </w:r>
      <w:r w:rsidR="00C73B7B">
        <w:rPr>
          <w:rFonts w:ascii="Calibri" w:hAnsi="Calibri" w:cs="Arial"/>
          <w:sz w:val="20"/>
          <w:szCs w:val="20"/>
          <w:vertAlign w:val="superscript"/>
        </w:rPr>
        <w:t xml:space="preserve"> </w:t>
      </w:r>
      <w:r w:rsidR="000D52EF">
        <w:rPr>
          <w:rFonts w:ascii="Calibri" w:hAnsi="Calibri" w:cs="Arial"/>
          <w:sz w:val="20"/>
          <w:szCs w:val="20"/>
          <w:vertAlign w:val="superscript"/>
        </w:rPr>
        <w:t xml:space="preserve"> </w:t>
      </w:r>
      <w:r w:rsidR="000D52EF">
        <w:rPr>
          <w:rFonts w:ascii="Calibri" w:hAnsi="Calibri" w:cs="Arial"/>
          <w:sz w:val="20"/>
          <w:szCs w:val="20"/>
        </w:rPr>
        <w:t>Asthma</w:t>
      </w:r>
      <w:proofErr w:type="gramEnd"/>
      <w:r w:rsidR="000D52EF">
        <w:rPr>
          <w:rFonts w:ascii="Calibri" w:hAnsi="Calibri" w:cs="Arial"/>
          <w:sz w:val="20"/>
          <w:szCs w:val="20"/>
        </w:rPr>
        <w:t xml:space="preserve"> exacerbations are a leading cause of ED visits, hospitalizations and missed school days in children. Current guidelines published by the Global Initiative for Asthma and </w:t>
      </w:r>
      <w:r w:rsidR="007500A1">
        <w:rPr>
          <w:rFonts w:ascii="Calibri" w:hAnsi="Calibri" w:cs="Arial"/>
          <w:sz w:val="20"/>
          <w:szCs w:val="20"/>
        </w:rPr>
        <w:t xml:space="preserve">the </w:t>
      </w:r>
      <w:r w:rsidR="000D52EF">
        <w:rPr>
          <w:rFonts w:ascii="Calibri" w:hAnsi="Calibri" w:cs="Arial"/>
          <w:sz w:val="20"/>
          <w:szCs w:val="20"/>
        </w:rPr>
        <w:t xml:space="preserve">National Institutes for Heath recommend treatment with systemic corticosteroids </w:t>
      </w:r>
      <w:r w:rsidR="00F106F8">
        <w:rPr>
          <w:rFonts w:ascii="Calibri" w:hAnsi="Calibri" w:cs="Arial"/>
          <w:sz w:val="20"/>
          <w:szCs w:val="20"/>
        </w:rPr>
        <w:t>in combination with beta-agonist therapy to treat acute asthma exacerbations.</w:t>
      </w:r>
      <w:r w:rsidR="003A0E33">
        <w:rPr>
          <w:rFonts w:ascii="Calibri" w:hAnsi="Calibri" w:cs="Arial"/>
          <w:sz w:val="20"/>
          <w:szCs w:val="20"/>
          <w:vertAlign w:val="superscript"/>
        </w:rPr>
        <w:t>2</w:t>
      </w:r>
      <w:r w:rsidR="007500A1">
        <w:rPr>
          <w:rFonts w:ascii="Calibri" w:hAnsi="Calibri" w:cs="Arial"/>
          <w:sz w:val="20"/>
          <w:szCs w:val="20"/>
          <w:vertAlign w:val="superscript"/>
        </w:rPr>
        <w:t>,3</w:t>
      </w:r>
      <w:r w:rsidR="00F106F8">
        <w:rPr>
          <w:rFonts w:ascii="Calibri" w:hAnsi="Calibri" w:cs="Arial"/>
          <w:sz w:val="20"/>
          <w:szCs w:val="20"/>
        </w:rPr>
        <w:t xml:space="preserve"> Traditionally prednisone and prednisolone have been used to manage exacerbations (recommended dosing 1-2 mg/kg/day for a total of 3-5 days). </w:t>
      </w:r>
      <w:r w:rsidR="007500A1">
        <w:rPr>
          <w:rFonts w:ascii="Calibri" w:hAnsi="Calibri" w:cs="Arial"/>
          <w:sz w:val="20"/>
          <w:szCs w:val="20"/>
          <w:vertAlign w:val="superscript"/>
        </w:rPr>
        <w:t>3</w:t>
      </w:r>
      <w:proofErr w:type="gramStart"/>
      <w:r w:rsidR="007500A1">
        <w:rPr>
          <w:rFonts w:ascii="Calibri" w:hAnsi="Calibri" w:cs="Arial"/>
          <w:sz w:val="20"/>
          <w:szCs w:val="20"/>
          <w:vertAlign w:val="superscript"/>
        </w:rPr>
        <w:t>,</w:t>
      </w:r>
      <w:r w:rsidR="003A0E33">
        <w:rPr>
          <w:rFonts w:ascii="Calibri" w:hAnsi="Calibri" w:cs="Arial"/>
          <w:sz w:val="20"/>
          <w:szCs w:val="20"/>
          <w:vertAlign w:val="superscript"/>
        </w:rPr>
        <w:t>4</w:t>
      </w:r>
      <w:proofErr w:type="gramEnd"/>
    </w:p>
    <w:p w:rsidR="00F106F8" w:rsidRDefault="00F106F8" w:rsidP="00364131">
      <w:pPr>
        <w:outlineLvl w:val="0"/>
        <w:rPr>
          <w:rFonts w:ascii="Calibri" w:hAnsi="Calibri" w:cs="Arial"/>
          <w:sz w:val="20"/>
          <w:szCs w:val="20"/>
        </w:rPr>
      </w:pPr>
    </w:p>
    <w:p w:rsidR="00F106F8" w:rsidRDefault="00F106F8" w:rsidP="00F106F8">
      <w:pPr>
        <w:ind w:firstLine="720"/>
        <w:outlineLvl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Prednisone/prednisolone </w:t>
      </w:r>
      <w:r w:rsidR="00350664">
        <w:rPr>
          <w:rFonts w:ascii="Calibri" w:hAnsi="Calibri" w:cs="Arial"/>
          <w:sz w:val="20"/>
          <w:szCs w:val="20"/>
        </w:rPr>
        <w:t>has</w:t>
      </w:r>
      <w:r>
        <w:rPr>
          <w:rFonts w:ascii="Calibri" w:hAnsi="Calibri" w:cs="Arial"/>
          <w:sz w:val="20"/>
          <w:szCs w:val="20"/>
        </w:rPr>
        <w:t xml:space="preserve"> a short half-life of 12 to </w:t>
      </w:r>
      <w:r w:rsidR="00E47A52">
        <w:rPr>
          <w:rFonts w:ascii="Calibri" w:hAnsi="Calibri" w:cs="Arial"/>
          <w:sz w:val="20"/>
          <w:szCs w:val="20"/>
        </w:rPr>
        <w:t>36 hours thus</w:t>
      </w:r>
      <w:r>
        <w:rPr>
          <w:rFonts w:ascii="Calibri" w:hAnsi="Calibri" w:cs="Arial"/>
          <w:sz w:val="20"/>
          <w:szCs w:val="20"/>
        </w:rPr>
        <w:t xml:space="preserve"> requir</w:t>
      </w:r>
      <w:r w:rsidR="00821474">
        <w:rPr>
          <w:rFonts w:ascii="Calibri" w:hAnsi="Calibri" w:cs="Arial"/>
          <w:sz w:val="20"/>
          <w:szCs w:val="20"/>
        </w:rPr>
        <w:t>ing</w:t>
      </w:r>
      <w:r>
        <w:rPr>
          <w:rFonts w:ascii="Calibri" w:hAnsi="Calibri" w:cs="Arial"/>
          <w:sz w:val="20"/>
          <w:szCs w:val="20"/>
        </w:rPr>
        <w:t xml:space="preserve"> once or twice daily dosing</w:t>
      </w:r>
      <w:r w:rsidR="00E47A52">
        <w:rPr>
          <w:rFonts w:ascii="Calibri" w:hAnsi="Calibri" w:cs="Arial"/>
          <w:sz w:val="20"/>
          <w:szCs w:val="20"/>
        </w:rPr>
        <w:t xml:space="preserve"> for 5 days or longer</w:t>
      </w:r>
      <w:r w:rsidR="00CB4490">
        <w:rPr>
          <w:rFonts w:ascii="Calibri" w:hAnsi="Calibri" w:cs="Arial"/>
          <w:sz w:val="20"/>
          <w:szCs w:val="20"/>
        </w:rPr>
        <w:t xml:space="preserve">. </w:t>
      </w:r>
      <w:r w:rsidR="00821474">
        <w:rPr>
          <w:rFonts w:ascii="Calibri" w:hAnsi="Calibri" w:cs="Arial"/>
          <w:sz w:val="20"/>
          <w:szCs w:val="20"/>
        </w:rPr>
        <w:t>National Heart Lung and Blood Institute (</w:t>
      </w:r>
      <w:r w:rsidR="00E47A52">
        <w:rPr>
          <w:rFonts w:ascii="Calibri" w:hAnsi="Calibri" w:cs="Arial"/>
          <w:sz w:val="20"/>
          <w:szCs w:val="20"/>
        </w:rPr>
        <w:t>NHLBI</w:t>
      </w:r>
      <w:r w:rsidR="00821474">
        <w:rPr>
          <w:rFonts w:ascii="Calibri" w:hAnsi="Calibri" w:cs="Arial"/>
          <w:sz w:val="20"/>
          <w:szCs w:val="20"/>
        </w:rPr>
        <w:t>)</w:t>
      </w:r>
      <w:r w:rsidR="00E47A52">
        <w:rPr>
          <w:rFonts w:ascii="Calibri" w:hAnsi="Calibri" w:cs="Arial"/>
          <w:sz w:val="20"/>
          <w:szCs w:val="20"/>
        </w:rPr>
        <w:t xml:space="preserve"> guidelines recommend 3-10 day courses to treat acute asthma exacerbations. </w:t>
      </w:r>
      <w:r w:rsidR="00CB4490">
        <w:rPr>
          <w:rFonts w:ascii="Calibri" w:hAnsi="Calibri" w:cs="Arial"/>
          <w:sz w:val="20"/>
          <w:szCs w:val="20"/>
        </w:rPr>
        <w:t xml:space="preserve">This prolonged treatment course and other side effects including </w:t>
      </w:r>
      <w:r w:rsidR="00821474">
        <w:rPr>
          <w:rFonts w:ascii="Calibri" w:hAnsi="Calibri" w:cs="Arial"/>
          <w:sz w:val="20"/>
          <w:szCs w:val="20"/>
        </w:rPr>
        <w:t xml:space="preserve">poor </w:t>
      </w:r>
      <w:r w:rsidR="00CB4490">
        <w:rPr>
          <w:rFonts w:ascii="Calibri" w:hAnsi="Calibri" w:cs="Arial"/>
          <w:sz w:val="20"/>
          <w:szCs w:val="20"/>
        </w:rPr>
        <w:t xml:space="preserve">palatability and </w:t>
      </w:r>
      <w:r w:rsidR="00821474">
        <w:rPr>
          <w:rFonts w:ascii="Calibri" w:hAnsi="Calibri" w:cs="Arial"/>
          <w:sz w:val="20"/>
          <w:szCs w:val="20"/>
        </w:rPr>
        <w:t>nausea/vomiting</w:t>
      </w:r>
      <w:r w:rsidR="00E47A52">
        <w:rPr>
          <w:rFonts w:ascii="Calibri" w:hAnsi="Calibri" w:cs="Arial"/>
          <w:sz w:val="20"/>
          <w:szCs w:val="20"/>
        </w:rPr>
        <w:t xml:space="preserve"> with the oral tablet or syrup </w:t>
      </w:r>
      <w:r w:rsidR="00CB4490">
        <w:rPr>
          <w:rFonts w:ascii="Calibri" w:hAnsi="Calibri" w:cs="Arial"/>
          <w:sz w:val="20"/>
          <w:szCs w:val="20"/>
        </w:rPr>
        <w:t xml:space="preserve">may reduce patient adherence. </w:t>
      </w:r>
      <w:r w:rsidR="00E47A52">
        <w:rPr>
          <w:rFonts w:ascii="Calibri" w:hAnsi="Calibri" w:cs="Arial"/>
          <w:sz w:val="20"/>
          <w:szCs w:val="20"/>
        </w:rPr>
        <w:t>Additionally i</w:t>
      </w:r>
      <w:r w:rsidR="00CB4490">
        <w:rPr>
          <w:rFonts w:ascii="Calibri" w:hAnsi="Calibri" w:cs="Arial"/>
          <w:sz w:val="20"/>
          <w:szCs w:val="20"/>
        </w:rPr>
        <w:t xml:space="preserve">t is estimated that </w:t>
      </w:r>
      <w:r w:rsidR="006146B3">
        <w:rPr>
          <w:rFonts w:ascii="Calibri" w:hAnsi="Calibri" w:cs="Arial"/>
          <w:sz w:val="20"/>
          <w:szCs w:val="20"/>
        </w:rPr>
        <w:t>up to 28% of patients do not fill their corticosteroid prescription</w:t>
      </w:r>
      <w:r w:rsidR="00E47A52">
        <w:rPr>
          <w:rFonts w:ascii="Calibri" w:hAnsi="Calibri" w:cs="Arial"/>
          <w:sz w:val="20"/>
          <w:szCs w:val="20"/>
        </w:rPr>
        <w:t>,</w:t>
      </w:r>
      <w:r w:rsidR="006146B3">
        <w:rPr>
          <w:rFonts w:ascii="Calibri" w:hAnsi="Calibri" w:cs="Arial"/>
          <w:sz w:val="20"/>
          <w:szCs w:val="20"/>
        </w:rPr>
        <w:t xml:space="preserve"> and an unknown number of patients do not complete their corticosteroid </w:t>
      </w:r>
      <w:proofErr w:type="gramStart"/>
      <w:r w:rsidR="006146B3">
        <w:rPr>
          <w:rFonts w:ascii="Calibri" w:hAnsi="Calibri" w:cs="Arial"/>
          <w:sz w:val="20"/>
          <w:szCs w:val="20"/>
        </w:rPr>
        <w:t>course.</w:t>
      </w:r>
      <w:r w:rsidR="006146B3">
        <w:rPr>
          <w:rFonts w:ascii="Calibri" w:hAnsi="Calibri" w:cs="Arial"/>
          <w:sz w:val="20"/>
          <w:szCs w:val="20"/>
          <w:vertAlign w:val="superscript"/>
        </w:rPr>
        <w:t xml:space="preserve">4  </w:t>
      </w:r>
      <w:r w:rsidR="006146B3">
        <w:rPr>
          <w:rFonts w:ascii="Calibri" w:hAnsi="Calibri" w:cs="Arial"/>
          <w:sz w:val="20"/>
          <w:szCs w:val="20"/>
        </w:rPr>
        <w:t>Dexamethasone</w:t>
      </w:r>
      <w:proofErr w:type="gramEnd"/>
      <w:r w:rsidR="006146B3">
        <w:rPr>
          <w:rFonts w:ascii="Calibri" w:hAnsi="Calibri" w:cs="Arial"/>
          <w:sz w:val="20"/>
          <w:szCs w:val="20"/>
        </w:rPr>
        <w:t xml:space="preserve"> has been proposed as a steroid option </w:t>
      </w:r>
      <w:r w:rsidR="006146B3">
        <w:rPr>
          <w:rFonts w:ascii="Calibri" w:hAnsi="Calibri" w:cs="Arial"/>
          <w:sz w:val="20"/>
          <w:szCs w:val="20"/>
        </w:rPr>
        <w:lastRenderedPageBreak/>
        <w:t>given its l</w:t>
      </w:r>
      <w:r w:rsidR="0085484B">
        <w:rPr>
          <w:rFonts w:ascii="Calibri" w:hAnsi="Calibri" w:cs="Arial"/>
          <w:sz w:val="20"/>
          <w:szCs w:val="20"/>
        </w:rPr>
        <w:t xml:space="preserve">onger half-life of 36-72 hours, </w:t>
      </w:r>
      <w:r w:rsidR="00E47A52">
        <w:rPr>
          <w:rFonts w:ascii="Calibri" w:hAnsi="Calibri" w:cs="Arial"/>
          <w:sz w:val="20"/>
          <w:szCs w:val="20"/>
        </w:rPr>
        <w:t xml:space="preserve">which allows for a </w:t>
      </w:r>
      <w:r w:rsidR="0085484B">
        <w:rPr>
          <w:rFonts w:ascii="Calibri" w:hAnsi="Calibri" w:cs="Arial"/>
          <w:sz w:val="20"/>
          <w:szCs w:val="20"/>
        </w:rPr>
        <w:t xml:space="preserve">shorter </w:t>
      </w:r>
      <w:r w:rsidR="00E47A52">
        <w:rPr>
          <w:rFonts w:ascii="Calibri" w:hAnsi="Calibri" w:cs="Arial"/>
          <w:sz w:val="20"/>
          <w:szCs w:val="20"/>
        </w:rPr>
        <w:t xml:space="preserve">2-dose </w:t>
      </w:r>
      <w:r w:rsidR="0085484B">
        <w:rPr>
          <w:rFonts w:ascii="Calibri" w:hAnsi="Calibri" w:cs="Arial"/>
          <w:sz w:val="20"/>
          <w:szCs w:val="20"/>
        </w:rPr>
        <w:t xml:space="preserve">treatment duration </w:t>
      </w:r>
      <w:r w:rsidR="00E47A52">
        <w:rPr>
          <w:rFonts w:ascii="Calibri" w:hAnsi="Calibri" w:cs="Arial"/>
          <w:sz w:val="20"/>
          <w:szCs w:val="20"/>
        </w:rPr>
        <w:t xml:space="preserve">and better palatability of the oral tablets. </w:t>
      </w:r>
    </w:p>
    <w:p w:rsidR="006146B3" w:rsidRDefault="006146B3" w:rsidP="00F106F8">
      <w:pPr>
        <w:ind w:firstLine="720"/>
        <w:outlineLvl w:val="0"/>
        <w:rPr>
          <w:rFonts w:ascii="Calibri" w:hAnsi="Calibri" w:cs="Arial"/>
          <w:sz w:val="20"/>
          <w:szCs w:val="20"/>
        </w:rPr>
      </w:pPr>
    </w:p>
    <w:p w:rsidR="006146B3" w:rsidRPr="006146B3" w:rsidRDefault="00094ACB" w:rsidP="00F106F8">
      <w:pPr>
        <w:ind w:firstLine="720"/>
        <w:outlineLvl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Recently, Children’s Memorial Hermann Hospital began to utilize a two-</w:t>
      </w:r>
      <w:r w:rsidR="000F43E0">
        <w:rPr>
          <w:rFonts w:ascii="Calibri" w:hAnsi="Calibri" w:cs="Arial"/>
          <w:sz w:val="20"/>
          <w:szCs w:val="20"/>
        </w:rPr>
        <w:t xml:space="preserve">dose regimen of oral dexamethasone to treat acute asthma exacerbations. </w:t>
      </w:r>
      <w:r>
        <w:rPr>
          <w:rFonts w:ascii="Calibri" w:hAnsi="Calibri" w:cs="Arial"/>
          <w:sz w:val="20"/>
          <w:szCs w:val="20"/>
        </w:rPr>
        <w:t xml:space="preserve">The focus of this study is to ensure that the </w:t>
      </w:r>
      <w:r w:rsidR="00821474">
        <w:rPr>
          <w:rFonts w:ascii="Calibri" w:hAnsi="Calibri" w:cs="Arial"/>
          <w:sz w:val="20"/>
          <w:szCs w:val="20"/>
        </w:rPr>
        <w:t xml:space="preserve">efficacy and safety </w:t>
      </w:r>
      <w:proofErr w:type="gramStart"/>
      <w:r>
        <w:rPr>
          <w:rFonts w:ascii="Calibri" w:hAnsi="Calibri" w:cs="Arial"/>
          <w:sz w:val="20"/>
          <w:szCs w:val="20"/>
        </w:rPr>
        <w:t>outcomes  are</w:t>
      </w:r>
      <w:proofErr w:type="gramEnd"/>
      <w:r>
        <w:rPr>
          <w:rFonts w:ascii="Calibri" w:hAnsi="Calibri" w:cs="Arial"/>
          <w:sz w:val="20"/>
          <w:szCs w:val="20"/>
        </w:rPr>
        <w:t xml:space="preserve"> the same for patients receiving a two-dose regimen of dexamethasone versus a </w:t>
      </w:r>
      <w:proofErr w:type="spellStart"/>
      <w:r>
        <w:rPr>
          <w:rFonts w:ascii="Calibri" w:hAnsi="Calibri" w:cs="Arial"/>
          <w:sz w:val="20"/>
          <w:szCs w:val="20"/>
        </w:rPr>
        <w:t>multidose</w:t>
      </w:r>
      <w:proofErr w:type="spellEnd"/>
      <w:r>
        <w:rPr>
          <w:rFonts w:ascii="Calibri" w:hAnsi="Calibri" w:cs="Arial"/>
          <w:sz w:val="20"/>
          <w:szCs w:val="20"/>
        </w:rPr>
        <w:t xml:space="preserve"> regimen of oral prednisone/prednisolone in the treatment of acute asthma exacerbations in children no</w:t>
      </w:r>
      <w:r w:rsidR="00E47A52">
        <w:rPr>
          <w:rFonts w:ascii="Calibri" w:hAnsi="Calibri" w:cs="Arial"/>
          <w:sz w:val="20"/>
          <w:szCs w:val="20"/>
        </w:rPr>
        <w:t>t requiring intensive care unit</w:t>
      </w:r>
      <w:r>
        <w:rPr>
          <w:rFonts w:ascii="Calibri" w:hAnsi="Calibri" w:cs="Arial"/>
          <w:sz w:val="20"/>
          <w:szCs w:val="20"/>
        </w:rPr>
        <w:t xml:space="preserve"> admission.</w:t>
      </w:r>
    </w:p>
    <w:p w:rsidR="00AC65AA" w:rsidRDefault="00AC65AA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85484B" w:rsidRDefault="0085484B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B26A7D" w:rsidRPr="00DC1C42" w:rsidRDefault="00B26A7D" w:rsidP="00D85A2D">
      <w:pPr>
        <w:outlineLvl w:val="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Methods:</w:t>
      </w:r>
    </w:p>
    <w:p w:rsidR="00A40DF1" w:rsidRPr="008A0CA2" w:rsidRDefault="00B26A7D" w:rsidP="008A0CA2">
      <w:pPr>
        <w:ind w:left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>Population:</w:t>
      </w:r>
      <w:r w:rsidR="00CF3BF9" w:rsidRPr="00DC1C42">
        <w:rPr>
          <w:rFonts w:ascii="Calibri" w:hAnsi="Calibri" w:cs="Arial"/>
          <w:sz w:val="20"/>
          <w:szCs w:val="20"/>
        </w:rPr>
        <w:t xml:space="preserve"> </w:t>
      </w:r>
    </w:p>
    <w:p w:rsidR="00CF3BF9" w:rsidRPr="00DC1C42" w:rsidRDefault="0011586F" w:rsidP="006B447A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  <w:u w:val="single"/>
        </w:rPr>
        <w:t>Inclusion Criteria:</w:t>
      </w:r>
      <w:r w:rsidRPr="00DC1C42">
        <w:rPr>
          <w:rFonts w:ascii="Calibri" w:hAnsi="Calibri" w:cs="Arial"/>
          <w:sz w:val="20"/>
          <w:szCs w:val="20"/>
        </w:rPr>
        <w:t xml:space="preserve"> </w:t>
      </w:r>
      <w:r w:rsidR="00237765">
        <w:rPr>
          <w:rFonts w:ascii="Calibri" w:hAnsi="Calibri" w:cs="Arial"/>
          <w:sz w:val="20"/>
          <w:szCs w:val="20"/>
        </w:rPr>
        <w:t xml:space="preserve">Pediatric patients </w:t>
      </w:r>
      <w:r w:rsidR="006B58B6">
        <w:rPr>
          <w:rFonts w:ascii="Calibri" w:hAnsi="Calibri" w:cs="Arial"/>
          <w:sz w:val="20"/>
          <w:szCs w:val="20"/>
        </w:rPr>
        <w:t>aged 4-17 years of age who were</w:t>
      </w:r>
      <w:r w:rsidR="00237765">
        <w:rPr>
          <w:rFonts w:ascii="Calibri" w:hAnsi="Calibri" w:cs="Arial"/>
          <w:sz w:val="20"/>
          <w:szCs w:val="20"/>
        </w:rPr>
        <w:t xml:space="preserve"> hospitalized</w:t>
      </w:r>
      <w:r w:rsidR="006B58B6">
        <w:rPr>
          <w:rFonts w:ascii="Calibri" w:hAnsi="Calibri" w:cs="Arial"/>
          <w:sz w:val="20"/>
          <w:szCs w:val="20"/>
        </w:rPr>
        <w:t xml:space="preserve"> for an acute asthma exacerbation and received therapy with either dexametha</w:t>
      </w:r>
      <w:r w:rsidR="00F640E8">
        <w:rPr>
          <w:rFonts w:ascii="Calibri" w:hAnsi="Calibri" w:cs="Arial"/>
          <w:sz w:val="20"/>
          <w:szCs w:val="20"/>
        </w:rPr>
        <w:t xml:space="preserve">sone or </w:t>
      </w:r>
      <w:r w:rsidR="007500A1">
        <w:rPr>
          <w:rFonts w:ascii="Calibri" w:hAnsi="Calibri" w:cs="Arial"/>
          <w:sz w:val="20"/>
          <w:szCs w:val="20"/>
        </w:rPr>
        <w:t xml:space="preserve">prednisone/prednisolone </w:t>
      </w:r>
      <w:r w:rsidR="00237765">
        <w:rPr>
          <w:rFonts w:ascii="Calibri" w:hAnsi="Calibri" w:cs="Arial"/>
          <w:sz w:val="20"/>
          <w:szCs w:val="20"/>
        </w:rPr>
        <w:t>at Children’s Memorial Hermann Hospital from</w:t>
      </w:r>
      <w:r w:rsidR="006B58B6">
        <w:rPr>
          <w:rFonts w:ascii="Calibri" w:hAnsi="Calibri" w:cs="Arial"/>
          <w:sz w:val="20"/>
          <w:szCs w:val="20"/>
        </w:rPr>
        <w:t xml:space="preserve"> </w:t>
      </w:r>
      <w:r w:rsidR="00E6333F">
        <w:rPr>
          <w:rFonts w:ascii="Calibri" w:hAnsi="Calibri" w:cs="Arial"/>
          <w:sz w:val="20"/>
          <w:szCs w:val="20"/>
        </w:rPr>
        <w:t>January</w:t>
      </w:r>
      <w:r w:rsidR="0032419E">
        <w:rPr>
          <w:rFonts w:ascii="Calibri" w:hAnsi="Calibri" w:cs="Arial"/>
          <w:sz w:val="20"/>
          <w:szCs w:val="20"/>
        </w:rPr>
        <w:t xml:space="preserve"> 1,</w:t>
      </w:r>
      <w:r w:rsidR="00E6333F">
        <w:rPr>
          <w:rFonts w:ascii="Calibri" w:hAnsi="Calibri" w:cs="Arial"/>
          <w:sz w:val="20"/>
          <w:szCs w:val="20"/>
        </w:rPr>
        <w:t xml:space="preserve"> 2014 to December </w:t>
      </w:r>
      <w:r w:rsidR="0032419E">
        <w:rPr>
          <w:rFonts w:ascii="Calibri" w:hAnsi="Calibri" w:cs="Arial"/>
          <w:sz w:val="20"/>
          <w:szCs w:val="20"/>
        </w:rPr>
        <w:t xml:space="preserve">31, </w:t>
      </w:r>
      <w:r w:rsidR="00E6333F">
        <w:rPr>
          <w:rFonts w:ascii="Calibri" w:hAnsi="Calibri" w:cs="Arial"/>
          <w:sz w:val="20"/>
          <w:szCs w:val="20"/>
        </w:rPr>
        <w:t xml:space="preserve">2015 </w:t>
      </w:r>
      <w:r w:rsidR="00237765">
        <w:rPr>
          <w:rFonts w:ascii="Calibri" w:hAnsi="Calibri" w:cs="Arial"/>
          <w:sz w:val="20"/>
          <w:szCs w:val="20"/>
        </w:rPr>
        <w:t xml:space="preserve">will be reviewed for inclusion. </w:t>
      </w:r>
    </w:p>
    <w:p w:rsidR="00237765" w:rsidRDefault="00237765" w:rsidP="0063583C">
      <w:pPr>
        <w:ind w:left="1440"/>
        <w:rPr>
          <w:rFonts w:ascii="Calibri" w:hAnsi="Calibri" w:cs="Arial"/>
          <w:sz w:val="20"/>
          <w:szCs w:val="20"/>
          <w:u w:val="single"/>
        </w:rPr>
      </w:pPr>
    </w:p>
    <w:p w:rsidR="00F640E8" w:rsidRDefault="0011586F" w:rsidP="0063583C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  <w:u w:val="single"/>
        </w:rPr>
        <w:t>Exclusion Criteria:</w:t>
      </w:r>
      <w:r w:rsidRPr="00DC1C42">
        <w:rPr>
          <w:rFonts w:ascii="Calibri" w:hAnsi="Calibri" w:cs="Arial"/>
          <w:sz w:val="20"/>
          <w:szCs w:val="20"/>
        </w:rPr>
        <w:t xml:space="preserve">  </w:t>
      </w:r>
      <w:r w:rsidR="00237765">
        <w:rPr>
          <w:rFonts w:ascii="Calibri" w:hAnsi="Calibri" w:cs="Arial"/>
          <w:sz w:val="20"/>
          <w:szCs w:val="20"/>
        </w:rPr>
        <w:t xml:space="preserve">Patients will be excluded if they are </w:t>
      </w:r>
    </w:p>
    <w:p w:rsidR="00F640E8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&gt;18 years of age</w:t>
      </w:r>
    </w:p>
    <w:p w:rsidR="00F640E8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</w:t>
      </w:r>
      <w:r w:rsidR="00E6333F">
        <w:rPr>
          <w:rFonts w:ascii="Calibri" w:hAnsi="Calibri" w:cs="Arial"/>
          <w:sz w:val="20"/>
          <w:szCs w:val="20"/>
        </w:rPr>
        <w:t>regnant</w:t>
      </w:r>
    </w:p>
    <w:p w:rsidR="00F640E8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</w:t>
      </w:r>
      <w:r w:rsidR="00E6333F">
        <w:rPr>
          <w:rFonts w:ascii="Calibri" w:hAnsi="Calibri" w:cs="Arial"/>
          <w:sz w:val="20"/>
          <w:szCs w:val="20"/>
        </w:rPr>
        <w:t>equired initial</w:t>
      </w:r>
      <w:r w:rsidR="006B58B6" w:rsidRPr="00F640E8">
        <w:rPr>
          <w:rFonts w:ascii="Calibri" w:hAnsi="Calibri" w:cs="Arial"/>
          <w:sz w:val="20"/>
          <w:szCs w:val="20"/>
        </w:rPr>
        <w:t xml:space="preserve"> management</w:t>
      </w:r>
      <w:r w:rsidR="00E6333F">
        <w:rPr>
          <w:rFonts w:ascii="Calibri" w:hAnsi="Calibri" w:cs="Arial"/>
          <w:sz w:val="20"/>
          <w:szCs w:val="20"/>
        </w:rPr>
        <w:t xml:space="preserve"> in the intensive care unit</w:t>
      </w:r>
    </w:p>
    <w:p w:rsidR="0011586F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</w:t>
      </w:r>
      <w:r w:rsidR="006B58B6" w:rsidRPr="00F640E8">
        <w:rPr>
          <w:rFonts w:ascii="Calibri" w:hAnsi="Calibri" w:cs="Arial"/>
          <w:sz w:val="20"/>
          <w:szCs w:val="20"/>
        </w:rPr>
        <w:t>eceived corticosteroid therapy due to a secondary diagnosis (e</w:t>
      </w:r>
      <w:r w:rsidR="00E6333F">
        <w:rPr>
          <w:rFonts w:ascii="Calibri" w:hAnsi="Calibri" w:cs="Arial"/>
          <w:sz w:val="20"/>
          <w:szCs w:val="20"/>
        </w:rPr>
        <w:t>.g.</w:t>
      </w:r>
      <w:r>
        <w:rPr>
          <w:rFonts w:ascii="Calibri" w:hAnsi="Calibri" w:cs="Arial"/>
          <w:sz w:val="20"/>
          <w:szCs w:val="20"/>
        </w:rPr>
        <w:t>, croup or anaphylactic shock)</w:t>
      </w:r>
    </w:p>
    <w:p w:rsidR="00F640E8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Received therapy with both dexamethasone and prednisone/</w:t>
      </w:r>
      <w:proofErr w:type="spellStart"/>
      <w:r>
        <w:rPr>
          <w:rFonts w:ascii="Calibri" w:hAnsi="Calibri" w:cs="Arial"/>
          <w:sz w:val="20"/>
          <w:szCs w:val="20"/>
        </w:rPr>
        <w:t>prednisiolone</w:t>
      </w:r>
      <w:proofErr w:type="spellEnd"/>
    </w:p>
    <w:p w:rsidR="00F640E8" w:rsidRPr="00F640E8" w:rsidRDefault="00F640E8" w:rsidP="00F640E8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Received therapy with racemic epinep</w:t>
      </w:r>
      <w:r w:rsidR="00E6333F">
        <w:rPr>
          <w:rFonts w:ascii="Calibri" w:hAnsi="Calibri" w:cs="Calibri"/>
          <w:sz w:val="20"/>
          <w:szCs w:val="20"/>
        </w:rPr>
        <w:t>hrine</w:t>
      </w:r>
    </w:p>
    <w:p w:rsidR="0053456F" w:rsidRDefault="00B26A7D" w:rsidP="00511F30">
      <w:pPr>
        <w:rPr>
          <w:rFonts w:ascii="Calibri" w:hAnsi="Calibri" w:cs="Arial"/>
          <w:i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ab/>
      </w:r>
    </w:p>
    <w:p w:rsidR="00B26A7D" w:rsidRPr="00DC1C42" w:rsidRDefault="00B26A7D" w:rsidP="0053456F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>Study Design:</w:t>
      </w:r>
    </w:p>
    <w:p w:rsidR="004E0C8B" w:rsidRPr="00DC1C42" w:rsidRDefault="00F640E8" w:rsidP="004E0C8B">
      <w:pPr>
        <w:ind w:left="144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</w:t>
      </w:r>
      <w:r w:rsidR="00E6333F">
        <w:rPr>
          <w:rFonts w:ascii="Calibri" w:hAnsi="Calibri" w:cs="Arial"/>
          <w:sz w:val="20"/>
          <w:szCs w:val="20"/>
        </w:rPr>
        <w:t>is will be a retrospective, observational</w:t>
      </w:r>
      <w:r>
        <w:rPr>
          <w:rFonts w:ascii="Calibri" w:hAnsi="Calibri" w:cs="Arial"/>
          <w:sz w:val="20"/>
          <w:szCs w:val="20"/>
        </w:rPr>
        <w:t xml:space="preserve"> study</w:t>
      </w:r>
      <w:r w:rsidR="004E0C8B" w:rsidRPr="00DC1C42">
        <w:rPr>
          <w:rFonts w:ascii="Calibri" w:hAnsi="Calibri" w:cs="Arial"/>
          <w:sz w:val="20"/>
          <w:szCs w:val="20"/>
        </w:rPr>
        <w:t xml:space="preserve">.  No interventions will </w:t>
      </w:r>
      <w:r w:rsidR="008A3D59" w:rsidRPr="00DC1C42">
        <w:rPr>
          <w:rFonts w:ascii="Calibri" w:hAnsi="Calibri" w:cs="Arial"/>
          <w:sz w:val="20"/>
          <w:szCs w:val="20"/>
        </w:rPr>
        <w:t xml:space="preserve">be </w:t>
      </w:r>
      <w:r w:rsidR="006B58B6">
        <w:rPr>
          <w:rFonts w:ascii="Calibri" w:hAnsi="Calibri" w:cs="Arial"/>
          <w:sz w:val="20"/>
          <w:szCs w:val="20"/>
        </w:rPr>
        <w:t>used and patients will not</w:t>
      </w:r>
      <w:r w:rsidR="004E0C8B" w:rsidRPr="00DC1C42">
        <w:rPr>
          <w:rFonts w:ascii="Calibri" w:hAnsi="Calibri" w:cs="Arial"/>
          <w:sz w:val="20"/>
          <w:szCs w:val="20"/>
        </w:rPr>
        <w:t xml:space="preserve"> be prospectively assigned to groups.  We will simply observe the care that patients have already received and analyze the data we collect based on past admissions.</w:t>
      </w:r>
    </w:p>
    <w:p w:rsidR="0053456F" w:rsidRDefault="00B26A7D" w:rsidP="00511F30">
      <w:p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ab/>
      </w:r>
    </w:p>
    <w:p w:rsidR="00B26A7D" w:rsidRPr="00DC1C42" w:rsidRDefault="00DF7233" w:rsidP="0053456F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>Data Retrieval</w:t>
      </w:r>
      <w:r w:rsidR="00B26A7D" w:rsidRPr="00DC1C42">
        <w:rPr>
          <w:rFonts w:ascii="Calibri" w:hAnsi="Calibri" w:cs="Arial"/>
          <w:i/>
          <w:sz w:val="20"/>
          <w:szCs w:val="20"/>
        </w:rPr>
        <w:t>:</w:t>
      </w:r>
      <w:r w:rsidR="004E7DDD" w:rsidRPr="00DC1C42">
        <w:rPr>
          <w:rFonts w:ascii="Calibri" w:hAnsi="Calibri" w:cs="Arial"/>
          <w:sz w:val="20"/>
          <w:szCs w:val="20"/>
        </w:rPr>
        <w:t xml:space="preserve"> </w:t>
      </w:r>
    </w:p>
    <w:p w:rsidR="004E7DDD" w:rsidRPr="00DC1C42" w:rsidRDefault="00DF7233" w:rsidP="00DF7233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  <w:u w:val="single"/>
        </w:rPr>
        <w:t>Data Source:</w:t>
      </w:r>
      <w:r w:rsidRPr="00DC1C42">
        <w:rPr>
          <w:rFonts w:ascii="Calibri" w:hAnsi="Calibri" w:cs="Arial"/>
          <w:sz w:val="20"/>
          <w:szCs w:val="20"/>
        </w:rPr>
        <w:t xml:space="preserve">  </w:t>
      </w:r>
      <w:r w:rsidR="00FC048D">
        <w:rPr>
          <w:rFonts w:ascii="Calibri" w:hAnsi="Calibri" w:cs="Arial"/>
          <w:sz w:val="20"/>
          <w:szCs w:val="20"/>
        </w:rPr>
        <w:t>Data will be collected from the electronic medical record. Subjects will be identified through ICD-9 codes</w:t>
      </w:r>
      <w:r w:rsidR="006B58B6">
        <w:rPr>
          <w:rFonts w:ascii="Calibri" w:hAnsi="Calibri" w:cs="Arial"/>
          <w:sz w:val="20"/>
          <w:szCs w:val="20"/>
        </w:rPr>
        <w:t xml:space="preserve"> for an acute asthma exacerbation</w:t>
      </w:r>
      <w:r w:rsidR="00FC048D">
        <w:rPr>
          <w:rFonts w:ascii="Calibri" w:hAnsi="Calibri" w:cs="Arial"/>
          <w:sz w:val="20"/>
          <w:szCs w:val="20"/>
        </w:rPr>
        <w:t xml:space="preserve"> from</w:t>
      </w:r>
      <w:r w:rsidR="00B84761">
        <w:rPr>
          <w:rFonts w:ascii="Calibri" w:hAnsi="Calibri" w:cs="Arial"/>
          <w:sz w:val="20"/>
          <w:szCs w:val="20"/>
        </w:rPr>
        <w:t xml:space="preserve"> January 1,</w:t>
      </w:r>
      <w:r w:rsidR="00E6333F">
        <w:rPr>
          <w:rFonts w:ascii="Calibri" w:hAnsi="Calibri" w:cs="Arial"/>
          <w:sz w:val="20"/>
          <w:szCs w:val="20"/>
        </w:rPr>
        <w:t xml:space="preserve"> 2014 to December</w:t>
      </w:r>
      <w:r w:rsidR="00B84761">
        <w:rPr>
          <w:rFonts w:ascii="Calibri" w:hAnsi="Calibri" w:cs="Arial"/>
          <w:sz w:val="20"/>
          <w:szCs w:val="20"/>
        </w:rPr>
        <w:t xml:space="preserve"> 31,</w:t>
      </w:r>
      <w:r w:rsidR="00E6333F">
        <w:rPr>
          <w:rFonts w:ascii="Calibri" w:hAnsi="Calibri" w:cs="Arial"/>
          <w:sz w:val="20"/>
          <w:szCs w:val="20"/>
        </w:rPr>
        <w:t xml:space="preserve"> 2015</w:t>
      </w:r>
      <w:r w:rsidR="00FC048D">
        <w:rPr>
          <w:rFonts w:ascii="Calibri" w:hAnsi="Calibri" w:cs="Arial"/>
          <w:sz w:val="20"/>
          <w:szCs w:val="20"/>
        </w:rPr>
        <w:t xml:space="preserve">. Data will be </w:t>
      </w:r>
      <w:r w:rsidR="006B447A" w:rsidRPr="00DC1C42">
        <w:rPr>
          <w:rFonts w:ascii="Calibri" w:hAnsi="Calibri" w:cs="Arial"/>
          <w:sz w:val="20"/>
          <w:szCs w:val="20"/>
        </w:rPr>
        <w:t xml:space="preserve">recorded on a Microsoft </w:t>
      </w:r>
      <w:r w:rsidR="00B84761">
        <w:rPr>
          <w:rFonts w:ascii="Calibri" w:hAnsi="Calibri" w:cs="Arial"/>
          <w:sz w:val="20"/>
          <w:szCs w:val="20"/>
        </w:rPr>
        <w:t xml:space="preserve">Word </w:t>
      </w:r>
      <w:r w:rsidR="00D00AB4">
        <w:rPr>
          <w:rFonts w:ascii="Calibri" w:hAnsi="Calibri" w:cs="Arial"/>
          <w:sz w:val="20"/>
          <w:szCs w:val="20"/>
        </w:rPr>
        <w:t>Document</w:t>
      </w:r>
      <w:bookmarkStart w:id="0" w:name="_GoBack"/>
      <w:bookmarkEnd w:id="0"/>
      <w:r w:rsidR="006B447A" w:rsidRPr="00DC1C42">
        <w:rPr>
          <w:rFonts w:ascii="Calibri" w:hAnsi="Calibri" w:cs="Arial"/>
          <w:sz w:val="20"/>
          <w:szCs w:val="20"/>
        </w:rPr>
        <w:t>. The medical record of each subject who meets the inclusion criteria will be reviewed and the following parameters will be collected</w:t>
      </w:r>
      <w:r w:rsidR="001E11C7" w:rsidRPr="00DC1C42">
        <w:rPr>
          <w:rFonts w:ascii="Calibri" w:hAnsi="Calibri" w:cs="Arial"/>
          <w:sz w:val="20"/>
          <w:szCs w:val="20"/>
        </w:rPr>
        <w:t>:</w:t>
      </w:r>
    </w:p>
    <w:p w:rsidR="006B447A" w:rsidRPr="00DC1C42" w:rsidRDefault="006B447A" w:rsidP="00DF7233">
      <w:pPr>
        <w:ind w:left="1440"/>
        <w:rPr>
          <w:rFonts w:ascii="Calibri" w:hAnsi="Calibri" w:cs="Arial"/>
          <w:sz w:val="20"/>
          <w:szCs w:val="20"/>
        </w:rPr>
      </w:pPr>
    </w:p>
    <w:p w:rsidR="00DF7233" w:rsidRPr="00DC1C42" w:rsidRDefault="00DF7233" w:rsidP="00DF7233">
      <w:pPr>
        <w:ind w:left="1440"/>
        <w:rPr>
          <w:rFonts w:ascii="Calibri" w:hAnsi="Calibri" w:cs="Arial"/>
          <w:sz w:val="20"/>
          <w:szCs w:val="20"/>
          <w:u w:val="single"/>
        </w:rPr>
      </w:pPr>
      <w:r w:rsidRPr="00DC1C42">
        <w:rPr>
          <w:rFonts w:ascii="Calibri" w:hAnsi="Calibri" w:cs="Arial"/>
          <w:sz w:val="20"/>
          <w:szCs w:val="20"/>
          <w:u w:val="single"/>
        </w:rPr>
        <w:t>Data Collection:</w:t>
      </w:r>
      <w:r w:rsidRPr="00DC1C42">
        <w:rPr>
          <w:rFonts w:ascii="Calibri" w:hAnsi="Calibri" w:cs="Arial"/>
          <w:sz w:val="20"/>
          <w:szCs w:val="20"/>
        </w:rPr>
        <w:t xml:space="preserve">  </w:t>
      </w:r>
    </w:p>
    <w:p w:rsidR="00733592" w:rsidRPr="00E6333F" w:rsidRDefault="00821474" w:rsidP="00E6333F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Clinical characteristics: </w:t>
      </w:r>
      <w:r w:rsidR="00DF7233" w:rsidRPr="00DC1C42">
        <w:rPr>
          <w:rFonts w:ascii="Calibri" w:hAnsi="Calibri" w:cs="Arial"/>
          <w:sz w:val="20"/>
          <w:szCs w:val="20"/>
        </w:rPr>
        <w:t xml:space="preserve">age, </w:t>
      </w:r>
      <w:r w:rsidR="00C8234A" w:rsidRPr="00DC1C42">
        <w:rPr>
          <w:rFonts w:ascii="Calibri" w:hAnsi="Calibri" w:cs="Arial"/>
          <w:sz w:val="20"/>
          <w:szCs w:val="20"/>
        </w:rPr>
        <w:t>gender, weight, height</w:t>
      </w:r>
      <w:r w:rsidR="00E6333F">
        <w:rPr>
          <w:rFonts w:ascii="Calibri" w:hAnsi="Calibri" w:cs="Arial"/>
          <w:sz w:val="20"/>
          <w:szCs w:val="20"/>
        </w:rPr>
        <w:t xml:space="preserve">, asthma severity </w:t>
      </w:r>
      <w:r w:rsidR="00B37900">
        <w:rPr>
          <w:rFonts w:ascii="Calibri" w:hAnsi="Calibri" w:cs="Arial"/>
          <w:sz w:val="20"/>
          <w:szCs w:val="20"/>
        </w:rPr>
        <w:t>(intermittent, mild persistent, moderate persistent, severe persistent)</w:t>
      </w:r>
    </w:p>
    <w:p w:rsidR="00C8234A" w:rsidRDefault="00C8234A" w:rsidP="00F86B68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Admit diagnosis</w:t>
      </w:r>
    </w:p>
    <w:p w:rsidR="006B58B6" w:rsidRDefault="006B58B6" w:rsidP="00F86B68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Length of hospitalization</w:t>
      </w:r>
    </w:p>
    <w:p w:rsidR="002074C7" w:rsidRDefault="002074C7" w:rsidP="00F86B68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Asthma Assessment Score</w:t>
      </w:r>
    </w:p>
    <w:p w:rsidR="006B58B6" w:rsidRDefault="006B58B6" w:rsidP="00F86B68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Medication</w:t>
      </w:r>
    </w:p>
    <w:p w:rsidR="006B58B6" w:rsidRDefault="006B58B6" w:rsidP="006B58B6">
      <w:pPr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Dexamethasone dose (mg), duration of therapy, dosing interval (days and hours)</w:t>
      </w:r>
    </w:p>
    <w:p w:rsidR="006B58B6" w:rsidRDefault="006B58B6" w:rsidP="006B58B6">
      <w:pPr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Prednisone/prednisolone dose</w:t>
      </w:r>
      <w:r w:rsidR="00B37900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(mg), number of doses, duration of therapy, dosing interval (days and hours)</w:t>
      </w:r>
    </w:p>
    <w:p w:rsidR="00E6333F" w:rsidRDefault="00E6333F" w:rsidP="006B58B6">
      <w:pPr>
        <w:numPr>
          <w:ilvl w:val="1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Total albuterol (mg), </w:t>
      </w:r>
      <w:r w:rsidR="00B37900">
        <w:rPr>
          <w:rFonts w:ascii="Calibri" w:hAnsi="Calibri" w:cs="Arial"/>
          <w:sz w:val="20"/>
          <w:szCs w:val="20"/>
        </w:rPr>
        <w:t xml:space="preserve">ipratropium (mg), </w:t>
      </w:r>
      <w:r>
        <w:rPr>
          <w:rFonts w:ascii="Calibri" w:hAnsi="Calibri" w:cs="Arial"/>
          <w:sz w:val="20"/>
          <w:szCs w:val="20"/>
        </w:rPr>
        <w:t xml:space="preserve">magnesium (mg), </w:t>
      </w:r>
      <w:proofErr w:type="spellStart"/>
      <w:r>
        <w:rPr>
          <w:rFonts w:ascii="Calibri" w:hAnsi="Calibri" w:cs="Arial"/>
          <w:sz w:val="20"/>
          <w:szCs w:val="20"/>
        </w:rPr>
        <w:t>terbutaline</w:t>
      </w:r>
      <w:proofErr w:type="spellEnd"/>
      <w:r>
        <w:rPr>
          <w:rFonts w:ascii="Calibri" w:hAnsi="Calibri" w:cs="Arial"/>
          <w:sz w:val="20"/>
          <w:szCs w:val="20"/>
        </w:rPr>
        <w:t xml:space="preserve"> (mg)</w:t>
      </w:r>
    </w:p>
    <w:p w:rsidR="006B58B6" w:rsidRDefault="00B37900" w:rsidP="006B58B6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7- and </w:t>
      </w:r>
      <w:r w:rsidR="006B58B6">
        <w:rPr>
          <w:rFonts w:ascii="Calibri" w:hAnsi="Calibri" w:cs="Arial"/>
          <w:sz w:val="20"/>
          <w:szCs w:val="20"/>
        </w:rPr>
        <w:t>30</w:t>
      </w:r>
      <w:r>
        <w:rPr>
          <w:rFonts w:ascii="Calibri" w:hAnsi="Calibri" w:cs="Arial"/>
          <w:sz w:val="20"/>
          <w:szCs w:val="20"/>
        </w:rPr>
        <w:t>-</w:t>
      </w:r>
      <w:r w:rsidR="006B58B6">
        <w:rPr>
          <w:rFonts w:ascii="Calibri" w:hAnsi="Calibri" w:cs="Arial"/>
          <w:sz w:val="20"/>
          <w:szCs w:val="20"/>
        </w:rPr>
        <w:t>day hospital readmission</w:t>
      </w:r>
    </w:p>
    <w:p w:rsidR="006B58B6" w:rsidRDefault="006B58B6" w:rsidP="006B58B6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Transfer to the ICU during admission</w:t>
      </w:r>
    </w:p>
    <w:p w:rsidR="00B37900" w:rsidRDefault="00B37900" w:rsidP="006B58B6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Episodes of nausea/vomiting after corticosteroid administration</w:t>
      </w:r>
    </w:p>
    <w:p w:rsidR="00C04D9B" w:rsidRPr="00DC1C42" w:rsidRDefault="00C04D9B" w:rsidP="00B84761">
      <w:pPr>
        <w:ind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lastRenderedPageBreak/>
        <w:t xml:space="preserve">Data storage: </w:t>
      </w:r>
      <w:r w:rsidRPr="00DC1C42">
        <w:rPr>
          <w:rFonts w:ascii="Calibri" w:hAnsi="Calibri" w:cs="Arial"/>
          <w:sz w:val="20"/>
          <w:szCs w:val="20"/>
        </w:rPr>
        <w:t xml:space="preserve">  </w:t>
      </w:r>
    </w:p>
    <w:p w:rsidR="00C04D9B" w:rsidRDefault="00C04D9B" w:rsidP="003E652C">
      <w:pPr>
        <w:ind w:left="180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All data will be stored in a locked office on a locked computer</w:t>
      </w:r>
      <w:r w:rsidR="003E652C" w:rsidRPr="00DC1C42">
        <w:rPr>
          <w:rFonts w:ascii="Calibri" w:hAnsi="Calibri" w:cs="Arial"/>
          <w:b/>
          <w:sz w:val="20"/>
          <w:szCs w:val="20"/>
        </w:rPr>
        <w:t xml:space="preserve"> </w:t>
      </w:r>
      <w:r w:rsidRPr="00DC1C42">
        <w:rPr>
          <w:rFonts w:ascii="Calibri" w:hAnsi="Calibri" w:cs="Arial"/>
          <w:sz w:val="20"/>
          <w:szCs w:val="20"/>
        </w:rPr>
        <w:t>only accessible to the principle investigator.  Data will be de-identified upon being entered into the database.</w:t>
      </w:r>
    </w:p>
    <w:p w:rsidR="00471799" w:rsidRDefault="00471799" w:rsidP="003E652C">
      <w:pPr>
        <w:ind w:left="1800"/>
        <w:rPr>
          <w:rFonts w:ascii="Calibri" w:hAnsi="Calibri" w:cs="Arial"/>
          <w:sz w:val="20"/>
          <w:szCs w:val="20"/>
        </w:rPr>
      </w:pPr>
    </w:p>
    <w:p w:rsidR="007500A1" w:rsidRPr="007500A1" w:rsidRDefault="00471799" w:rsidP="007500A1">
      <w:pPr>
        <w:ind w:firstLine="720"/>
        <w:rPr>
          <w:rFonts w:asciiTheme="minorHAnsi" w:hAnsiTheme="minorHAnsi" w:cs="Arial"/>
          <w:i/>
          <w:sz w:val="20"/>
          <w:szCs w:val="20"/>
        </w:rPr>
      </w:pPr>
      <w:r w:rsidRPr="008C01F6">
        <w:rPr>
          <w:rFonts w:asciiTheme="minorHAnsi" w:hAnsiTheme="minorHAnsi" w:cs="Arial"/>
          <w:i/>
          <w:sz w:val="20"/>
          <w:szCs w:val="20"/>
        </w:rPr>
        <w:t>Definitions:</w:t>
      </w:r>
    </w:p>
    <w:p w:rsidR="006B58B6" w:rsidRPr="002074C7" w:rsidRDefault="006B58B6" w:rsidP="006B58B6">
      <w:pPr>
        <w:pStyle w:val="ListParagraph"/>
        <w:numPr>
          <w:ilvl w:val="0"/>
          <w:numId w:val="24"/>
        </w:numPr>
        <w:rPr>
          <w:rFonts w:ascii="Calibri" w:hAnsi="Calibri" w:cs="Arial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Acute Asthma Exacerbation: </w:t>
      </w:r>
      <w:r w:rsidR="007500A1">
        <w:rPr>
          <w:rFonts w:asciiTheme="minorHAnsi" w:hAnsiTheme="minorHAnsi" w:cs="Arial"/>
          <w:sz w:val="20"/>
          <w:szCs w:val="20"/>
        </w:rPr>
        <w:t xml:space="preserve">previous diagnosis of asthma with any of the following clinical features: dyspnea, wheeze, acute cough, increased work of breathing, increased requirement of β2-agonist from baseline, or </w:t>
      </w:r>
      <w:r w:rsidR="00F640E8">
        <w:rPr>
          <w:rFonts w:asciiTheme="minorHAnsi" w:hAnsiTheme="minorHAnsi" w:cs="Arial"/>
          <w:sz w:val="20"/>
          <w:szCs w:val="20"/>
        </w:rPr>
        <w:t>oxygen saturation (</w:t>
      </w:r>
      <w:r w:rsidR="007500A1">
        <w:rPr>
          <w:rFonts w:asciiTheme="minorHAnsi" w:hAnsiTheme="minorHAnsi" w:cs="Arial"/>
          <w:sz w:val="20"/>
          <w:szCs w:val="20"/>
        </w:rPr>
        <w:t>SaO</w:t>
      </w:r>
      <w:r w:rsidR="007500A1">
        <w:rPr>
          <w:rFonts w:asciiTheme="minorHAnsi" w:hAnsiTheme="minorHAnsi" w:cs="Arial"/>
          <w:sz w:val="20"/>
          <w:szCs w:val="20"/>
          <w:vertAlign w:val="subscript"/>
        </w:rPr>
        <w:t>2</w:t>
      </w:r>
      <w:r w:rsidR="00F640E8">
        <w:rPr>
          <w:rFonts w:asciiTheme="minorHAnsi" w:hAnsiTheme="minorHAnsi" w:cs="Arial"/>
          <w:sz w:val="20"/>
          <w:szCs w:val="20"/>
        </w:rPr>
        <w:t>)</w:t>
      </w:r>
      <w:r w:rsidR="007500A1">
        <w:rPr>
          <w:rFonts w:asciiTheme="minorHAnsi" w:hAnsiTheme="minorHAnsi" w:cs="Arial"/>
          <w:sz w:val="20"/>
          <w:szCs w:val="20"/>
        </w:rPr>
        <w:t xml:space="preserve"> of less than 95%.</w:t>
      </w:r>
      <w:r w:rsidR="007500A1">
        <w:rPr>
          <w:rFonts w:asciiTheme="minorHAnsi" w:hAnsiTheme="minorHAnsi" w:cs="Arial"/>
          <w:sz w:val="20"/>
          <w:szCs w:val="20"/>
          <w:vertAlign w:val="superscript"/>
        </w:rPr>
        <w:t>13</w:t>
      </w:r>
    </w:p>
    <w:p w:rsidR="002074C7" w:rsidRDefault="002074C7" w:rsidP="002074C7">
      <w:pPr>
        <w:pStyle w:val="ListParagraph"/>
        <w:ind w:left="1800"/>
        <w:rPr>
          <w:rFonts w:ascii="Calibri" w:hAnsi="Calibri" w:cs="Arial"/>
          <w:b/>
          <w:sz w:val="20"/>
          <w:szCs w:val="20"/>
        </w:rPr>
      </w:pPr>
    </w:p>
    <w:p w:rsidR="00094ACB" w:rsidRDefault="00094ACB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094ACB" w:rsidRDefault="00094ACB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F80D73" w:rsidRPr="00DC1C42" w:rsidRDefault="00C9788A" w:rsidP="00D85A2D">
      <w:pPr>
        <w:outlineLvl w:val="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Outcomes:</w:t>
      </w:r>
    </w:p>
    <w:p w:rsidR="004961A0" w:rsidRPr="00DC1C42" w:rsidRDefault="00C9788A" w:rsidP="00511F30">
      <w:pPr>
        <w:rPr>
          <w:rFonts w:ascii="Calibri" w:hAnsi="Calibri" w:cs="Arial"/>
          <w:i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ab/>
      </w:r>
      <w:r w:rsidRPr="00DC1C42">
        <w:rPr>
          <w:rFonts w:ascii="Calibri" w:hAnsi="Calibri" w:cs="Arial"/>
          <w:i/>
          <w:sz w:val="20"/>
          <w:szCs w:val="20"/>
        </w:rPr>
        <w:t>Primary endpoint:</w:t>
      </w:r>
    </w:p>
    <w:p w:rsidR="00C8234A" w:rsidRPr="00DC1C42" w:rsidRDefault="0085484B" w:rsidP="00C8234A">
      <w:pPr>
        <w:ind w:left="144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The m</w:t>
      </w:r>
      <w:r w:rsidR="000F43E0">
        <w:rPr>
          <w:rFonts w:ascii="Calibri" w:hAnsi="Calibri" w:cs="Arial"/>
          <w:sz w:val="20"/>
          <w:szCs w:val="20"/>
        </w:rPr>
        <w:t xml:space="preserve">ain outcome measured will be </w:t>
      </w:r>
      <w:r w:rsidR="00B37900">
        <w:rPr>
          <w:rFonts w:ascii="Calibri" w:hAnsi="Calibri" w:cs="Arial"/>
          <w:sz w:val="20"/>
          <w:szCs w:val="20"/>
        </w:rPr>
        <w:t>A</w:t>
      </w:r>
      <w:r w:rsidR="000F43E0">
        <w:rPr>
          <w:rFonts w:ascii="Calibri" w:hAnsi="Calibri" w:cs="Arial"/>
          <w:sz w:val="20"/>
          <w:szCs w:val="20"/>
        </w:rPr>
        <w:t xml:space="preserve">sthma </w:t>
      </w:r>
      <w:r w:rsidR="00B37900">
        <w:rPr>
          <w:rFonts w:ascii="Calibri" w:hAnsi="Calibri" w:cs="Arial"/>
          <w:sz w:val="20"/>
          <w:szCs w:val="20"/>
        </w:rPr>
        <w:t>A</w:t>
      </w:r>
      <w:r w:rsidR="000F43E0">
        <w:rPr>
          <w:rFonts w:ascii="Calibri" w:hAnsi="Calibri" w:cs="Arial"/>
          <w:sz w:val="20"/>
          <w:szCs w:val="20"/>
        </w:rPr>
        <w:t xml:space="preserve">ssessment </w:t>
      </w:r>
      <w:r w:rsidR="00B37900">
        <w:rPr>
          <w:rFonts w:ascii="Calibri" w:hAnsi="Calibri" w:cs="Arial"/>
          <w:sz w:val="20"/>
          <w:szCs w:val="20"/>
        </w:rPr>
        <w:t>S</w:t>
      </w:r>
      <w:r w:rsidR="000F43E0">
        <w:rPr>
          <w:rFonts w:ascii="Calibri" w:hAnsi="Calibri" w:cs="Arial"/>
          <w:sz w:val="20"/>
          <w:szCs w:val="20"/>
        </w:rPr>
        <w:t>core.</w:t>
      </w:r>
    </w:p>
    <w:p w:rsidR="00094ACB" w:rsidRDefault="00094ACB" w:rsidP="004D0D82">
      <w:pPr>
        <w:ind w:left="720"/>
        <w:rPr>
          <w:rFonts w:ascii="Calibri" w:hAnsi="Calibri" w:cs="Arial"/>
          <w:sz w:val="20"/>
          <w:szCs w:val="20"/>
        </w:rPr>
      </w:pPr>
    </w:p>
    <w:p w:rsidR="008027A3" w:rsidRDefault="00B73CC0" w:rsidP="004D0D82">
      <w:pPr>
        <w:ind w:left="720"/>
        <w:rPr>
          <w:rFonts w:asciiTheme="minorHAnsi" w:hAnsiTheme="minorHAnsi" w:cs="Arial"/>
          <w:sz w:val="20"/>
          <w:szCs w:val="20"/>
        </w:rPr>
      </w:pPr>
      <w:r w:rsidRPr="00DC1C42">
        <w:rPr>
          <w:rFonts w:asciiTheme="minorHAnsi" w:hAnsiTheme="minorHAnsi" w:cs="Arial"/>
          <w:sz w:val="20"/>
          <w:szCs w:val="20"/>
        </w:rPr>
        <w:t>Secondary endpoint:</w:t>
      </w:r>
    </w:p>
    <w:p w:rsidR="00110CC9" w:rsidRPr="00DC1C42" w:rsidRDefault="0085484B" w:rsidP="0085484B">
      <w:pPr>
        <w:ind w:left="1440"/>
        <w:rPr>
          <w:rFonts w:ascii="Calibri" w:hAnsi="Calibr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Additional outcomes measured will be </w:t>
      </w:r>
      <w:r w:rsidR="00B37900">
        <w:rPr>
          <w:rFonts w:asciiTheme="minorHAnsi" w:hAnsiTheme="minorHAnsi" w:cs="Arial"/>
          <w:sz w:val="20"/>
          <w:szCs w:val="20"/>
        </w:rPr>
        <w:t xml:space="preserve">use of adjunctive medications for asthma exacerbation, </w:t>
      </w:r>
      <w:r>
        <w:rPr>
          <w:rFonts w:asciiTheme="minorHAnsi" w:hAnsiTheme="minorHAnsi" w:cs="Arial"/>
          <w:sz w:val="20"/>
          <w:szCs w:val="20"/>
        </w:rPr>
        <w:t>length of hospitalizatio</w:t>
      </w:r>
      <w:r w:rsidR="00E6333F">
        <w:rPr>
          <w:rFonts w:asciiTheme="minorHAnsi" w:hAnsiTheme="minorHAnsi" w:cs="Arial"/>
          <w:sz w:val="20"/>
          <w:szCs w:val="20"/>
        </w:rPr>
        <w:t xml:space="preserve">n, </w:t>
      </w:r>
      <w:r w:rsidR="00B37900">
        <w:rPr>
          <w:rFonts w:asciiTheme="minorHAnsi" w:hAnsiTheme="minorHAnsi" w:cs="Arial"/>
          <w:sz w:val="20"/>
          <w:szCs w:val="20"/>
        </w:rPr>
        <w:t xml:space="preserve">7- and </w:t>
      </w:r>
      <w:r w:rsidR="00E6333F">
        <w:rPr>
          <w:rFonts w:asciiTheme="minorHAnsi" w:hAnsiTheme="minorHAnsi" w:cs="Arial"/>
          <w:sz w:val="20"/>
          <w:szCs w:val="20"/>
        </w:rPr>
        <w:t>30</w:t>
      </w:r>
      <w:r w:rsidR="00B37900">
        <w:rPr>
          <w:rFonts w:asciiTheme="minorHAnsi" w:hAnsiTheme="minorHAnsi" w:cs="Arial"/>
          <w:sz w:val="20"/>
          <w:szCs w:val="20"/>
        </w:rPr>
        <w:t>-</w:t>
      </w:r>
      <w:r w:rsidR="00E6333F">
        <w:rPr>
          <w:rFonts w:asciiTheme="minorHAnsi" w:hAnsiTheme="minorHAnsi" w:cs="Arial"/>
          <w:sz w:val="20"/>
          <w:szCs w:val="20"/>
        </w:rPr>
        <w:t xml:space="preserve">day hospital readmission, </w:t>
      </w:r>
      <w:r w:rsidR="00B37900">
        <w:rPr>
          <w:rFonts w:asciiTheme="minorHAnsi" w:hAnsiTheme="minorHAnsi" w:cs="Arial"/>
          <w:sz w:val="20"/>
          <w:szCs w:val="20"/>
        </w:rPr>
        <w:t xml:space="preserve">and </w:t>
      </w:r>
      <w:r w:rsidR="00E6333F">
        <w:rPr>
          <w:rFonts w:asciiTheme="minorHAnsi" w:hAnsiTheme="minorHAnsi" w:cs="Arial"/>
          <w:sz w:val="20"/>
          <w:szCs w:val="20"/>
        </w:rPr>
        <w:t>transfer</w:t>
      </w:r>
      <w:r>
        <w:rPr>
          <w:rFonts w:asciiTheme="minorHAnsi" w:hAnsiTheme="minorHAnsi" w:cs="Arial"/>
          <w:sz w:val="20"/>
          <w:szCs w:val="20"/>
        </w:rPr>
        <w:t xml:space="preserve"> to an ICU after admission</w:t>
      </w:r>
      <w:r w:rsidR="00B37900">
        <w:rPr>
          <w:rFonts w:asciiTheme="minorHAnsi" w:hAnsiTheme="minorHAnsi" w:cs="Arial"/>
          <w:sz w:val="20"/>
          <w:szCs w:val="20"/>
        </w:rPr>
        <w:t>.</w:t>
      </w:r>
      <w:r w:rsidR="00E6333F">
        <w:rPr>
          <w:rFonts w:asciiTheme="minorHAnsi" w:hAnsiTheme="minorHAnsi" w:cs="Arial"/>
          <w:sz w:val="20"/>
          <w:szCs w:val="20"/>
        </w:rPr>
        <w:t xml:space="preserve"> </w:t>
      </w:r>
    </w:p>
    <w:p w:rsidR="00094ACB" w:rsidRDefault="00094ACB" w:rsidP="0064401F">
      <w:pPr>
        <w:ind w:left="720"/>
        <w:rPr>
          <w:rFonts w:ascii="Calibri" w:hAnsi="Calibri" w:cs="Arial"/>
          <w:i/>
          <w:sz w:val="20"/>
          <w:szCs w:val="20"/>
        </w:rPr>
      </w:pPr>
    </w:p>
    <w:p w:rsidR="00527EA2" w:rsidRDefault="00C9788A" w:rsidP="0064401F">
      <w:pPr>
        <w:ind w:left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>Statistical analyses:</w:t>
      </w:r>
      <w:r w:rsidR="005D48C3" w:rsidRPr="00DC1C42">
        <w:rPr>
          <w:rFonts w:ascii="Calibri" w:hAnsi="Calibri" w:cs="Arial"/>
          <w:sz w:val="20"/>
          <w:szCs w:val="20"/>
        </w:rPr>
        <w:t xml:space="preserve"> </w:t>
      </w:r>
    </w:p>
    <w:p w:rsidR="008E3504" w:rsidRDefault="00E6333F" w:rsidP="008E3504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</w:t>
      </w:r>
      <w:r w:rsidR="008E3504">
        <w:rPr>
          <w:rFonts w:ascii="Calibri" w:hAnsi="Calibri" w:cs="Arial"/>
          <w:sz w:val="20"/>
          <w:szCs w:val="20"/>
        </w:rPr>
        <w:t>he s</w:t>
      </w:r>
      <w:r>
        <w:rPr>
          <w:rFonts w:ascii="Calibri" w:hAnsi="Calibri" w:cs="Arial"/>
          <w:sz w:val="20"/>
          <w:szCs w:val="20"/>
        </w:rPr>
        <w:t>tudent’s t-test will be used to compare</w:t>
      </w:r>
      <w:r w:rsidR="008E3504">
        <w:rPr>
          <w:rFonts w:ascii="Calibri" w:hAnsi="Calibri" w:cs="Arial"/>
          <w:sz w:val="20"/>
          <w:szCs w:val="20"/>
        </w:rPr>
        <w:t xml:space="preserve"> continuous data following a normal distribution</w:t>
      </w:r>
      <w:r>
        <w:rPr>
          <w:rFonts w:ascii="Calibri" w:hAnsi="Calibri" w:cs="Arial"/>
          <w:sz w:val="20"/>
          <w:szCs w:val="20"/>
        </w:rPr>
        <w:t xml:space="preserve"> between groups.</w:t>
      </w:r>
      <w:r w:rsidR="008E3504">
        <w:rPr>
          <w:rFonts w:ascii="Calibri" w:hAnsi="Calibri" w:cs="Arial"/>
          <w:sz w:val="20"/>
          <w:szCs w:val="20"/>
        </w:rPr>
        <w:t xml:space="preserve"> Wilc</w:t>
      </w:r>
      <w:r>
        <w:rPr>
          <w:rFonts w:ascii="Calibri" w:hAnsi="Calibri" w:cs="Arial"/>
          <w:sz w:val="20"/>
          <w:szCs w:val="20"/>
        </w:rPr>
        <w:t>oxon’s rank sum will be used to compare</w:t>
      </w:r>
      <w:r w:rsidR="008E3504">
        <w:rPr>
          <w:rFonts w:ascii="Calibri" w:hAnsi="Calibri" w:cs="Arial"/>
          <w:sz w:val="20"/>
          <w:szCs w:val="20"/>
        </w:rPr>
        <w:t xml:space="preserve"> continuous data following a non-normal distribution</w:t>
      </w:r>
      <w:r>
        <w:rPr>
          <w:rFonts w:ascii="Calibri" w:hAnsi="Calibri" w:cs="Arial"/>
          <w:sz w:val="20"/>
          <w:szCs w:val="20"/>
        </w:rPr>
        <w:t xml:space="preserve"> and</w:t>
      </w:r>
      <w:r w:rsidR="000F43E0">
        <w:rPr>
          <w:rFonts w:ascii="Calibri" w:hAnsi="Calibri" w:cs="Arial"/>
          <w:sz w:val="20"/>
          <w:szCs w:val="20"/>
        </w:rPr>
        <w:t xml:space="preserve"> ordinal data</w:t>
      </w:r>
      <w:r>
        <w:rPr>
          <w:rFonts w:ascii="Calibri" w:hAnsi="Calibri" w:cs="Arial"/>
          <w:sz w:val="20"/>
          <w:szCs w:val="20"/>
        </w:rPr>
        <w:t xml:space="preserve"> between groups. C</w:t>
      </w:r>
      <w:r w:rsidR="008E3504">
        <w:rPr>
          <w:rFonts w:ascii="Calibri" w:hAnsi="Calibri" w:cs="Arial"/>
          <w:sz w:val="20"/>
          <w:szCs w:val="20"/>
        </w:rPr>
        <w:t>hi-squared test/Fischer’s exact test</w:t>
      </w:r>
      <w:r>
        <w:rPr>
          <w:rFonts w:ascii="Calibri" w:hAnsi="Calibri" w:cs="Arial"/>
          <w:sz w:val="20"/>
          <w:szCs w:val="20"/>
        </w:rPr>
        <w:t xml:space="preserve"> will be used as appropriate to compare</w:t>
      </w:r>
      <w:r w:rsidR="008E3504">
        <w:rPr>
          <w:rFonts w:ascii="Calibri" w:hAnsi="Calibri" w:cs="Arial"/>
          <w:sz w:val="20"/>
          <w:szCs w:val="20"/>
        </w:rPr>
        <w:t xml:space="preserve"> categorical data</w:t>
      </w:r>
      <w:r>
        <w:rPr>
          <w:rFonts w:ascii="Calibri" w:hAnsi="Calibri" w:cs="Arial"/>
          <w:sz w:val="20"/>
          <w:szCs w:val="20"/>
        </w:rPr>
        <w:t xml:space="preserve"> between groups. </w:t>
      </w:r>
    </w:p>
    <w:p w:rsidR="000E25E0" w:rsidRPr="00DC1C42" w:rsidRDefault="001E11C7" w:rsidP="0064401F">
      <w:pPr>
        <w:ind w:left="720"/>
        <w:rPr>
          <w:rFonts w:ascii="Calibri" w:hAnsi="Calibri" w:cs="Arial"/>
          <w:sz w:val="20"/>
          <w:szCs w:val="20"/>
          <w:highlight w:val="yellow"/>
        </w:rPr>
      </w:pPr>
      <w:r w:rsidRPr="00DC1C42">
        <w:rPr>
          <w:rFonts w:ascii="Calibri" w:hAnsi="Calibri" w:cs="Arial"/>
          <w:sz w:val="20"/>
          <w:szCs w:val="20"/>
        </w:rPr>
        <w:tab/>
      </w:r>
    </w:p>
    <w:p w:rsidR="004961A0" w:rsidRPr="00DC1C42" w:rsidRDefault="00172CE4" w:rsidP="00E54367">
      <w:pPr>
        <w:ind w:left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i/>
          <w:sz w:val="20"/>
          <w:szCs w:val="20"/>
        </w:rPr>
        <w:t>Potential Risks:</w:t>
      </w:r>
      <w:r w:rsidRPr="00DC1C42">
        <w:rPr>
          <w:rFonts w:ascii="Calibri" w:hAnsi="Calibri" w:cs="Arial"/>
          <w:sz w:val="20"/>
          <w:szCs w:val="20"/>
        </w:rPr>
        <w:t xml:space="preserve"> </w:t>
      </w:r>
    </w:p>
    <w:p w:rsidR="00172CE4" w:rsidRPr="00DC1C42" w:rsidRDefault="00012C08" w:rsidP="00F16E87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The only potential risk for subjects is loss of confidentiality</w:t>
      </w:r>
      <w:r w:rsidR="001E11C7" w:rsidRPr="00DC1C42">
        <w:rPr>
          <w:rFonts w:ascii="Calibri" w:hAnsi="Calibri" w:cs="Arial"/>
          <w:sz w:val="20"/>
          <w:szCs w:val="20"/>
        </w:rPr>
        <w:t>;</w:t>
      </w:r>
      <w:r w:rsidRPr="00DC1C42">
        <w:rPr>
          <w:rFonts w:ascii="Calibri" w:hAnsi="Calibri" w:cs="Arial"/>
          <w:sz w:val="20"/>
          <w:szCs w:val="20"/>
        </w:rPr>
        <w:t xml:space="preserve"> however</w:t>
      </w:r>
      <w:r w:rsidR="001E11C7" w:rsidRPr="00DC1C42">
        <w:rPr>
          <w:rFonts w:ascii="Calibri" w:hAnsi="Calibri" w:cs="Arial"/>
          <w:sz w:val="20"/>
          <w:szCs w:val="20"/>
        </w:rPr>
        <w:t>,</w:t>
      </w:r>
      <w:r w:rsidRPr="00DC1C42">
        <w:rPr>
          <w:rFonts w:ascii="Calibri" w:hAnsi="Calibri" w:cs="Arial"/>
          <w:sz w:val="20"/>
          <w:szCs w:val="20"/>
        </w:rPr>
        <w:t xml:space="preserve"> this risk will be minimized by de-identifying data and storing the database in a password protected file in a locked office. </w:t>
      </w:r>
    </w:p>
    <w:p w:rsidR="007E4BFF" w:rsidRPr="00DC1C42" w:rsidRDefault="007E4BFF" w:rsidP="00172CE4">
      <w:pPr>
        <w:ind w:left="720"/>
        <w:rPr>
          <w:rFonts w:ascii="Calibri" w:hAnsi="Calibri" w:cs="Arial"/>
          <w:i/>
          <w:sz w:val="20"/>
          <w:szCs w:val="20"/>
        </w:rPr>
      </w:pPr>
    </w:p>
    <w:p w:rsidR="00697AF9" w:rsidRPr="00DC1C42" w:rsidRDefault="00697AF9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757165" w:rsidRPr="00DC1C42" w:rsidRDefault="00A21E45" w:rsidP="00D85A2D">
      <w:pPr>
        <w:outlineLvl w:val="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Informed consent:</w:t>
      </w:r>
      <w:r w:rsidRPr="00DC1C42">
        <w:rPr>
          <w:rFonts w:ascii="Calibri" w:hAnsi="Calibri" w:cs="Arial"/>
          <w:sz w:val="20"/>
          <w:szCs w:val="20"/>
        </w:rPr>
        <w:t xml:space="preserve"> </w:t>
      </w:r>
    </w:p>
    <w:p w:rsidR="002316AF" w:rsidRPr="00DC1C42" w:rsidRDefault="00A21E45" w:rsidP="002316AF">
      <w:pPr>
        <w:ind w:left="720" w:firstLine="72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As this is a retrospective study using medical records from Memorial</w:t>
      </w:r>
      <w:r w:rsidR="002316AF" w:rsidRPr="00DC1C42">
        <w:rPr>
          <w:rFonts w:ascii="Calibri" w:hAnsi="Calibri" w:cs="Arial"/>
          <w:sz w:val="20"/>
          <w:szCs w:val="20"/>
        </w:rPr>
        <w:t xml:space="preserve"> </w:t>
      </w:r>
    </w:p>
    <w:p w:rsidR="00A21E45" w:rsidRPr="00DC1C42" w:rsidRDefault="00A21E45" w:rsidP="002316AF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 xml:space="preserve">Hermann-Texas Medical Center </w:t>
      </w:r>
      <w:r w:rsidR="00472279" w:rsidRPr="00DC1C42">
        <w:rPr>
          <w:rFonts w:ascii="Calibri" w:hAnsi="Calibri" w:cs="Arial"/>
          <w:sz w:val="20"/>
          <w:szCs w:val="20"/>
        </w:rPr>
        <w:t>and patient information will be de-</w:t>
      </w:r>
      <w:r w:rsidR="003F2770" w:rsidRPr="00DC1C42">
        <w:rPr>
          <w:rFonts w:ascii="Calibri" w:hAnsi="Calibri" w:cs="Arial"/>
          <w:sz w:val="20"/>
          <w:szCs w:val="20"/>
        </w:rPr>
        <w:t>identified;</w:t>
      </w:r>
      <w:r w:rsidR="006C037B" w:rsidRPr="00DC1C42">
        <w:rPr>
          <w:rFonts w:ascii="Calibri" w:hAnsi="Calibri" w:cs="Arial"/>
          <w:sz w:val="20"/>
          <w:szCs w:val="20"/>
        </w:rPr>
        <w:t xml:space="preserve"> </w:t>
      </w:r>
      <w:r w:rsidRPr="00DC1C42">
        <w:rPr>
          <w:rFonts w:ascii="Calibri" w:hAnsi="Calibri" w:cs="Arial"/>
          <w:sz w:val="20"/>
          <w:szCs w:val="20"/>
        </w:rPr>
        <w:t xml:space="preserve">a waiver of informed consent will be filed with this application.  </w:t>
      </w:r>
    </w:p>
    <w:p w:rsidR="00697AF9" w:rsidRPr="00DC1C42" w:rsidRDefault="00697AF9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757165" w:rsidRPr="00DC1C42" w:rsidRDefault="00757165" w:rsidP="00D85A2D">
      <w:pPr>
        <w:outlineLvl w:val="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>Recruitment and Advertising/ Compensation/Specimens and Cell Lines:</w:t>
      </w:r>
      <w:r w:rsidRPr="00DC1C42">
        <w:rPr>
          <w:rFonts w:ascii="Calibri" w:hAnsi="Calibri" w:cs="Arial"/>
          <w:sz w:val="20"/>
          <w:szCs w:val="20"/>
        </w:rPr>
        <w:t xml:space="preserve"> </w:t>
      </w:r>
    </w:p>
    <w:p w:rsidR="00172CE4" w:rsidRPr="00DC1C42" w:rsidRDefault="00757165" w:rsidP="00757165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Patients will not be recru</w:t>
      </w:r>
      <w:r w:rsidR="005A4925" w:rsidRPr="00DC1C42">
        <w:rPr>
          <w:rFonts w:ascii="Calibri" w:hAnsi="Calibri" w:cs="Arial"/>
          <w:sz w:val="20"/>
          <w:szCs w:val="20"/>
        </w:rPr>
        <w:t>ited</w:t>
      </w:r>
      <w:r w:rsidR="006C037B" w:rsidRPr="00DC1C42">
        <w:rPr>
          <w:rFonts w:ascii="Calibri" w:hAnsi="Calibri" w:cs="Arial"/>
          <w:sz w:val="20"/>
          <w:szCs w:val="20"/>
        </w:rPr>
        <w:t>,</w:t>
      </w:r>
      <w:r w:rsidR="005A4925" w:rsidRPr="00DC1C42">
        <w:rPr>
          <w:rFonts w:ascii="Calibri" w:hAnsi="Calibri" w:cs="Arial"/>
          <w:sz w:val="20"/>
          <w:szCs w:val="20"/>
        </w:rPr>
        <w:t xml:space="preserve"> and there will be no adver</w:t>
      </w:r>
      <w:r w:rsidRPr="00DC1C42">
        <w:rPr>
          <w:rFonts w:ascii="Calibri" w:hAnsi="Calibri" w:cs="Arial"/>
          <w:sz w:val="20"/>
          <w:szCs w:val="20"/>
        </w:rPr>
        <w:t>tising</w:t>
      </w:r>
      <w:r w:rsidR="006C037B" w:rsidRPr="00DC1C42">
        <w:rPr>
          <w:rFonts w:ascii="Calibri" w:hAnsi="Calibri" w:cs="Arial"/>
          <w:sz w:val="20"/>
          <w:szCs w:val="20"/>
        </w:rPr>
        <w:t xml:space="preserve"> or compensation</w:t>
      </w:r>
      <w:r w:rsidRPr="00DC1C42">
        <w:rPr>
          <w:rFonts w:ascii="Calibri" w:hAnsi="Calibri" w:cs="Arial"/>
          <w:sz w:val="20"/>
          <w:szCs w:val="20"/>
        </w:rPr>
        <w:t xml:space="preserve"> for this study.  </w:t>
      </w:r>
      <w:r w:rsidR="006C037B" w:rsidRPr="00DC1C42">
        <w:rPr>
          <w:rFonts w:ascii="Calibri" w:hAnsi="Calibri" w:cs="Arial"/>
          <w:sz w:val="20"/>
          <w:szCs w:val="20"/>
        </w:rPr>
        <w:t>A</w:t>
      </w:r>
      <w:r w:rsidRPr="00DC1C42">
        <w:rPr>
          <w:rFonts w:ascii="Calibri" w:hAnsi="Calibri" w:cs="Arial"/>
          <w:sz w:val="20"/>
          <w:szCs w:val="20"/>
        </w:rPr>
        <w:t>s this is a retrospective, observational study</w:t>
      </w:r>
      <w:r w:rsidR="006C037B" w:rsidRPr="00DC1C42">
        <w:rPr>
          <w:rFonts w:ascii="Calibri" w:hAnsi="Calibri" w:cs="Arial"/>
          <w:sz w:val="20"/>
          <w:szCs w:val="20"/>
        </w:rPr>
        <w:t>,</w:t>
      </w:r>
      <w:r w:rsidRPr="00DC1C42">
        <w:rPr>
          <w:rFonts w:ascii="Calibri" w:hAnsi="Calibri" w:cs="Arial"/>
          <w:sz w:val="20"/>
          <w:szCs w:val="20"/>
        </w:rPr>
        <w:t xml:space="preserve"> there will be no specimens or samples involved.  </w:t>
      </w:r>
    </w:p>
    <w:p w:rsidR="00697AF9" w:rsidRPr="00DC1C42" w:rsidRDefault="00697AF9" w:rsidP="00D85A2D">
      <w:pPr>
        <w:outlineLvl w:val="0"/>
        <w:rPr>
          <w:rFonts w:ascii="Calibri" w:hAnsi="Calibri" w:cs="Arial"/>
          <w:b/>
          <w:sz w:val="20"/>
          <w:szCs w:val="20"/>
        </w:rPr>
      </w:pPr>
    </w:p>
    <w:p w:rsidR="00F80D73" w:rsidRPr="00DC1C42" w:rsidRDefault="00757165" w:rsidP="00D85A2D">
      <w:pPr>
        <w:outlineLvl w:val="0"/>
        <w:rPr>
          <w:rFonts w:ascii="Calibri" w:hAnsi="Calibri" w:cs="Arial"/>
          <w:b/>
          <w:sz w:val="20"/>
          <w:szCs w:val="20"/>
        </w:rPr>
      </w:pPr>
      <w:r w:rsidRPr="00DC1C42">
        <w:rPr>
          <w:rFonts w:ascii="Calibri" w:hAnsi="Calibri" w:cs="Arial"/>
          <w:b/>
          <w:sz w:val="20"/>
          <w:szCs w:val="20"/>
        </w:rPr>
        <w:t xml:space="preserve"> Expedited Review: </w:t>
      </w:r>
    </w:p>
    <w:p w:rsidR="00CB05AB" w:rsidRPr="00DC1C42" w:rsidRDefault="00757165" w:rsidP="002316AF">
      <w:pPr>
        <w:ind w:left="1440"/>
        <w:rPr>
          <w:rFonts w:ascii="Calibri" w:hAnsi="Calibri" w:cs="Arial"/>
          <w:sz w:val="20"/>
          <w:szCs w:val="20"/>
        </w:rPr>
      </w:pPr>
      <w:r w:rsidRPr="00DC1C42">
        <w:rPr>
          <w:rFonts w:ascii="Calibri" w:hAnsi="Calibri" w:cs="Arial"/>
          <w:sz w:val="20"/>
          <w:szCs w:val="20"/>
        </w:rPr>
        <w:t>This study is being submitted for expedited review</w:t>
      </w:r>
      <w:r w:rsidR="006C037B" w:rsidRPr="00DC1C42">
        <w:rPr>
          <w:rFonts w:ascii="Calibri" w:hAnsi="Calibri" w:cs="Arial"/>
          <w:sz w:val="20"/>
          <w:szCs w:val="20"/>
        </w:rPr>
        <w:t>,</w:t>
      </w:r>
      <w:r w:rsidRPr="00DC1C42">
        <w:rPr>
          <w:rFonts w:ascii="Calibri" w:hAnsi="Calibri" w:cs="Arial"/>
          <w:sz w:val="20"/>
          <w:szCs w:val="20"/>
        </w:rPr>
        <w:t xml:space="preserve"> since it is retrospective and observational </w:t>
      </w:r>
      <w:r w:rsidR="00012C08" w:rsidRPr="00DC1C42">
        <w:rPr>
          <w:rFonts w:ascii="Calibri" w:hAnsi="Calibri" w:cs="Arial"/>
          <w:sz w:val="20"/>
          <w:szCs w:val="20"/>
        </w:rPr>
        <w:t xml:space="preserve">in its design. </w:t>
      </w:r>
    </w:p>
    <w:p w:rsidR="00CB05AB" w:rsidRPr="00DC1C42" w:rsidRDefault="00CB05AB" w:rsidP="00757165">
      <w:pPr>
        <w:ind w:left="1440"/>
        <w:rPr>
          <w:rFonts w:ascii="Calibri" w:hAnsi="Calibri" w:cs="Arial"/>
          <w:sz w:val="20"/>
          <w:szCs w:val="20"/>
        </w:rPr>
      </w:pPr>
    </w:p>
    <w:p w:rsidR="008E3504" w:rsidRDefault="008E3504" w:rsidP="00511F30">
      <w:pPr>
        <w:rPr>
          <w:rFonts w:ascii="Calibri" w:hAnsi="Calibri"/>
          <w:b/>
          <w:sz w:val="20"/>
          <w:szCs w:val="20"/>
        </w:rPr>
      </w:pPr>
    </w:p>
    <w:p w:rsidR="00DF1213" w:rsidRDefault="00DF1213" w:rsidP="00511F30">
      <w:pPr>
        <w:rPr>
          <w:rFonts w:ascii="Calibri" w:hAnsi="Calibri"/>
          <w:b/>
          <w:sz w:val="20"/>
          <w:szCs w:val="20"/>
        </w:rPr>
      </w:pPr>
    </w:p>
    <w:p w:rsidR="00DF1213" w:rsidRDefault="00DF1213" w:rsidP="00511F30">
      <w:pPr>
        <w:rPr>
          <w:rFonts w:ascii="Calibri" w:hAnsi="Calibri"/>
          <w:b/>
          <w:sz w:val="20"/>
          <w:szCs w:val="20"/>
        </w:rPr>
      </w:pPr>
    </w:p>
    <w:p w:rsidR="00DF1213" w:rsidRDefault="00DF1213" w:rsidP="00511F30">
      <w:pPr>
        <w:rPr>
          <w:rFonts w:ascii="Calibri" w:hAnsi="Calibri"/>
          <w:b/>
          <w:sz w:val="20"/>
          <w:szCs w:val="20"/>
        </w:rPr>
      </w:pPr>
    </w:p>
    <w:p w:rsidR="004551F0" w:rsidRDefault="004551F0" w:rsidP="00511F30">
      <w:pPr>
        <w:rPr>
          <w:rFonts w:ascii="Calibri" w:hAnsi="Calibri"/>
          <w:b/>
          <w:sz w:val="20"/>
          <w:szCs w:val="20"/>
        </w:rPr>
      </w:pPr>
    </w:p>
    <w:p w:rsidR="004551F0" w:rsidRDefault="004551F0" w:rsidP="00511F30">
      <w:pPr>
        <w:rPr>
          <w:rFonts w:ascii="Calibri" w:hAnsi="Calibri"/>
          <w:b/>
          <w:sz w:val="20"/>
          <w:szCs w:val="20"/>
        </w:rPr>
      </w:pPr>
    </w:p>
    <w:p w:rsidR="004551F0" w:rsidRDefault="004551F0" w:rsidP="00511F30">
      <w:pPr>
        <w:rPr>
          <w:rFonts w:ascii="Calibri" w:hAnsi="Calibri"/>
          <w:b/>
          <w:sz w:val="20"/>
          <w:szCs w:val="20"/>
        </w:rPr>
      </w:pPr>
    </w:p>
    <w:p w:rsidR="004551F0" w:rsidRDefault="004551F0" w:rsidP="00511F30">
      <w:pPr>
        <w:rPr>
          <w:rFonts w:ascii="Calibri" w:hAnsi="Calibri"/>
          <w:b/>
          <w:sz w:val="20"/>
          <w:szCs w:val="20"/>
        </w:rPr>
      </w:pPr>
    </w:p>
    <w:p w:rsidR="004551F0" w:rsidRDefault="004551F0" w:rsidP="00511F30">
      <w:pPr>
        <w:rPr>
          <w:rFonts w:ascii="Calibri" w:hAnsi="Calibri"/>
          <w:b/>
          <w:sz w:val="20"/>
          <w:szCs w:val="20"/>
        </w:rPr>
      </w:pPr>
    </w:p>
    <w:p w:rsidR="00B26A7D" w:rsidRPr="00DC1C42" w:rsidRDefault="00CB05AB" w:rsidP="00511F30">
      <w:pPr>
        <w:rPr>
          <w:rFonts w:ascii="Calibri" w:hAnsi="Calibri"/>
          <w:b/>
          <w:sz w:val="20"/>
          <w:szCs w:val="20"/>
        </w:rPr>
      </w:pPr>
      <w:r w:rsidRPr="00DC1C42">
        <w:rPr>
          <w:rFonts w:ascii="Calibri" w:hAnsi="Calibri"/>
          <w:b/>
          <w:sz w:val="20"/>
          <w:szCs w:val="20"/>
        </w:rPr>
        <w:lastRenderedPageBreak/>
        <w:t>References:</w:t>
      </w:r>
      <w:r w:rsidR="00B26A7D" w:rsidRPr="00DC1C42">
        <w:rPr>
          <w:rFonts w:ascii="Calibri" w:hAnsi="Calibri"/>
          <w:sz w:val="20"/>
          <w:szCs w:val="20"/>
        </w:rPr>
        <w:tab/>
      </w:r>
    </w:p>
    <w:p w:rsidR="00B61851" w:rsidRPr="00DC1C42" w:rsidRDefault="00B61851" w:rsidP="00B61851">
      <w:pPr>
        <w:rPr>
          <w:rFonts w:ascii="Calibri" w:hAnsi="Calibri"/>
          <w:sz w:val="20"/>
          <w:szCs w:val="20"/>
        </w:rPr>
      </w:pPr>
    </w:p>
    <w:p w:rsidR="00722BD8" w:rsidRDefault="00C73B7B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Yu H, </w:t>
      </w:r>
      <w:proofErr w:type="spellStart"/>
      <w:r>
        <w:rPr>
          <w:rFonts w:ascii="Calibri" w:hAnsi="Calibri"/>
          <w:sz w:val="20"/>
          <w:szCs w:val="20"/>
        </w:rPr>
        <w:t>Wier</w:t>
      </w:r>
      <w:proofErr w:type="spellEnd"/>
      <w:r>
        <w:rPr>
          <w:rFonts w:ascii="Calibri" w:hAnsi="Calibri"/>
          <w:sz w:val="20"/>
          <w:szCs w:val="20"/>
        </w:rPr>
        <w:t xml:space="preserve"> LM, </w:t>
      </w:r>
      <w:proofErr w:type="spellStart"/>
      <w:r>
        <w:rPr>
          <w:rFonts w:ascii="Calibri" w:hAnsi="Calibri"/>
          <w:sz w:val="20"/>
          <w:szCs w:val="20"/>
        </w:rPr>
        <w:t>Elixhauser</w:t>
      </w:r>
      <w:proofErr w:type="spellEnd"/>
      <w:r>
        <w:rPr>
          <w:rFonts w:ascii="Calibri" w:hAnsi="Calibri"/>
          <w:sz w:val="20"/>
          <w:szCs w:val="20"/>
        </w:rPr>
        <w:t xml:space="preserve"> A. Hospital Stays for Children, 2009. HCUP Statistical Brief #118. August 2011. Rockville (MD): Agency for Healthcare Research and Quality.</w:t>
      </w:r>
    </w:p>
    <w:p w:rsidR="0085484B" w:rsidRDefault="00437AA7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Global Initiative for Asthma (GINA). 2014. Global Strategy for Asthma Management and Prevention. Available from www.ginasthma.org</w:t>
      </w:r>
    </w:p>
    <w:p w:rsidR="0085484B" w:rsidRDefault="00437AA7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National Asthma Prevention Program. Expert Panel Report III: Guidelines for the Diagnosis and Management of Asthma. NIH Publication 08-4051. Bethesda, MD: National Heart, Lung, and Blood Institute 2007</w:t>
      </w:r>
    </w:p>
    <w:p w:rsidR="0085484B" w:rsidRDefault="00437AA7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Carroll CL, </w:t>
      </w:r>
      <w:proofErr w:type="spellStart"/>
      <w:r>
        <w:rPr>
          <w:rFonts w:ascii="Calibri" w:hAnsi="Calibri"/>
          <w:sz w:val="20"/>
          <w:szCs w:val="20"/>
        </w:rPr>
        <w:t>Sala</w:t>
      </w:r>
      <w:proofErr w:type="spellEnd"/>
      <w:r>
        <w:rPr>
          <w:rFonts w:ascii="Calibri" w:hAnsi="Calibri"/>
          <w:sz w:val="20"/>
          <w:szCs w:val="20"/>
        </w:rPr>
        <w:t xml:space="preserve"> KA. Pediatric status </w:t>
      </w:r>
      <w:proofErr w:type="spellStart"/>
      <w:r w:rsidR="007500A1">
        <w:rPr>
          <w:rFonts w:ascii="Calibri" w:hAnsi="Calibri"/>
          <w:sz w:val="20"/>
          <w:szCs w:val="20"/>
        </w:rPr>
        <w:t>asthmaticus</w:t>
      </w:r>
      <w:proofErr w:type="spellEnd"/>
      <w:r w:rsidR="007500A1">
        <w:rPr>
          <w:rFonts w:ascii="Calibri" w:hAnsi="Calibri"/>
          <w:sz w:val="20"/>
          <w:szCs w:val="20"/>
        </w:rPr>
        <w:t xml:space="preserve">. </w:t>
      </w:r>
      <w:proofErr w:type="spellStart"/>
      <w:r w:rsidR="007500A1">
        <w:rPr>
          <w:rFonts w:ascii="Calibri" w:hAnsi="Calibri"/>
          <w:sz w:val="20"/>
          <w:szCs w:val="20"/>
        </w:rPr>
        <w:t>Crit</w:t>
      </w:r>
      <w:proofErr w:type="spellEnd"/>
      <w:r w:rsidR="007500A1">
        <w:rPr>
          <w:rFonts w:ascii="Calibri" w:hAnsi="Calibri"/>
          <w:sz w:val="20"/>
          <w:szCs w:val="20"/>
        </w:rPr>
        <w:t xml:space="preserve"> Care </w:t>
      </w:r>
      <w:proofErr w:type="spellStart"/>
      <w:r w:rsidR="007500A1">
        <w:rPr>
          <w:rFonts w:ascii="Calibri" w:hAnsi="Calibri"/>
          <w:sz w:val="20"/>
          <w:szCs w:val="20"/>
        </w:rPr>
        <w:t>Clin</w:t>
      </w:r>
      <w:proofErr w:type="spellEnd"/>
      <w:r w:rsidR="007500A1">
        <w:rPr>
          <w:rFonts w:ascii="Calibri" w:hAnsi="Calibri"/>
          <w:sz w:val="20"/>
          <w:szCs w:val="20"/>
        </w:rPr>
        <w:t xml:space="preserve"> 2013; 29: 153-166.</w:t>
      </w:r>
    </w:p>
    <w:p w:rsidR="0085484B" w:rsidRDefault="0085484B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Altamimi</w:t>
      </w:r>
      <w:proofErr w:type="spellEnd"/>
      <w:r>
        <w:rPr>
          <w:rFonts w:ascii="Calibri" w:hAnsi="Calibri"/>
          <w:sz w:val="20"/>
          <w:szCs w:val="20"/>
        </w:rPr>
        <w:t xml:space="preserve"> S, Robertson G, </w:t>
      </w:r>
      <w:proofErr w:type="spellStart"/>
      <w:r>
        <w:rPr>
          <w:rFonts w:ascii="Calibri" w:hAnsi="Calibri"/>
          <w:sz w:val="20"/>
          <w:szCs w:val="20"/>
        </w:rPr>
        <w:t>Jastaniah</w:t>
      </w:r>
      <w:proofErr w:type="spellEnd"/>
      <w:r>
        <w:rPr>
          <w:rFonts w:ascii="Calibri" w:hAnsi="Calibri"/>
          <w:sz w:val="20"/>
          <w:szCs w:val="20"/>
        </w:rPr>
        <w:t xml:space="preserve"> W, et al. Single-dose oral dexamethasone in the emergency management of children with exacerbations of mild to moderate asthma. </w:t>
      </w:r>
      <w:proofErr w:type="spellStart"/>
      <w:r>
        <w:rPr>
          <w:rFonts w:ascii="Calibri" w:hAnsi="Calibri"/>
          <w:sz w:val="20"/>
          <w:szCs w:val="20"/>
        </w:rPr>
        <w:t>Pediatr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Emerg</w:t>
      </w:r>
      <w:proofErr w:type="spellEnd"/>
      <w:r>
        <w:rPr>
          <w:rFonts w:ascii="Calibri" w:hAnsi="Calibri"/>
          <w:sz w:val="20"/>
          <w:szCs w:val="20"/>
        </w:rPr>
        <w:t xml:space="preserve"> Care. 2006; 22: 786-793</w:t>
      </w:r>
    </w:p>
    <w:p w:rsidR="0085484B" w:rsidRDefault="0085484B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Gordon S, Tompkins T, Dayan PS. Randomized trial of single-dose intramuscular dexamethasone compared with prednisolone for children with acute asthma. </w:t>
      </w:r>
      <w:proofErr w:type="spellStart"/>
      <w:r>
        <w:rPr>
          <w:rFonts w:ascii="Calibri" w:hAnsi="Calibri"/>
          <w:sz w:val="20"/>
          <w:szCs w:val="20"/>
        </w:rPr>
        <w:t>Pediat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Emerg</w:t>
      </w:r>
      <w:proofErr w:type="spellEnd"/>
      <w:r>
        <w:rPr>
          <w:rFonts w:ascii="Calibri" w:hAnsi="Calibri"/>
          <w:sz w:val="20"/>
          <w:szCs w:val="20"/>
        </w:rPr>
        <w:t xml:space="preserve"> Care. 2007; 23: 521-527.</w:t>
      </w:r>
    </w:p>
    <w:p w:rsidR="0085484B" w:rsidRDefault="0085484B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Gries</w:t>
      </w:r>
      <w:proofErr w:type="spellEnd"/>
      <w:r>
        <w:rPr>
          <w:rFonts w:ascii="Calibri" w:hAnsi="Calibri"/>
          <w:sz w:val="20"/>
          <w:szCs w:val="20"/>
        </w:rPr>
        <w:t xml:space="preserve"> DM, Moffitt DR, </w:t>
      </w:r>
      <w:proofErr w:type="spellStart"/>
      <w:r>
        <w:rPr>
          <w:rFonts w:ascii="Calibri" w:hAnsi="Calibri"/>
          <w:sz w:val="20"/>
          <w:szCs w:val="20"/>
        </w:rPr>
        <w:t>Pulos</w:t>
      </w:r>
      <w:proofErr w:type="spellEnd"/>
      <w:r>
        <w:rPr>
          <w:rFonts w:ascii="Calibri" w:hAnsi="Calibri"/>
          <w:sz w:val="20"/>
          <w:szCs w:val="20"/>
        </w:rPr>
        <w:t xml:space="preserve"> E, et al. A single dose of intramuscularly administered dexamethasone acetate is as effective as oral prednisone to treat asthma exacerbations in young children. J </w:t>
      </w:r>
      <w:proofErr w:type="spellStart"/>
      <w:r>
        <w:rPr>
          <w:rFonts w:ascii="Calibri" w:hAnsi="Calibri"/>
          <w:sz w:val="20"/>
          <w:szCs w:val="20"/>
        </w:rPr>
        <w:t>Pediatr</w:t>
      </w:r>
      <w:proofErr w:type="spellEnd"/>
      <w:r>
        <w:rPr>
          <w:rFonts w:ascii="Calibri" w:hAnsi="Calibri"/>
          <w:sz w:val="20"/>
          <w:szCs w:val="20"/>
        </w:rPr>
        <w:t>. 2000; 136: 298-303.</w:t>
      </w:r>
    </w:p>
    <w:p w:rsidR="0085484B" w:rsidRDefault="003A0E33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Keeney GE, Gray MP, Morrison AK, et al. Dexamethasone for acute asthma exacerbations in children: a meta-analysis. Pediatrics 2014; 133: 493-499.</w:t>
      </w:r>
    </w:p>
    <w:p w:rsidR="003A0E33" w:rsidRDefault="003A0E33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Klig</w:t>
      </w:r>
      <w:proofErr w:type="spellEnd"/>
      <w:r>
        <w:rPr>
          <w:rFonts w:ascii="Calibri" w:hAnsi="Calibri"/>
          <w:sz w:val="20"/>
          <w:szCs w:val="20"/>
        </w:rPr>
        <w:t xml:space="preserve"> JE, Hodge D, Rutherford MW. Symptomatic improvement following emergency department management of asthma: a pilot study of intramuscula</w:t>
      </w:r>
      <w:r w:rsidR="00A130E5">
        <w:rPr>
          <w:rFonts w:ascii="Calibri" w:hAnsi="Calibri"/>
          <w:sz w:val="20"/>
          <w:szCs w:val="20"/>
        </w:rPr>
        <w:t>r dexamethasone versus oral pred</w:t>
      </w:r>
      <w:r>
        <w:rPr>
          <w:rFonts w:ascii="Calibri" w:hAnsi="Calibri"/>
          <w:sz w:val="20"/>
          <w:szCs w:val="20"/>
        </w:rPr>
        <w:t>nisone. J Asthma. 1997; 34: 419-425.</w:t>
      </w:r>
    </w:p>
    <w:p w:rsidR="003A0E33" w:rsidRDefault="003A0E33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Qureshi</w:t>
      </w:r>
      <w:proofErr w:type="spellEnd"/>
      <w:r>
        <w:rPr>
          <w:rFonts w:ascii="Calibri" w:hAnsi="Calibri"/>
          <w:sz w:val="20"/>
          <w:szCs w:val="20"/>
        </w:rPr>
        <w:t xml:space="preserve"> F, </w:t>
      </w:r>
      <w:proofErr w:type="spellStart"/>
      <w:r>
        <w:rPr>
          <w:rFonts w:ascii="Calibri" w:hAnsi="Calibri"/>
          <w:sz w:val="20"/>
          <w:szCs w:val="20"/>
        </w:rPr>
        <w:t>Zaritsky</w:t>
      </w:r>
      <w:proofErr w:type="spellEnd"/>
      <w:r>
        <w:rPr>
          <w:rFonts w:ascii="Calibri" w:hAnsi="Calibri"/>
          <w:sz w:val="20"/>
          <w:szCs w:val="20"/>
        </w:rPr>
        <w:t xml:space="preserve"> A, Poirier MP. Comparative efficacy of oral dexamethasone versus oral prednisone in acute pediatric asthma. J </w:t>
      </w:r>
      <w:proofErr w:type="spellStart"/>
      <w:r>
        <w:rPr>
          <w:rFonts w:ascii="Calibri" w:hAnsi="Calibri"/>
          <w:sz w:val="20"/>
          <w:szCs w:val="20"/>
        </w:rPr>
        <w:t>Pediatr</w:t>
      </w:r>
      <w:proofErr w:type="spellEnd"/>
      <w:r>
        <w:rPr>
          <w:rFonts w:ascii="Calibri" w:hAnsi="Calibri"/>
          <w:sz w:val="20"/>
          <w:szCs w:val="20"/>
        </w:rPr>
        <w:t>. 2001; 139: 20-26.</w:t>
      </w:r>
    </w:p>
    <w:p w:rsidR="003A0E33" w:rsidRDefault="003A0E33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Scarfone</w:t>
      </w:r>
      <w:proofErr w:type="spellEnd"/>
      <w:r>
        <w:rPr>
          <w:rFonts w:ascii="Calibri" w:hAnsi="Calibri"/>
          <w:sz w:val="20"/>
          <w:szCs w:val="20"/>
        </w:rPr>
        <w:t xml:space="preserve"> RJ, </w:t>
      </w:r>
      <w:proofErr w:type="spellStart"/>
      <w:r>
        <w:rPr>
          <w:rFonts w:ascii="Calibri" w:hAnsi="Calibri"/>
          <w:sz w:val="20"/>
          <w:szCs w:val="20"/>
        </w:rPr>
        <w:t>Loiselle</w:t>
      </w:r>
      <w:proofErr w:type="spellEnd"/>
      <w:r>
        <w:rPr>
          <w:rFonts w:ascii="Calibri" w:hAnsi="Calibri"/>
          <w:sz w:val="20"/>
          <w:szCs w:val="20"/>
        </w:rPr>
        <w:t xml:space="preserve"> JM, Wiley JF, et al. Nebulized dexamethasone versus oral prednisone in the emergency treatment of asthmatic children. Ann </w:t>
      </w:r>
      <w:proofErr w:type="spellStart"/>
      <w:r>
        <w:rPr>
          <w:rFonts w:ascii="Calibri" w:hAnsi="Calibri"/>
          <w:sz w:val="20"/>
          <w:szCs w:val="20"/>
        </w:rPr>
        <w:t>Emerg</w:t>
      </w:r>
      <w:proofErr w:type="spellEnd"/>
      <w:r>
        <w:rPr>
          <w:rFonts w:ascii="Calibri" w:hAnsi="Calibri"/>
          <w:sz w:val="20"/>
          <w:szCs w:val="20"/>
        </w:rPr>
        <w:t xml:space="preserve"> Med. 1995; 26: 480-486.</w:t>
      </w:r>
    </w:p>
    <w:p w:rsidR="003A0E33" w:rsidRDefault="003A0E33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Greenberg RA, </w:t>
      </w:r>
      <w:proofErr w:type="spellStart"/>
      <w:r>
        <w:rPr>
          <w:rFonts w:ascii="Calibri" w:hAnsi="Calibri"/>
          <w:sz w:val="20"/>
          <w:szCs w:val="20"/>
        </w:rPr>
        <w:t>Kerby</w:t>
      </w:r>
      <w:proofErr w:type="spellEnd"/>
      <w:r>
        <w:rPr>
          <w:rFonts w:ascii="Calibri" w:hAnsi="Calibri"/>
          <w:sz w:val="20"/>
          <w:szCs w:val="20"/>
        </w:rPr>
        <w:t xml:space="preserve"> G, Roosevelt GE. A comparison of oral dexamethasone with oral prednisone in pediatric asthma exacerbations treated in the emergency department. </w:t>
      </w:r>
      <w:proofErr w:type="spellStart"/>
      <w:r>
        <w:rPr>
          <w:rFonts w:ascii="Calibri" w:hAnsi="Calibri"/>
          <w:sz w:val="20"/>
          <w:szCs w:val="20"/>
        </w:rPr>
        <w:t>Clin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Pediatr</w:t>
      </w:r>
      <w:proofErr w:type="spellEnd"/>
      <w:r>
        <w:rPr>
          <w:rFonts w:ascii="Calibri" w:hAnsi="Calibri"/>
          <w:sz w:val="20"/>
          <w:szCs w:val="20"/>
        </w:rPr>
        <w:t>. 2008; 47: 817-823</w:t>
      </w:r>
    </w:p>
    <w:p w:rsidR="007500A1" w:rsidRPr="0085484B" w:rsidRDefault="007500A1" w:rsidP="00A05F2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Cronin JJ, McCoy S, Kennedy U, et al. A randomized trial of single-dose oral dexamethasone versus </w:t>
      </w:r>
      <w:proofErr w:type="spellStart"/>
      <w:r>
        <w:rPr>
          <w:rFonts w:ascii="Calibri" w:hAnsi="Calibri"/>
          <w:sz w:val="20"/>
          <w:szCs w:val="20"/>
        </w:rPr>
        <w:t>multidose</w:t>
      </w:r>
      <w:proofErr w:type="spellEnd"/>
      <w:r>
        <w:rPr>
          <w:rFonts w:ascii="Calibri" w:hAnsi="Calibri"/>
          <w:sz w:val="20"/>
          <w:szCs w:val="20"/>
        </w:rPr>
        <w:t xml:space="preserve"> prednisolone for acute exacerbations of asthma in children who attend the emergency department. Ann </w:t>
      </w:r>
      <w:proofErr w:type="spellStart"/>
      <w:r>
        <w:rPr>
          <w:rFonts w:ascii="Calibri" w:hAnsi="Calibri"/>
          <w:sz w:val="20"/>
          <w:szCs w:val="20"/>
        </w:rPr>
        <w:t>Emerg</w:t>
      </w:r>
      <w:proofErr w:type="spellEnd"/>
      <w:r>
        <w:rPr>
          <w:rFonts w:ascii="Calibri" w:hAnsi="Calibri"/>
          <w:sz w:val="20"/>
          <w:szCs w:val="20"/>
        </w:rPr>
        <w:t xml:space="preserve"> Med. 2015; </w:t>
      </w:r>
      <w:r w:rsidR="006C28D3">
        <w:rPr>
          <w:rFonts w:ascii="Calibri" w:hAnsi="Calibri"/>
          <w:sz w:val="20"/>
          <w:szCs w:val="20"/>
        </w:rPr>
        <w:t>66: 1-9</w:t>
      </w:r>
    </w:p>
    <w:p w:rsidR="00722BD8" w:rsidRDefault="00722BD8" w:rsidP="00A05F2C">
      <w:pPr>
        <w:rPr>
          <w:rFonts w:ascii="Calibri" w:hAnsi="Calibri"/>
          <w:sz w:val="20"/>
          <w:szCs w:val="20"/>
        </w:rPr>
      </w:pPr>
    </w:p>
    <w:p w:rsidR="00722BD8" w:rsidRDefault="00722BD8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4551F0" w:rsidRDefault="004551F0" w:rsidP="00A05F2C">
      <w:pPr>
        <w:rPr>
          <w:rStyle w:val="Strong"/>
        </w:rPr>
      </w:pPr>
    </w:p>
    <w:p w:rsidR="004551F0" w:rsidRDefault="004551F0" w:rsidP="00A05F2C">
      <w:pPr>
        <w:rPr>
          <w:rStyle w:val="Strong"/>
        </w:rPr>
      </w:pPr>
    </w:p>
    <w:p w:rsidR="00722BD8" w:rsidRPr="00DA63D4" w:rsidRDefault="002074C7" w:rsidP="00A05F2C">
      <w:pPr>
        <w:rPr>
          <w:rStyle w:val="Strong"/>
        </w:rPr>
      </w:pPr>
      <w:r w:rsidRPr="00DA63D4">
        <w:rPr>
          <w:rStyle w:val="Strong"/>
        </w:rPr>
        <w:lastRenderedPageBreak/>
        <w:t>Appendix 1</w:t>
      </w:r>
    </w:p>
    <w:p w:rsidR="002074C7" w:rsidRDefault="002074C7" w:rsidP="00A05F2C">
      <w:pPr>
        <w:rPr>
          <w:rFonts w:ascii="Calibri" w:hAnsi="Calibri"/>
          <w:sz w:val="20"/>
          <w:szCs w:val="20"/>
        </w:rPr>
      </w:pPr>
    </w:p>
    <w:tbl>
      <w:tblPr>
        <w:tblStyle w:val="TableElegant"/>
        <w:tblW w:w="10008" w:type="dxa"/>
        <w:tblLook w:val="04A0" w:firstRow="1" w:lastRow="0" w:firstColumn="1" w:lastColumn="0" w:noHBand="0" w:noVBand="1"/>
      </w:tblPr>
      <w:tblGrid>
        <w:gridCol w:w="1152"/>
        <w:gridCol w:w="3886"/>
        <w:gridCol w:w="3886"/>
        <w:gridCol w:w="1193"/>
      </w:tblGrid>
      <w:tr w:rsidR="00DA63D4" w:rsidTr="00DA6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2074C7" w:rsidRDefault="002074C7" w:rsidP="00A05F2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86" w:type="dxa"/>
          </w:tcPr>
          <w:p w:rsidR="002074C7" w:rsidRDefault="002074C7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Pre-Assessment Score</w:t>
            </w:r>
          </w:p>
        </w:tc>
        <w:tc>
          <w:tcPr>
            <w:tcW w:w="2769" w:type="dxa"/>
          </w:tcPr>
          <w:p w:rsidR="002074C7" w:rsidRDefault="002074C7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Post-Assessment Score</w:t>
            </w:r>
          </w:p>
        </w:tc>
        <w:tc>
          <w:tcPr>
            <w:tcW w:w="1800" w:type="dxa"/>
          </w:tcPr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Score</w:t>
            </w:r>
          </w:p>
        </w:tc>
      </w:tr>
      <w:tr w:rsidR="00DA63D4" w:rsidTr="00DA63D4">
        <w:tc>
          <w:tcPr>
            <w:tcW w:w="1553" w:type="dxa"/>
          </w:tcPr>
          <w:p w:rsidR="002074C7" w:rsidRDefault="002074C7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Respiratory Rate</w:t>
            </w:r>
          </w:p>
        </w:tc>
        <w:tc>
          <w:tcPr>
            <w:tcW w:w="3886" w:type="dxa"/>
          </w:tcPr>
          <w:p w:rsidR="002074C7" w:rsidRDefault="002074C7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Normal or </w:t>
            </w:r>
          </w:p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Above Tachypnea T</w:t>
            </w:r>
            <w:r w:rsidR="002074C7">
              <w:rPr>
                <w:rFonts w:ascii="Calibri" w:hAnsi="Calibri"/>
                <w:sz w:val="20"/>
                <w:szCs w:val="20"/>
              </w:rPr>
              <w:t>hreshold</w:t>
            </w:r>
          </w:p>
        </w:tc>
        <w:tc>
          <w:tcPr>
            <w:tcW w:w="2769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Normal or </w:t>
            </w:r>
          </w:p>
          <w:p w:rsidR="002074C7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Above Tachypnea Threshold</w:t>
            </w:r>
          </w:p>
        </w:tc>
        <w:tc>
          <w:tcPr>
            <w:tcW w:w="1800" w:type="dxa"/>
          </w:tcPr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0-Normal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1-Above tachypnea threshold (RR&gt;40: 1-5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yo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RR&gt;30: &gt;5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yo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DA63D4" w:rsidTr="00DA63D4">
        <w:tc>
          <w:tcPr>
            <w:tcW w:w="1553" w:type="dxa"/>
          </w:tcPr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Accessory Muscles</w:t>
            </w:r>
          </w:p>
        </w:tc>
        <w:tc>
          <w:tcPr>
            <w:tcW w:w="3886" w:type="dxa"/>
          </w:tcPr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 or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Retractions/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Substernal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/Subcostal/Intercostal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Neck or Abdominal Muscles</w:t>
            </w:r>
          </w:p>
        </w:tc>
        <w:tc>
          <w:tcPr>
            <w:tcW w:w="2769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 or</w:t>
            </w:r>
          </w:p>
          <w:p w:rsidR="002074C7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Retractions/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Substernal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/Subcostal/Intercostal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Neck or Abdominal Muscles</w:t>
            </w:r>
          </w:p>
        </w:tc>
        <w:tc>
          <w:tcPr>
            <w:tcW w:w="1800" w:type="dxa"/>
          </w:tcPr>
          <w:p w:rsidR="002074C7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0-Normal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1: Retractions,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Substernal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Subcostal, Intercostal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2-Neck or Abdominal Muscles</w:t>
            </w:r>
          </w:p>
        </w:tc>
      </w:tr>
      <w:tr w:rsidR="00DA63D4" w:rsidTr="00DA63D4">
        <w:tc>
          <w:tcPr>
            <w:tcW w:w="1553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Air Exchange</w:t>
            </w:r>
          </w:p>
        </w:tc>
        <w:tc>
          <w:tcPr>
            <w:tcW w:w="3886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 or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Localized Decreased or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Multi Areas Decreased </w:t>
            </w:r>
          </w:p>
        </w:tc>
        <w:tc>
          <w:tcPr>
            <w:tcW w:w="2769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Normal or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Localized Decreased or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Multi Areas Decreased</w:t>
            </w:r>
          </w:p>
        </w:tc>
        <w:tc>
          <w:tcPr>
            <w:tcW w:w="1800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0-Normal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1: Localized Decreased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2: Multi Areas Decreased</w:t>
            </w:r>
          </w:p>
        </w:tc>
      </w:tr>
      <w:tr w:rsidR="00DA63D4" w:rsidTr="00DA63D4">
        <w:tc>
          <w:tcPr>
            <w:tcW w:w="1553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Wheezes</w:t>
            </w:r>
          </w:p>
        </w:tc>
        <w:tc>
          <w:tcPr>
            <w:tcW w:w="3886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None/End Expiratory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Entire Expiratory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Entire Expiratory and Inhalation </w:t>
            </w:r>
          </w:p>
        </w:tc>
        <w:tc>
          <w:tcPr>
            <w:tcW w:w="2769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None/End Expiratory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Entire Expiratory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Entire Expiratory and Inhalation</w:t>
            </w:r>
          </w:p>
        </w:tc>
        <w:tc>
          <w:tcPr>
            <w:tcW w:w="1800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0: None/End Expiratory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1: Entire Expiratory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2: Entire Expiratory and Inhalation</w:t>
            </w:r>
          </w:p>
        </w:tc>
      </w:tr>
      <w:tr w:rsidR="00DA63D4" w:rsidTr="00DA63D4">
        <w:tc>
          <w:tcPr>
            <w:tcW w:w="1553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Room Air Oxygen Saturation</w:t>
            </w:r>
          </w:p>
        </w:tc>
        <w:tc>
          <w:tcPr>
            <w:tcW w:w="3886" w:type="dxa"/>
          </w:tcPr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≥90%</w:t>
            </w:r>
          </w:p>
          <w:p w:rsidR="00DA63D4" w:rsidRDefault="00DA63D4" w:rsidP="00A05F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&lt;90%</w:t>
            </w:r>
          </w:p>
        </w:tc>
        <w:tc>
          <w:tcPr>
            <w:tcW w:w="2769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≥90%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&lt;90%</w:t>
            </w:r>
          </w:p>
        </w:tc>
        <w:tc>
          <w:tcPr>
            <w:tcW w:w="1800" w:type="dxa"/>
          </w:tcPr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0: ≥90%</w:t>
            </w:r>
          </w:p>
          <w:p w:rsidR="00DA63D4" w:rsidRDefault="00DA63D4" w:rsidP="00DA63D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1: &lt;90%</w:t>
            </w:r>
          </w:p>
        </w:tc>
      </w:tr>
    </w:tbl>
    <w:p w:rsidR="002074C7" w:rsidRDefault="002074C7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Pre-Asthma Assessment Score:</w:t>
      </w:r>
    </w:p>
    <w:p w:rsidR="00DA63D4" w:rsidRDefault="00DA63D4" w:rsidP="00A05F2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Post Treatment Score:</w:t>
      </w:r>
    </w:p>
    <w:p w:rsidR="00DA63D4" w:rsidRDefault="00DA63D4" w:rsidP="00A05F2C">
      <w:pPr>
        <w:rPr>
          <w:rFonts w:ascii="Calibri" w:hAnsi="Calibri"/>
          <w:sz w:val="20"/>
          <w:szCs w:val="20"/>
        </w:rPr>
      </w:pPr>
    </w:p>
    <w:p w:rsidR="00DA63D4" w:rsidRDefault="00DA63D4" w:rsidP="00A05F2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Treatment Recommendation: Nebulizer treatment or metered dose inhaler treatment </w:t>
      </w:r>
    </w:p>
    <w:sectPr w:rsidR="00DA63D4" w:rsidSect="0023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BC7"/>
    <w:multiLevelType w:val="hybridMultilevel"/>
    <w:tmpl w:val="EEFAA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8F14C4"/>
    <w:multiLevelType w:val="hybridMultilevel"/>
    <w:tmpl w:val="034A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6116B"/>
    <w:multiLevelType w:val="hybridMultilevel"/>
    <w:tmpl w:val="CEE02002"/>
    <w:lvl w:ilvl="0" w:tplc="BD04CA26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CE51C7"/>
    <w:multiLevelType w:val="hybridMultilevel"/>
    <w:tmpl w:val="1A9EA8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546496"/>
    <w:multiLevelType w:val="hybridMultilevel"/>
    <w:tmpl w:val="2AB4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18C5"/>
    <w:multiLevelType w:val="multilevel"/>
    <w:tmpl w:val="9A58A4AE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1211D5F"/>
    <w:multiLevelType w:val="hybridMultilevel"/>
    <w:tmpl w:val="D5C6C2F8"/>
    <w:lvl w:ilvl="0" w:tplc="DF08BC4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21876C87"/>
    <w:multiLevelType w:val="hybridMultilevel"/>
    <w:tmpl w:val="65CC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93266"/>
    <w:multiLevelType w:val="hybridMultilevel"/>
    <w:tmpl w:val="77080A2E"/>
    <w:lvl w:ilvl="0" w:tplc="939A035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>
    <w:nsid w:val="26C05121"/>
    <w:multiLevelType w:val="hybridMultilevel"/>
    <w:tmpl w:val="14C0580E"/>
    <w:lvl w:ilvl="0" w:tplc="9D16E8B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27E52863"/>
    <w:multiLevelType w:val="hybridMultilevel"/>
    <w:tmpl w:val="8AD0E458"/>
    <w:lvl w:ilvl="0" w:tplc="8EC81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ED5CA2"/>
    <w:multiLevelType w:val="hybridMultilevel"/>
    <w:tmpl w:val="E66C552C"/>
    <w:lvl w:ilvl="0" w:tplc="E9564E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AA77430"/>
    <w:multiLevelType w:val="hybridMultilevel"/>
    <w:tmpl w:val="DD7A18B0"/>
    <w:lvl w:ilvl="0" w:tplc="1ECCEA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235CA"/>
    <w:multiLevelType w:val="hybridMultilevel"/>
    <w:tmpl w:val="13A4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01B8A"/>
    <w:multiLevelType w:val="hybridMultilevel"/>
    <w:tmpl w:val="88A8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D5B2C"/>
    <w:multiLevelType w:val="hybridMultilevel"/>
    <w:tmpl w:val="4BB0357E"/>
    <w:lvl w:ilvl="0" w:tplc="9BE65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15A7699"/>
    <w:multiLevelType w:val="hybridMultilevel"/>
    <w:tmpl w:val="7A4E99E0"/>
    <w:lvl w:ilvl="0" w:tplc="E37EEF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42238BF"/>
    <w:multiLevelType w:val="hybridMultilevel"/>
    <w:tmpl w:val="63145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F233A9F"/>
    <w:multiLevelType w:val="hybridMultilevel"/>
    <w:tmpl w:val="658E9238"/>
    <w:lvl w:ilvl="0" w:tplc="C8F26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18A615A"/>
    <w:multiLevelType w:val="hybridMultilevel"/>
    <w:tmpl w:val="01F43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78D1320"/>
    <w:multiLevelType w:val="hybridMultilevel"/>
    <w:tmpl w:val="C42C618A"/>
    <w:lvl w:ilvl="0" w:tplc="BD04CA26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C128E"/>
    <w:multiLevelType w:val="hybridMultilevel"/>
    <w:tmpl w:val="11C2A2D2"/>
    <w:lvl w:ilvl="0" w:tplc="8464531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98A"/>
    <w:multiLevelType w:val="hybridMultilevel"/>
    <w:tmpl w:val="DAF44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0A4"/>
    <w:multiLevelType w:val="hybridMultilevel"/>
    <w:tmpl w:val="82D6E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E1600"/>
    <w:multiLevelType w:val="hybridMultilevel"/>
    <w:tmpl w:val="8322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13279"/>
    <w:multiLevelType w:val="hybridMultilevel"/>
    <w:tmpl w:val="E4CAB8D2"/>
    <w:lvl w:ilvl="0" w:tplc="B59823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849A1"/>
    <w:multiLevelType w:val="hybridMultilevel"/>
    <w:tmpl w:val="F504389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26"/>
  </w:num>
  <w:num w:numId="6">
    <w:abstractNumId w:val="5"/>
  </w:num>
  <w:num w:numId="7">
    <w:abstractNumId w:val="0"/>
  </w:num>
  <w:num w:numId="8">
    <w:abstractNumId w:val="18"/>
  </w:num>
  <w:num w:numId="9">
    <w:abstractNumId w:val="10"/>
  </w:num>
  <w:num w:numId="10">
    <w:abstractNumId w:val="21"/>
  </w:num>
  <w:num w:numId="11">
    <w:abstractNumId w:val="23"/>
  </w:num>
  <w:num w:numId="12">
    <w:abstractNumId w:val="24"/>
  </w:num>
  <w:num w:numId="13">
    <w:abstractNumId w:val="1"/>
  </w:num>
  <w:num w:numId="14">
    <w:abstractNumId w:val="4"/>
  </w:num>
  <w:num w:numId="15">
    <w:abstractNumId w:val="16"/>
  </w:num>
  <w:num w:numId="16">
    <w:abstractNumId w:val="13"/>
  </w:num>
  <w:num w:numId="17">
    <w:abstractNumId w:val="12"/>
  </w:num>
  <w:num w:numId="18">
    <w:abstractNumId w:val="25"/>
  </w:num>
  <w:num w:numId="19">
    <w:abstractNumId w:val="15"/>
  </w:num>
  <w:num w:numId="20">
    <w:abstractNumId w:val="3"/>
  </w:num>
  <w:num w:numId="21">
    <w:abstractNumId w:val="22"/>
  </w:num>
  <w:num w:numId="22">
    <w:abstractNumId w:val="2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96"/>
    <w:rsid w:val="00004DC6"/>
    <w:rsid w:val="00012C08"/>
    <w:rsid w:val="00037F0C"/>
    <w:rsid w:val="000479CC"/>
    <w:rsid w:val="00052051"/>
    <w:rsid w:val="00053ACA"/>
    <w:rsid w:val="00063327"/>
    <w:rsid w:val="00065CB1"/>
    <w:rsid w:val="00083D70"/>
    <w:rsid w:val="000842C1"/>
    <w:rsid w:val="00086C2E"/>
    <w:rsid w:val="00094ACB"/>
    <w:rsid w:val="00095644"/>
    <w:rsid w:val="000A7EC4"/>
    <w:rsid w:val="000B077C"/>
    <w:rsid w:val="000B3CEA"/>
    <w:rsid w:val="000D52EF"/>
    <w:rsid w:val="000D6A8E"/>
    <w:rsid w:val="000E0B11"/>
    <w:rsid w:val="000E25E0"/>
    <w:rsid w:val="000E30C6"/>
    <w:rsid w:val="000E7373"/>
    <w:rsid w:val="000E74EE"/>
    <w:rsid w:val="000F2752"/>
    <w:rsid w:val="000F43E0"/>
    <w:rsid w:val="001010E1"/>
    <w:rsid w:val="00104803"/>
    <w:rsid w:val="00110CC9"/>
    <w:rsid w:val="0011586F"/>
    <w:rsid w:val="00123344"/>
    <w:rsid w:val="00123EBD"/>
    <w:rsid w:val="00133D4D"/>
    <w:rsid w:val="001341F2"/>
    <w:rsid w:val="0014730C"/>
    <w:rsid w:val="00172CE4"/>
    <w:rsid w:val="001855BF"/>
    <w:rsid w:val="001A29A5"/>
    <w:rsid w:val="001A439C"/>
    <w:rsid w:val="001A6576"/>
    <w:rsid w:val="001A6D63"/>
    <w:rsid w:val="001B6A1C"/>
    <w:rsid w:val="001B7AEC"/>
    <w:rsid w:val="001E0379"/>
    <w:rsid w:val="001E11C7"/>
    <w:rsid w:val="001F4A30"/>
    <w:rsid w:val="00201B92"/>
    <w:rsid w:val="002074C7"/>
    <w:rsid w:val="00214DAE"/>
    <w:rsid w:val="0022018C"/>
    <w:rsid w:val="002316AF"/>
    <w:rsid w:val="00237765"/>
    <w:rsid w:val="0028560E"/>
    <w:rsid w:val="00294207"/>
    <w:rsid w:val="002947D1"/>
    <w:rsid w:val="00294892"/>
    <w:rsid w:val="002A5E66"/>
    <w:rsid w:val="002A5E6C"/>
    <w:rsid w:val="002B1F4B"/>
    <w:rsid w:val="002C1828"/>
    <w:rsid w:val="002E4627"/>
    <w:rsid w:val="002E58C5"/>
    <w:rsid w:val="002F4598"/>
    <w:rsid w:val="0032419E"/>
    <w:rsid w:val="00326C9F"/>
    <w:rsid w:val="003302A6"/>
    <w:rsid w:val="00335940"/>
    <w:rsid w:val="00337AE3"/>
    <w:rsid w:val="00344DEA"/>
    <w:rsid w:val="003471AE"/>
    <w:rsid w:val="003472E7"/>
    <w:rsid w:val="00350664"/>
    <w:rsid w:val="00356BA8"/>
    <w:rsid w:val="00364131"/>
    <w:rsid w:val="0036434C"/>
    <w:rsid w:val="00367B86"/>
    <w:rsid w:val="00382F21"/>
    <w:rsid w:val="00392804"/>
    <w:rsid w:val="00394A79"/>
    <w:rsid w:val="00395161"/>
    <w:rsid w:val="003A0E33"/>
    <w:rsid w:val="003A2217"/>
    <w:rsid w:val="003B1EFE"/>
    <w:rsid w:val="003B4643"/>
    <w:rsid w:val="003B68D6"/>
    <w:rsid w:val="003B7D04"/>
    <w:rsid w:val="003C5B91"/>
    <w:rsid w:val="003D08A9"/>
    <w:rsid w:val="003D363E"/>
    <w:rsid w:val="003E3624"/>
    <w:rsid w:val="003E652C"/>
    <w:rsid w:val="003F1364"/>
    <w:rsid w:val="003F2770"/>
    <w:rsid w:val="00402A9D"/>
    <w:rsid w:val="0041026F"/>
    <w:rsid w:val="0042602D"/>
    <w:rsid w:val="0043530D"/>
    <w:rsid w:val="00437AA7"/>
    <w:rsid w:val="00437B48"/>
    <w:rsid w:val="004423D8"/>
    <w:rsid w:val="0044528B"/>
    <w:rsid w:val="004551F0"/>
    <w:rsid w:val="00460207"/>
    <w:rsid w:val="00471799"/>
    <w:rsid w:val="00472279"/>
    <w:rsid w:val="00473169"/>
    <w:rsid w:val="00473801"/>
    <w:rsid w:val="004741F9"/>
    <w:rsid w:val="00483FB2"/>
    <w:rsid w:val="004842AC"/>
    <w:rsid w:val="0048576C"/>
    <w:rsid w:val="004878C0"/>
    <w:rsid w:val="004961A0"/>
    <w:rsid w:val="0049682D"/>
    <w:rsid w:val="004A76A2"/>
    <w:rsid w:val="004B7E08"/>
    <w:rsid w:val="004D0D82"/>
    <w:rsid w:val="004D4978"/>
    <w:rsid w:val="004E0B11"/>
    <w:rsid w:val="004E0C8B"/>
    <w:rsid w:val="004E0C91"/>
    <w:rsid w:val="004E352A"/>
    <w:rsid w:val="004E7DDD"/>
    <w:rsid w:val="004F4550"/>
    <w:rsid w:val="004F64AE"/>
    <w:rsid w:val="004F7955"/>
    <w:rsid w:val="00504639"/>
    <w:rsid w:val="0050724E"/>
    <w:rsid w:val="00511F30"/>
    <w:rsid w:val="0052512F"/>
    <w:rsid w:val="00526BAA"/>
    <w:rsid w:val="00527EA2"/>
    <w:rsid w:val="0053456F"/>
    <w:rsid w:val="00540408"/>
    <w:rsid w:val="005413BA"/>
    <w:rsid w:val="005423D1"/>
    <w:rsid w:val="005466F6"/>
    <w:rsid w:val="0056539C"/>
    <w:rsid w:val="005823CC"/>
    <w:rsid w:val="005867E0"/>
    <w:rsid w:val="005922C2"/>
    <w:rsid w:val="005A3D43"/>
    <w:rsid w:val="005A4925"/>
    <w:rsid w:val="005D30E8"/>
    <w:rsid w:val="005D48C3"/>
    <w:rsid w:val="005D641A"/>
    <w:rsid w:val="005E3BA5"/>
    <w:rsid w:val="005E775D"/>
    <w:rsid w:val="005F79DC"/>
    <w:rsid w:val="00600202"/>
    <w:rsid w:val="00612B58"/>
    <w:rsid w:val="006146B3"/>
    <w:rsid w:val="0062114A"/>
    <w:rsid w:val="0063583C"/>
    <w:rsid w:val="0064401F"/>
    <w:rsid w:val="0068288F"/>
    <w:rsid w:val="00697AF9"/>
    <w:rsid w:val="00697CE7"/>
    <w:rsid w:val="006A4C3C"/>
    <w:rsid w:val="006A4D65"/>
    <w:rsid w:val="006A6228"/>
    <w:rsid w:val="006B0E95"/>
    <w:rsid w:val="006B447A"/>
    <w:rsid w:val="006B58B6"/>
    <w:rsid w:val="006C037B"/>
    <w:rsid w:val="006C28D3"/>
    <w:rsid w:val="006D5820"/>
    <w:rsid w:val="006D5C9B"/>
    <w:rsid w:val="006D7850"/>
    <w:rsid w:val="006E0BF4"/>
    <w:rsid w:val="006F0C2E"/>
    <w:rsid w:val="006F2BE5"/>
    <w:rsid w:val="00704E08"/>
    <w:rsid w:val="007063DA"/>
    <w:rsid w:val="00720391"/>
    <w:rsid w:val="00722BD8"/>
    <w:rsid w:val="007237F1"/>
    <w:rsid w:val="007257FF"/>
    <w:rsid w:val="0073053A"/>
    <w:rsid w:val="00731D81"/>
    <w:rsid w:val="00733592"/>
    <w:rsid w:val="00735601"/>
    <w:rsid w:val="00736BC6"/>
    <w:rsid w:val="007476AE"/>
    <w:rsid w:val="007500A1"/>
    <w:rsid w:val="0075298D"/>
    <w:rsid w:val="00757165"/>
    <w:rsid w:val="00763D02"/>
    <w:rsid w:val="00765FE2"/>
    <w:rsid w:val="00770EAA"/>
    <w:rsid w:val="00771A96"/>
    <w:rsid w:val="00777BF6"/>
    <w:rsid w:val="0078410C"/>
    <w:rsid w:val="00785D7F"/>
    <w:rsid w:val="00795D24"/>
    <w:rsid w:val="007A0B5F"/>
    <w:rsid w:val="007A3360"/>
    <w:rsid w:val="007A3A4B"/>
    <w:rsid w:val="007E233A"/>
    <w:rsid w:val="007E4BFF"/>
    <w:rsid w:val="007F6A8D"/>
    <w:rsid w:val="007F7A61"/>
    <w:rsid w:val="00802304"/>
    <w:rsid w:val="008027A3"/>
    <w:rsid w:val="008138B9"/>
    <w:rsid w:val="00814FED"/>
    <w:rsid w:val="00821474"/>
    <w:rsid w:val="0082295E"/>
    <w:rsid w:val="0083491F"/>
    <w:rsid w:val="00844619"/>
    <w:rsid w:val="00845D28"/>
    <w:rsid w:val="0085484B"/>
    <w:rsid w:val="0085594D"/>
    <w:rsid w:val="0087128A"/>
    <w:rsid w:val="00884570"/>
    <w:rsid w:val="008A0CA2"/>
    <w:rsid w:val="008A3D59"/>
    <w:rsid w:val="008A49A4"/>
    <w:rsid w:val="008B22E5"/>
    <w:rsid w:val="008B3485"/>
    <w:rsid w:val="008B3C5C"/>
    <w:rsid w:val="008B435B"/>
    <w:rsid w:val="008C01F6"/>
    <w:rsid w:val="008C10CE"/>
    <w:rsid w:val="008D4CA2"/>
    <w:rsid w:val="008E3504"/>
    <w:rsid w:val="008F3C3F"/>
    <w:rsid w:val="0090298A"/>
    <w:rsid w:val="00902F13"/>
    <w:rsid w:val="00907D6A"/>
    <w:rsid w:val="00917443"/>
    <w:rsid w:val="00921EEE"/>
    <w:rsid w:val="00922772"/>
    <w:rsid w:val="009243BA"/>
    <w:rsid w:val="00927AB2"/>
    <w:rsid w:val="00933322"/>
    <w:rsid w:val="00936654"/>
    <w:rsid w:val="00936898"/>
    <w:rsid w:val="00950859"/>
    <w:rsid w:val="00952B4D"/>
    <w:rsid w:val="009576D4"/>
    <w:rsid w:val="00983B4E"/>
    <w:rsid w:val="00984BEE"/>
    <w:rsid w:val="009865DF"/>
    <w:rsid w:val="00997FB8"/>
    <w:rsid w:val="009A7B01"/>
    <w:rsid w:val="009B11CE"/>
    <w:rsid w:val="009C3838"/>
    <w:rsid w:val="009D4CD3"/>
    <w:rsid w:val="009D54AF"/>
    <w:rsid w:val="009D6598"/>
    <w:rsid w:val="009E17C6"/>
    <w:rsid w:val="009F5944"/>
    <w:rsid w:val="00A059EC"/>
    <w:rsid w:val="00A05F2C"/>
    <w:rsid w:val="00A102F2"/>
    <w:rsid w:val="00A130E5"/>
    <w:rsid w:val="00A135A2"/>
    <w:rsid w:val="00A1409A"/>
    <w:rsid w:val="00A21E45"/>
    <w:rsid w:val="00A2597D"/>
    <w:rsid w:val="00A34400"/>
    <w:rsid w:val="00A40DF1"/>
    <w:rsid w:val="00A45051"/>
    <w:rsid w:val="00A5635C"/>
    <w:rsid w:val="00A5692A"/>
    <w:rsid w:val="00A6055F"/>
    <w:rsid w:val="00A641AD"/>
    <w:rsid w:val="00A70A3F"/>
    <w:rsid w:val="00A736F5"/>
    <w:rsid w:val="00A9468E"/>
    <w:rsid w:val="00A95CC6"/>
    <w:rsid w:val="00AA1973"/>
    <w:rsid w:val="00AA1E85"/>
    <w:rsid w:val="00AA2014"/>
    <w:rsid w:val="00AB31E1"/>
    <w:rsid w:val="00AC65AA"/>
    <w:rsid w:val="00AE156B"/>
    <w:rsid w:val="00AE19E2"/>
    <w:rsid w:val="00AF1513"/>
    <w:rsid w:val="00AF1B9C"/>
    <w:rsid w:val="00AF70CD"/>
    <w:rsid w:val="00B04EB5"/>
    <w:rsid w:val="00B26A7D"/>
    <w:rsid w:val="00B30CF1"/>
    <w:rsid w:val="00B37900"/>
    <w:rsid w:val="00B37C7E"/>
    <w:rsid w:val="00B47874"/>
    <w:rsid w:val="00B524B2"/>
    <w:rsid w:val="00B579C0"/>
    <w:rsid w:val="00B61851"/>
    <w:rsid w:val="00B61D37"/>
    <w:rsid w:val="00B73CC0"/>
    <w:rsid w:val="00B829D6"/>
    <w:rsid w:val="00B84761"/>
    <w:rsid w:val="00B901A3"/>
    <w:rsid w:val="00B91868"/>
    <w:rsid w:val="00BA3825"/>
    <w:rsid w:val="00BA61FB"/>
    <w:rsid w:val="00BB2D86"/>
    <w:rsid w:val="00BB7983"/>
    <w:rsid w:val="00BC7F6F"/>
    <w:rsid w:val="00BD0732"/>
    <w:rsid w:val="00BD19C4"/>
    <w:rsid w:val="00BE0B4B"/>
    <w:rsid w:val="00BF2461"/>
    <w:rsid w:val="00C04D9B"/>
    <w:rsid w:val="00C05399"/>
    <w:rsid w:val="00C264A0"/>
    <w:rsid w:val="00C370F0"/>
    <w:rsid w:val="00C372E0"/>
    <w:rsid w:val="00C47ACA"/>
    <w:rsid w:val="00C47F69"/>
    <w:rsid w:val="00C65850"/>
    <w:rsid w:val="00C73B7B"/>
    <w:rsid w:val="00C8234A"/>
    <w:rsid w:val="00C87B4A"/>
    <w:rsid w:val="00C92989"/>
    <w:rsid w:val="00C9788A"/>
    <w:rsid w:val="00CA116B"/>
    <w:rsid w:val="00CB05AB"/>
    <w:rsid w:val="00CB4490"/>
    <w:rsid w:val="00CC42B8"/>
    <w:rsid w:val="00CC54AB"/>
    <w:rsid w:val="00CD0C13"/>
    <w:rsid w:val="00CF3166"/>
    <w:rsid w:val="00CF38AD"/>
    <w:rsid w:val="00CF3BF9"/>
    <w:rsid w:val="00D00AB4"/>
    <w:rsid w:val="00D00D3B"/>
    <w:rsid w:val="00D10915"/>
    <w:rsid w:val="00D12255"/>
    <w:rsid w:val="00D13A44"/>
    <w:rsid w:val="00D26159"/>
    <w:rsid w:val="00D34B7F"/>
    <w:rsid w:val="00D42E3F"/>
    <w:rsid w:val="00D4560B"/>
    <w:rsid w:val="00D47B01"/>
    <w:rsid w:val="00D654A8"/>
    <w:rsid w:val="00D665EF"/>
    <w:rsid w:val="00D7141C"/>
    <w:rsid w:val="00D72FC1"/>
    <w:rsid w:val="00D73A85"/>
    <w:rsid w:val="00D81052"/>
    <w:rsid w:val="00D85A2D"/>
    <w:rsid w:val="00D94E64"/>
    <w:rsid w:val="00DA25D5"/>
    <w:rsid w:val="00DA2B61"/>
    <w:rsid w:val="00DA3405"/>
    <w:rsid w:val="00DA4C16"/>
    <w:rsid w:val="00DA5752"/>
    <w:rsid w:val="00DA63D4"/>
    <w:rsid w:val="00DB10FB"/>
    <w:rsid w:val="00DC17BD"/>
    <w:rsid w:val="00DC1C42"/>
    <w:rsid w:val="00DC7612"/>
    <w:rsid w:val="00DE4AA3"/>
    <w:rsid w:val="00DE7DEE"/>
    <w:rsid w:val="00DF1213"/>
    <w:rsid w:val="00DF7233"/>
    <w:rsid w:val="00E0102B"/>
    <w:rsid w:val="00E012A5"/>
    <w:rsid w:val="00E021CC"/>
    <w:rsid w:val="00E042C4"/>
    <w:rsid w:val="00E05882"/>
    <w:rsid w:val="00E078A7"/>
    <w:rsid w:val="00E3700B"/>
    <w:rsid w:val="00E44AD4"/>
    <w:rsid w:val="00E47A52"/>
    <w:rsid w:val="00E5201C"/>
    <w:rsid w:val="00E541A4"/>
    <w:rsid w:val="00E54367"/>
    <w:rsid w:val="00E616A2"/>
    <w:rsid w:val="00E6333F"/>
    <w:rsid w:val="00E65C23"/>
    <w:rsid w:val="00E84FE4"/>
    <w:rsid w:val="00E96173"/>
    <w:rsid w:val="00EB22F5"/>
    <w:rsid w:val="00EB653F"/>
    <w:rsid w:val="00EC3497"/>
    <w:rsid w:val="00ED682A"/>
    <w:rsid w:val="00EE1DD8"/>
    <w:rsid w:val="00EF1EFD"/>
    <w:rsid w:val="00EF2156"/>
    <w:rsid w:val="00EF380C"/>
    <w:rsid w:val="00F01285"/>
    <w:rsid w:val="00F106F8"/>
    <w:rsid w:val="00F16E87"/>
    <w:rsid w:val="00F3697C"/>
    <w:rsid w:val="00F405D2"/>
    <w:rsid w:val="00F41597"/>
    <w:rsid w:val="00F449F7"/>
    <w:rsid w:val="00F478E3"/>
    <w:rsid w:val="00F52F60"/>
    <w:rsid w:val="00F619F8"/>
    <w:rsid w:val="00F6371B"/>
    <w:rsid w:val="00F640E8"/>
    <w:rsid w:val="00F647A9"/>
    <w:rsid w:val="00F700F2"/>
    <w:rsid w:val="00F712DA"/>
    <w:rsid w:val="00F8026F"/>
    <w:rsid w:val="00F80D73"/>
    <w:rsid w:val="00F86B68"/>
    <w:rsid w:val="00FA2811"/>
    <w:rsid w:val="00FC048D"/>
    <w:rsid w:val="00FC4787"/>
    <w:rsid w:val="00FD61CA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B3C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85A2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D85A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94207"/>
    <w:rPr>
      <w:sz w:val="16"/>
      <w:szCs w:val="16"/>
    </w:rPr>
  </w:style>
  <w:style w:type="paragraph" w:styleId="CommentText">
    <w:name w:val="annotation text"/>
    <w:basedOn w:val="Normal"/>
    <w:semiHidden/>
    <w:rsid w:val="002942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4207"/>
    <w:rPr>
      <w:b/>
      <w:bCs/>
    </w:rPr>
  </w:style>
  <w:style w:type="character" w:customStyle="1" w:styleId="st">
    <w:name w:val="st"/>
    <w:basedOn w:val="DefaultParagraphFont"/>
    <w:rsid w:val="00E012A5"/>
  </w:style>
  <w:style w:type="character" w:styleId="Emphasis">
    <w:name w:val="Emphasis"/>
    <w:basedOn w:val="DefaultParagraphFont"/>
    <w:uiPriority w:val="20"/>
    <w:qFormat/>
    <w:rsid w:val="00E012A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B3C5C"/>
    <w:rPr>
      <w:b/>
      <w:bCs/>
      <w:sz w:val="36"/>
      <w:szCs w:val="36"/>
    </w:rPr>
  </w:style>
  <w:style w:type="paragraph" w:styleId="Revision">
    <w:name w:val="Revision"/>
    <w:hidden/>
    <w:uiPriority w:val="99"/>
    <w:semiHidden/>
    <w:rsid w:val="006D582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560E"/>
    <w:pPr>
      <w:ind w:left="720"/>
      <w:contextualSpacing/>
    </w:pPr>
  </w:style>
  <w:style w:type="table" w:styleId="TableGrid">
    <w:name w:val="Table Grid"/>
    <w:basedOn w:val="TableNormal"/>
    <w:rsid w:val="00ED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A63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DA63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B3C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85A2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D85A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94207"/>
    <w:rPr>
      <w:sz w:val="16"/>
      <w:szCs w:val="16"/>
    </w:rPr>
  </w:style>
  <w:style w:type="paragraph" w:styleId="CommentText">
    <w:name w:val="annotation text"/>
    <w:basedOn w:val="Normal"/>
    <w:semiHidden/>
    <w:rsid w:val="002942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4207"/>
    <w:rPr>
      <w:b/>
      <w:bCs/>
    </w:rPr>
  </w:style>
  <w:style w:type="character" w:customStyle="1" w:styleId="st">
    <w:name w:val="st"/>
    <w:basedOn w:val="DefaultParagraphFont"/>
    <w:rsid w:val="00E012A5"/>
  </w:style>
  <w:style w:type="character" w:styleId="Emphasis">
    <w:name w:val="Emphasis"/>
    <w:basedOn w:val="DefaultParagraphFont"/>
    <w:uiPriority w:val="20"/>
    <w:qFormat/>
    <w:rsid w:val="00E012A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B3C5C"/>
    <w:rPr>
      <w:b/>
      <w:bCs/>
      <w:sz w:val="36"/>
      <w:szCs w:val="36"/>
    </w:rPr>
  </w:style>
  <w:style w:type="paragraph" w:styleId="Revision">
    <w:name w:val="Revision"/>
    <w:hidden/>
    <w:uiPriority w:val="99"/>
    <w:semiHidden/>
    <w:rsid w:val="006D582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560E"/>
    <w:pPr>
      <w:ind w:left="720"/>
      <w:contextualSpacing/>
    </w:pPr>
  </w:style>
  <w:style w:type="table" w:styleId="TableGrid">
    <w:name w:val="Table Grid"/>
    <w:basedOn w:val="TableNormal"/>
    <w:rsid w:val="00ED6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DA63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DA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76FBFB4024A4A9342933700B01951" ma:contentTypeVersion="0" ma:contentTypeDescription="Create a new document." ma:contentTypeScope="" ma:versionID="eed4646f0281a231a2086e7a729976b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08924-C096-4C84-8921-54466FD692E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6ED3238-C3FE-47FD-8DB0-F3A37F467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0799-10E4-44E4-A76C-4792B61A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190793-21AA-478A-9B23-B34201BAF003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578D968-F4AF-48E1-887B-7F41B324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1511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outcomes of patients with gram-negative bacteremia treated with piperacillin-tazobactam and cefepime</vt:lpstr>
    </vt:vector>
  </TitlesOfParts>
  <Company>MHHS</Company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patients with gram-negative bacteremia treated with piperacillin-tazobactam and cefepime</dc:title>
  <dc:creator>e1514010</dc:creator>
  <cp:lastModifiedBy>Hoover, Jessica</cp:lastModifiedBy>
  <cp:revision>6</cp:revision>
  <cp:lastPrinted>2016-03-02T20:32:00Z</cp:lastPrinted>
  <dcterms:created xsi:type="dcterms:W3CDTF">2016-03-02T18:37:00Z</dcterms:created>
  <dcterms:modified xsi:type="dcterms:W3CDTF">2016-04-09T22:51:00Z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